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268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C2684" w:rsidRDefault="0075482B" w:rsidP="0010095E">
            <w:pPr>
              <w:pStyle w:val="EPName"/>
            </w:pPr>
            <w:r w:rsidRPr="001C2684">
              <w:t>Parlament Ewropew</w:t>
            </w:r>
          </w:p>
          <w:p w:rsidR="00751A4A" w:rsidRPr="001C268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392D">
              <w:t>2019</w:t>
            </w:r>
            <w:r w:rsidRPr="001C2684">
              <w:t>-</w:t>
            </w:r>
            <w:r w:rsidRPr="0098392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C2684" w:rsidRDefault="00187494" w:rsidP="0010095E">
            <w:pPr>
              <w:pStyle w:val="EPLogo"/>
            </w:pPr>
            <w:r w:rsidRPr="001C268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C2684" w:rsidRDefault="00D058B8" w:rsidP="004C5D52">
      <w:pPr>
        <w:pStyle w:val="LineTop"/>
      </w:pPr>
    </w:p>
    <w:p w:rsidR="00680577" w:rsidRPr="001C2684" w:rsidRDefault="0075482B" w:rsidP="00680577">
      <w:pPr>
        <w:pStyle w:val="EPBodyTA1"/>
      </w:pPr>
      <w:r w:rsidRPr="001C2684">
        <w:t>TESTI ADOTTATI</w:t>
      </w:r>
    </w:p>
    <w:p w:rsidR="00D058B8" w:rsidRPr="001C2684" w:rsidRDefault="00D058B8" w:rsidP="00D058B8">
      <w:pPr>
        <w:pStyle w:val="LineBottom"/>
      </w:pPr>
    </w:p>
    <w:p w:rsidR="0075482B" w:rsidRPr="001C2684" w:rsidRDefault="0075482B" w:rsidP="0075482B">
      <w:pPr>
        <w:pStyle w:val="ATHeading1"/>
      </w:pPr>
      <w:bookmarkStart w:id="0" w:name="TANumber"/>
      <w:r w:rsidRPr="001C2684">
        <w:t>P</w:t>
      </w:r>
      <w:r w:rsidRPr="0098392D">
        <w:t>9</w:t>
      </w:r>
      <w:r w:rsidRPr="001C2684">
        <w:t>_TA(</w:t>
      </w:r>
      <w:r w:rsidRPr="0098392D">
        <w:t>2024</w:t>
      </w:r>
      <w:r w:rsidRPr="001C2684">
        <w:t>)</w:t>
      </w:r>
      <w:r w:rsidRPr="0098392D">
        <w:t>00</w:t>
      </w:r>
      <w:r w:rsidR="001C2684" w:rsidRPr="0098392D">
        <w:t>66</w:t>
      </w:r>
      <w:bookmarkEnd w:id="0"/>
    </w:p>
    <w:p w:rsidR="0075482B" w:rsidRPr="001C2684" w:rsidRDefault="00640D76" w:rsidP="0075482B">
      <w:pPr>
        <w:pStyle w:val="ATHeading2"/>
      </w:pPr>
      <w:r w:rsidRPr="001C2684">
        <w:t xml:space="preserve">Il-valuri ta’ limitu għaċ-ċomb u l-komposti </w:t>
      </w:r>
      <w:proofErr w:type="spellStart"/>
      <w:r w:rsidRPr="001C2684">
        <w:t>inorganiċi</w:t>
      </w:r>
      <w:proofErr w:type="spellEnd"/>
      <w:r w:rsidRPr="001C2684">
        <w:t xml:space="preserve"> tiegħu u d-</w:t>
      </w:r>
      <w:proofErr w:type="spellStart"/>
      <w:r w:rsidRPr="001C2684">
        <w:t>diisoċjanati</w:t>
      </w:r>
      <w:proofErr w:type="spellEnd"/>
    </w:p>
    <w:p w:rsidR="0075482B" w:rsidRPr="001C2684" w:rsidRDefault="0075482B" w:rsidP="0075482B">
      <w:pPr>
        <w:rPr>
          <w:i/>
          <w:vanish/>
        </w:rPr>
      </w:pPr>
      <w:r w:rsidRPr="001C2684">
        <w:rPr>
          <w:i/>
        </w:rPr>
        <w:fldChar w:fldCharType="begin"/>
      </w:r>
      <w:r w:rsidRPr="001C2684">
        <w:rPr>
          <w:i/>
        </w:rPr>
        <w:instrText xml:space="preserve"> TC"(</w:instrText>
      </w:r>
      <w:bookmarkStart w:id="1" w:name="DocNumber"/>
      <w:r w:rsidRPr="001C2684">
        <w:rPr>
          <w:i/>
        </w:rPr>
        <w:instrText>A</w:instrText>
      </w:r>
      <w:r w:rsidRPr="0098392D">
        <w:rPr>
          <w:i/>
        </w:rPr>
        <w:instrText>9</w:instrText>
      </w:r>
      <w:r w:rsidRPr="001C2684">
        <w:rPr>
          <w:i/>
        </w:rPr>
        <w:instrText>-</w:instrText>
      </w:r>
      <w:r w:rsidRPr="0098392D">
        <w:rPr>
          <w:i/>
        </w:rPr>
        <w:instrText>0263</w:instrText>
      </w:r>
      <w:r w:rsidRPr="001C2684">
        <w:rPr>
          <w:i/>
        </w:rPr>
        <w:instrText>/</w:instrText>
      </w:r>
      <w:r w:rsidRPr="0098392D">
        <w:rPr>
          <w:i/>
        </w:rPr>
        <w:instrText>2023</w:instrText>
      </w:r>
      <w:bookmarkEnd w:id="1"/>
      <w:r w:rsidRPr="001C2684">
        <w:rPr>
          <w:i/>
        </w:rPr>
        <w:instrText xml:space="preserve"> - Rapporteur: Nikolaj Villumsen)"\l</w:instrText>
      </w:r>
      <w:r w:rsidRPr="0098392D">
        <w:rPr>
          <w:i/>
        </w:rPr>
        <w:instrText>3</w:instrText>
      </w:r>
      <w:r w:rsidRPr="001C2684">
        <w:rPr>
          <w:i/>
        </w:rPr>
        <w:instrText xml:space="preserve"> \n&gt; \* MERGEFORMAT </w:instrText>
      </w:r>
      <w:r w:rsidRPr="001C2684">
        <w:rPr>
          <w:i/>
        </w:rPr>
        <w:fldChar w:fldCharType="end"/>
      </w:r>
    </w:p>
    <w:p w:rsidR="0075482B" w:rsidRPr="001C2684" w:rsidRDefault="0075482B" w:rsidP="0075482B">
      <w:pPr>
        <w:rPr>
          <w:vanish/>
        </w:rPr>
      </w:pPr>
      <w:bookmarkStart w:id="2" w:name="Commission"/>
      <w:r w:rsidRPr="001C2684">
        <w:rPr>
          <w:vanish/>
        </w:rPr>
        <w:t>Kumitat għall-Impjiegi u l-Affarijiet Soċjali</w:t>
      </w:r>
      <w:bookmarkEnd w:id="2"/>
    </w:p>
    <w:p w:rsidR="0075482B" w:rsidRPr="001C2684" w:rsidRDefault="0075482B" w:rsidP="0075482B">
      <w:pPr>
        <w:rPr>
          <w:vanish/>
        </w:rPr>
      </w:pPr>
      <w:bookmarkStart w:id="3" w:name="PE"/>
      <w:r w:rsidRPr="001C2684">
        <w:rPr>
          <w:vanish/>
        </w:rPr>
        <w:t>PE</w:t>
      </w:r>
      <w:r w:rsidRPr="0098392D">
        <w:rPr>
          <w:vanish/>
        </w:rPr>
        <w:t>746</w:t>
      </w:r>
      <w:r w:rsidRPr="001C2684">
        <w:rPr>
          <w:vanish/>
        </w:rPr>
        <w:t>.</w:t>
      </w:r>
      <w:r w:rsidRPr="0098392D">
        <w:rPr>
          <w:vanish/>
        </w:rPr>
        <w:t>964</w:t>
      </w:r>
      <w:bookmarkEnd w:id="3"/>
    </w:p>
    <w:p w:rsidR="0075482B" w:rsidRPr="001C2684" w:rsidRDefault="0075482B" w:rsidP="0075482B">
      <w:pPr>
        <w:pStyle w:val="ATHeading3"/>
      </w:pPr>
      <w:bookmarkStart w:id="4" w:name="Sujet"/>
      <w:r w:rsidRPr="001C2684">
        <w:t xml:space="preserve">Riżoluzzjoni </w:t>
      </w:r>
      <w:proofErr w:type="spellStart"/>
      <w:r w:rsidRPr="001C2684">
        <w:t>leġiżlattiva</w:t>
      </w:r>
      <w:proofErr w:type="spellEnd"/>
      <w:r w:rsidRPr="001C2684">
        <w:t xml:space="preserve"> tal-Parlament Ewropew tas-</w:t>
      </w:r>
      <w:r w:rsidR="005700AC" w:rsidRPr="0098392D">
        <w:t>7</w:t>
      </w:r>
      <w:r w:rsidRPr="001C2684">
        <w:t xml:space="preserve"> ta' Frar </w:t>
      </w:r>
      <w:r w:rsidRPr="0098392D">
        <w:t>2024</w:t>
      </w:r>
      <w:r w:rsidRPr="001C2684">
        <w:t xml:space="preserve"> dwar il-proposta għal direttiva tal-Parlament Ewropew u tal-Kunsill li temenda d-Direttiva tal-Kunsill </w:t>
      </w:r>
      <w:r w:rsidRPr="0098392D">
        <w:t>98</w:t>
      </w:r>
      <w:r w:rsidRPr="001C2684">
        <w:t>/</w:t>
      </w:r>
      <w:r w:rsidRPr="0098392D">
        <w:t>24</w:t>
      </w:r>
      <w:r w:rsidRPr="001C2684">
        <w:t xml:space="preserve">/KE u d-Direttiva </w:t>
      </w:r>
      <w:r w:rsidRPr="0098392D">
        <w:t>2004</w:t>
      </w:r>
      <w:r w:rsidRPr="001C2684">
        <w:t>/</w:t>
      </w:r>
      <w:r w:rsidRPr="0098392D">
        <w:t>37</w:t>
      </w:r>
      <w:r w:rsidRPr="001C2684">
        <w:t xml:space="preserve">/KE tal-Parlament Ewropew u tal-Kunsill fir-rigward tal-valuri ta’ limitu għaċ-ċomb u l-komposti </w:t>
      </w:r>
      <w:proofErr w:type="spellStart"/>
      <w:r w:rsidRPr="001C2684">
        <w:t>inorganiċi</w:t>
      </w:r>
      <w:proofErr w:type="spellEnd"/>
      <w:r w:rsidRPr="001C2684">
        <w:t xml:space="preserve"> tiegħu u d-</w:t>
      </w:r>
      <w:proofErr w:type="spellStart"/>
      <w:r w:rsidRPr="001C2684">
        <w:t>diisoċjanati</w:t>
      </w:r>
      <w:bookmarkEnd w:id="4"/>
      <w:proofErr w:type="spellEnd"/>
      <w:r w:rsidRPr="001C2684">
        <w:t xml:space="preserve"> </w:t>
      </w:r>
      <w:bookmarkStart w:id="5" w:name="References"/>
      <w:r w:rsidRPr="001C2684">
        <w:t>(COM(</w:t>
      </w:r>
      <w:r w:rsidRPr="0098392D">
        <w:t>2023</w:t>
      </w:r>
      <w:r w:rsidRPr="001C2684">
        <w:t>)</w:t>
      </w:r>
      <w:r w:rsidRPr="0098392D">
        <w:t>0071</w:t>
      </w:r>
      <w:r w:rsidRPr="001C2684">
        <w:t xml:space="preserve"> – C</w:t>
      </w:r>
      <w:r w:rsidRPr="0098392D">
        <w:t>9</w:t>
      </w:r>
      <w:r w:rsidRPr="001C2684">
        <w:t>-</w:t>
      </w:r>
      <w:r w:rsidRPr="0098392D">
        <w:t>0022</w:t>
      </w:r>
      <w:r w:rsidRPr="001C2684">
        <w:t>/</w:t>
      </w:r>
      <w:r w:rsidRPr="0098392D">
        <w:t>2023</w:t>
      </w:r>
      <w:r w:rsidRPr="001C2684">
        <w:t xml:space="preserve"> – </w:t>
      </w:r>
      <w:r w:rsidRPr="0098392D">
        <w:t>2023</w:t>
      </w:r>
      <w:r w:rsidRPr="001C2684">
        <w:t>/</w:t>
      </w:r>
      <w:r w:rsidRPr="0098392D">
        <w:t>0033</w:t>
      </w:r>
      <w:r w:rsidRPr="001C2684">
        <w:t>(COD))</w:t>
      </w:r>
      <w:bookmarkEnd w:id="5"/>
    </w:p>
    <w:p w:rsidR="0075482B" w:rsidRPr="001C2684" w:rsidRDefault="0075482B" w:rsidP="0075482B"/>
    <w:p w:rsidR="000E22BC" w:rsidRPr="001C2684" w:rsidRDefault="000E22BC" w:rsidP="000E22BC">
      <w:pPr>
        <w:pStyle w:val="NormalBold"/>
      </w:pPr>
      <w:bookmarkStart w:id="6" w:name="TextBodyBegin"/>
      <w:bookmarkEnd w:id="6"/>
      <w:r w:rsidRPr="001C2684">
        <w:t xml:space="preserve">(Proċedura </w:t>
      </w:r>
      <w:proofErr w:type="spellStart"/>
      <w:r w:rsidRPr="001C2684">
        <w:t>leġiżlattiva</w:t>
      </w:r>
      <w:proofErr w:type="spellEnd"/>
      <w:r w:rsidRPr="001C2684">
        <w:t xml:space="preserve"> ordinarja: l-ewwel qari)</w:t>
      </w:r>
    </w:p>
    <w:p w:rsidR="000E22BC" w:rsidRPr="001C2684" w:rsidRDefault="000E22BC" w:rsidP="000E22BC">
      <w:pPr>
        <w:pStyle w:val="EPComma"/>
      </w:pPr>
      <w:r w:rsidRPr="001C2684">
        <w:rPr>
          <w:i/>
        </w:rPr>
        <w:t>Il-Parlament Ewropew</w:t>
      </w:r>
      <w:r w:rsidRPr="001C2684">
        <w:t>,</w:t>
      </w:r>
    </w:p>
    <w:p w:rsidR="000E22BC" w:rsidRPr="001C2684" w:rsidRDefault="000E22BC" w:rsidP="000E22BC">
      <w:pPr>
        <w:pStyle w:val="NormalHanging12a"/>
      </w:pPr>
      <w:r w:rsidRPr="001C2684">
        <w:t>–</w:t>
      </w:r>
      <w:r w:rsidRPr="001C2684">
        <w:tab/>
        <w:t xml:space="preserve">wara li </w:t>
      </w:r>
      <w:proofErr w:type="spellStart"/>
      <w:r w:rsidRPr="001C2684">
        <w:t>kkunsidra</w:t>
      </w:r>
      <w:proofErr w:type="spellEnd"/>
      <w:r w:rsidRPr="001C2684">
        <w:t xml:space="preserve"> l-proposta tal-Kummissjoni lill-Parlament Ewropew u lill-Kunsill (COM(</w:t>
      </w:r>
      <w:r w:rsidRPr="0098392D">
        <w:t>2023</w:t>
      </w:r>
      <w:r w:rsidRPr="001C2684">
        <w:t>)</w:t>
      </w:r>
      <w:r w:rsidRPr="0098392D">
        <w:t>0071</w:t>
      </w:r>
      <w:r w:rsidRPr="001C2684">
        <w:t>),</w:t>
      </w:r>
    </w:p>
    <w:p w:rsidR="000E22BC" w:rsidRPr="001C2684" w:rsidRDefault="000E22BC" w:rsidP="000E22BC">
      <w:pPr>
        <w:pStyle w:val="NormalHanging12a"/>
      </w:pPr>
      <w:r w:rsidRPr="001C2684">
        <w:t>–</w:t>
      </w:r>
      <w:r w:rsidRPr="001C2684">
        <w:tab/>
        <w:t xml:space="preserve">wara li </w:t>
      </w:r>
      <w:proofErr w:type="spellStart"/>
      <w:r w:rsidRPr="001C2684">
        <w:t>kkunsidra</w:t>
      </w:r>
      <w:proofErr w:type="spellEnd"/>
      <w:r w:rsidRPr="001C2684">
        <w:t xml:space="preserve"> l-Artikolu </w:t>
      </w:r>
      <w:r w:rsidRPr="0098392D">
        <w:t>294</w:t>
      </w:r>
      <w:r w:rsidRPr="001C2684">
        <w:t>(</w:t>
      </w:r>
      <w:r w:rsidRPr="0098392D">
        <w:t>2</w:t>
      </w:r>
      <w:r w:rsidRPr="001C2684">
        <w:t>) u l-Artikolu </w:t>
      </w:r>
      <w:r w:rsidRPr="0098392D">
        <w:t>153</w:t>
      </w:r>
      <w:r w:rsidRPr="001C2684">
        <w:t>(</w:t>
      </w:r>
      <w:r w:rsidRPr="0098392D">
        <w:t>2</w:t>
      </w:r>
      <w:r w:rsidRPr="001C2684">
        <w:t>), punt (b), flimkien mal-paragrafu </w:t>
      </w:r>
      <w:r w:rsidRPr="0098392D">
        <w:t>1</w:t>
      </w:r>
      <w:r w:rsidRPr="001C2684">
        <w:t>, punt (a), tat-Trattat dwar il-Funzjonament tal-Unjoni Ewropea, skont liema artikoli l-Kummissjoni ppreżentat il-proposta lill-Parlament (C</w:t>
      </w:r>
      <w:r w:rsidRPr="0098392D">
        <w:t>9</w:t>
      </w:r>
      <w:r w:rsidRPr="001C2684">
        <w:noBreakHyphen/>
      </w:r>
      <w:r w:rsidRPr="0098392D">
        <w:t>0022</w:t>
      </w:r>
      <w:r w:rsidRPr="001C2684">
        <w:t>/</w:t>
      </w:r>
      <w:r w:rsidRPr="0098392D">
        <w:t>2023</w:t>
      </w:r>
      <w:r w:rsidRPr="001C2684">
        <w:t>),</w:t>
      </w:r>
    </w:p>
    <w:p w:rsidR="000E22BC" w:rsidRPr="001C2684" w:rsidRDefault="000E22BC" w:rsidP="000E22BC">
      <w:pPr>
        <w:pStyle w:val="NormalHanging12a"/>
      </w:pPr>
      <w:r w:rsidRPr="001C2684">
        <w:t>–</w:t>
      </w:r>
      <w:r w:rsidRPr="001C2684">
        <w:tab/>
        <w:t xml:space="preserve">wara li </w:t>
      </w:r>
      <w:proofErr w:type="spellStart"/>
      <w:r w:rsidRPr="001C2684">
        <w:t>kkunsidra</w:t>
      </w:r>
      <w:proofErr w:type="spellEnd"/>
      <w:r w:rsidRPr="001C2684">
        <w:t xml:space="preserve"> l-Artikolu </w:t>
      </w:r>
      <w:r w:rsidRPr="0098392D">
        <w:t>294</w:t>
      </w:r>
      <w:r w:rsidRPr="001C2684">
        <w:t>(</w:t>
      </w:r>
      <w:r w:rsidRPr="0098392D">
        <w:t>3</w:t>
      </w:r>
      <w:r w:rsidRPr="001C2684">
        <w:t>) tat-Trattat dwar il-Funzjonament tal-Unjoni Ewropea,</w:t>
      </w:r>
    </w:p>
    <w:p w:rsidR="000E22BC" w:rsidRPr="001C2684" w:rsidRDefault="000E22BC" w:rsidP="000E22BC">
      <w:pPr>
        <w:pStyle w:val="NormalHanging12a"/>
      </w:pPr>
      <w:r w:rsidRPr="001C2684">
        <w:t>–</w:t>
      </w:r>
      <w:r w:rsidRPr="001C2684">
        <w:tab/>
        <w:t xml:space="preserve">wara li </w:t>
      </w:r>
      <w:proofErr w:type="spellStart"/>
      <w:r w:rsidRPr="001C2684">
        <w:t>kkunsidra</w:t>
      </w:r>
      <w:proofErr w:type="spellEnd"/>
      <w:r w:rsidRPr="001C2684">
        <w:t xml:space="preserve"> l-opinjoni tal-Kumitat Ekonomiku u Soċjali tat-</w:t>
      </w:r>
      <w:r w:rsidRPr="0098392D">
        <w:t>22</w:t>
      </w:r>
      <w:r w:rsidRPr="001C2684">
        <w:t xml:space="preserve"> ta’ Marzu </w:t>
      </w:r>
      <w:r w:rsidRPr="0098392D">
        <w:t>2023</w:t>
      </w:r>
      <w:r w:rsidRPr="001C2684">
        <w:rPr>
          <w:vertAlign w:val="superscript"/>
        </w:rPr>
        <w:footnoteReference w:id="1"/>
      </w:r>
      <w:r w:rsidRPr="001C2684">
        <w:t>,</w:t>
      </w:r>
    </w:p>
    <w:p w:rsidR="001B2FA9" w:rsidRPr="001C2684" w:rsidRDefault="001B2FA9" w:rsidP="001B2FA9">
      <w:pPr>
        <w:pStyle w:val="NormalHanging12a"/>
      </w:pPr>
      <w:r w:rsidRPr="001C2684">
        <w:t>–</w:t>
      </w:r>
      <w:r w:rsidRPr="001C2684">
        <w:tab/>
        <w:t>wara konsultazzjoni mal-Kumitat tar-Reġjuni,</w:t>
      </w:r>
    </w:p>
    <w:p w:rsidR="001B2FA9" w:rsidRPr="001C2684" w:rsidRDefault="001B2FA9" w:rsidP="001B2FA9">
      <w:pPr>
        <w:pStyle w:val="NormalHanging12a"/>
      </w:pPr>
      <w:r w:rsidRPr="001C2684">
        <w:t>–</w:t>
      </w:r>
      <w:r w:rsidRPr="001C2684">
        <w:tab/>
        <w:t xml:space="preserve">wara li </w:t>
      </w:r>
      <w:proofErr w:type="spellStart"/>
      <w:r w:rsidRPr="001C2684">
        <w:t>kkunsidra</w:t>
      </w:r>
      <w:proofErr w:type="spellEnd"/>
      <w:r w:rsidRPr="001C2684">
        <w:t xml:space="preserve"> l-ftehim </w:t>
      </w:r>
      <w:proofErr w:type="spellStart"/>
      <w:r w:rsidRPr="001C2684">
        <w:t>provviżorju</w:t>
      </w:r>
      <w:proofErr w:type="spellEnd"/>
      <w:r w:rsidRPr="001C2684">
        <w:t xml:space="preserve"> approvat mill-kumitat responsabbli skont l-Artikolu </w:t>
      </w:r>
      <w:r w:rsidRPr="0098392D">
        <w:t>74</w:t>
      </w:r>
      <w:r w:rsidRPr="001C2684">
        <w:t>(</w:t>
      </w:r>
      <w:r w:rsidRPr="0098392D">
        <w:t>4</w:t>
      </w:r>
      <w:r w:rsidRPr="001C2684">
        <w:t>) tar-Regoli ta' Proċedura tiegħu u l-impenn mogħti mir-rappreżentant tal-Kunsill permezz ta' ittra tas-</w:t>
      </w:r>
      <w:r w:rsidRPr="0098392D">
        <w:t>6</w:t>
      </w:r>
      <w:r w:rsidRPr="001C2684">
        <w:t xml:space="preserve"> ta' Diċembru </w:t>
      </w:r>
      <w:r w:rsidRPr="0098392D">
        <w:t>2023</w:t>
      </w:r>
      <w:r w:rsidRPr="001C2684">
        <w:t xml:space="preserve"> li japprova l-pożizzjoni tal-Parlament, skont l-Artikolu </w:t>
      </w:r>
      <w:r w:rsidRPr="0098392D">
        <w:t>294</w:t>
      </w:r>
      <w:r w:rsidRPr="001C2684">
        <w:t>(</w:t>
      </w:r>
      <w:r w:rsidRPr="0098392D">
        <w:t>4</w:t>
      </w:r>
      <w:r w:rsidRPr="001C2684">
        <w:t>) tal-Kunsill, it-Trattat dwar il-Funzjonament tal-Unjoni Ewropea,</w:t>
      </w:r>
    </w:p>
    <w:p w:rsidR="000E22BC" w:rsidRPr="001C2684" w:rsidRDefault="000E22BC" w:rsidP="000E22BC">
      <w:pPr>
        <w:pStyle w:val="NormalHanging12a"/>
      </w:pPr>
      <w:r w:rsidRPr="001C2684">
        <w:t>–</w:t>
      </w:r>
      <w:r w:rsidRPr="001C2684">
        <w:tab/>
        <w:t xml:space="preserve">wara li </w:t>
      </w:r>
      <w:proofErr w:type="spellStart"/>
      <w:r w:rsidRPr="001C2684">
        <w:t>kkunsidra</w:t>
      </w:r>
      <w:proofErr w:type="spellEnd"/>
      <w:r w:rsidRPr="001C2684">
        <w:t xml:space="preserve"> l-Artikolu </w:t>
      </w:r>
      <w:r w:rsidRPr="0098392D">
        <w:t>59</w:t>
      </w:r>
      <w:r w:rsidRPr="001C2684">
        <w:t xml:space="preserve"> tar-Regoli ta’ Proċedura tiegħu,</w:t>
      </w:r>
    </w:p>
    <w:p w:rsidR="000E22BC" w:rsidRPr="001C2684" w:rsidRDefault="000E22BC" w:rsidP="000E22BC">
      <w:pPr>
        <w:pStyle w:val="NormalHanging12a"/>
      </w:pPr>
      <w:r w:rsidRPr="001C2684">
        <w:lastRenderedPageBreak/>
        <w:t>–</w:t>
      </w:r>
      <w:r w:rsidRPr="001C2684">
        <w:tab/>
        <w:t xml:space="preserve">wara li </w:t>
      </w:r>
      <w:proofErr w:type="spellStart"/>
      <w:r w:rsidRPr="001C2684">
        <w:t>kkunsidra</w:t>
      </w:r>
      <w:proofErr w:type="spellEnd"/>
      <w:r w:rsidRPr="001C2684">
        <w:t xml:space="preserve"> r-rapport tal-Kumitat għall-Impjiegi u l-Affarijiet Soċjali (A</w:t>
      </w:r>
      <w:r w:rsidRPr="0098392D">
        <w:t>9</w:t>
      </w:r>
      <w:r w:rsidRPr="001C2684">
        <w:t>-</w:t>
      </w:r>
      <w:r w:rsidRPr="0098392D">
        <w:t>0263</w:t>
      </w:r>
      <w:r w:rsidRPr="001C2684">
        <w:t>/</w:t>
      </w:r>
      <w:r w:rsidRPr="0098392D">
        <w:t>2023</w:t>
      </w:r>
      <w:r w:rsidRPr="001C2684">
        <w:t>),</w:t>
      </w:r>
    </w:p>
    <w:p w:rsidR="000E22BC" w:rsidRPr="001C2684" w:rsidRDefault="000E22BC" w:rsidP="000E22BC">
      <w:pPr>
        <w:pStyle w:val="NormalHanging12a"/>
      </w:pPr>
      <w:r w:rsidRPr="0098392D">
        <w:t>1</w:t>
      </w:r>
      <w:r w:rsidRPr="001C2684">
        <w:t>.</w:t>
      </w:r>
      <w:r w:rsidRPr="001C2684">
        <w:tab/>
        <w:t>Jadotta l-pożizzjoni fl-ewwel qari li tidher hawn taħt;</w:t>
      </w:r>
    </w:p>
    <w:p w:rsidR="000E22BC" w:rsidRPr="001C2684" w:rsidRDefault="000E22BC" w:rsidP="000E22BC">
      <w:pPr>
        <w:pStyle w:val="NormalHanging12a"/>
      </w:pPr>
      <w:r w:rsidRPr="0098392D">
        <w:t>2</w:t>
      </w:r>
      <w:r w:rsidRPr="001C2684">
        <w:t>.</w:t>
      </w:r>
      <w:r w:rsidRPr="001C2684">
        <w:tab/>
        <w:t xml:space="preserve">Jitlob lill-Kummissjoni </w:t>
      </w:r>
      <w:proofErr w:type="spellStart"/>
      <w:r w:rsidRPr="001C2684">
        <w:t>terġa</w:t>
      </w:r>
      <w:proofErr w:type="spellEnd"/>
      <w:r w:rsidRPr="001C2684">
        <w:t xml:space="preserve">’ tirreferi l-kwistjoni lill-Parlament jekk tibdel il-proposta tagħha, </w:t>
      </w:r>
      <w:proofErr w:type="spellStart"/>
      <w:r w:rsidRPr="001C2684">
        <w:t>temendaha</w:t>
      </w:r>
      <w:proofErr w:type="spellEnd"/>
      <w:r w:rsidRPr="001C2684">
        <w:t xml:space="preserve"> b’mod sustanzjali jew ikollha l-ħsieb li </w:t>
      </w:r>
      <w:proofErr w:type="spellStart"/>
      <w:r w:rsidRPr="001C2684">
        <w:t>temendaha</w:t>
      </w:r>
      <w:proofErr w:type="spellEnd"/>
      <w:r w:rsidRPr="001C2684">
        <w:t xml:space="preserve"> b’mod sustanzjali;</w:t>
      </w:r>
    </w:p>
    <w:p w:rsidR="004A4BEF" w:rsidRPr="001C2684" w:rsidRDefault="000E22BC" w:rsidP="000E22BC">
      <w:pPr>
        <w:pStyle w:val="NormalHanging12a"/>
        <w:sectPr w:rsidR="004A4BEF" w:rsidRPr="001C2684" w:rsidSect="00F96C2D"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8392D">
        <w:t>3</w:t>
      </w:r>
      <w:r w:rsidRPr="001C2684">
        <w:t>.</w:t>
      </w:r>
      <w:r w:rsidRPr="001C2684">
        <w:tab/>
        <w:t>Jagħti istruzzjonijiet lill-President tiegħu biex tgħaddi l-pożizzjoni tal-Parlament lill-Kunsill u lill-Kummissjoni kif ukoll lill-parlamenti nazzjonali.</w:t>
      </w:r>
    </w:p>
    <w:p w:rsidR="004A4BEF" w:rsidRPr="001C2684" w:rsidRDefault="004A4BEF" w:rsidP="004A4BE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C2684">
        <w:rPr>
          <w:rFonts w:eastAsia="Calibri"/>
          <w:b/>
          <w:bCs/>
          <w:color w:val="000000"/>
          <w:szCs w:val="24"/>
        </w:rPr>
        <w:lastRenderedPageBreak/>
        <w:t>P</w:t>
      </w:r>
      <w:r w:rsidRPr="0098392D">
        <w:rPr>
          <w:rFonts w:eastAsia="Calibri"/>
          <w:b/>
          <w:bCs/>
          <w:color w:val="000000"/>
          <w:szCs w:val="24"/>
        </w:rPr>
        <w:t>9</w:t>
      </w:r>
      <w:r w:rsidRPr="001C2684">
        <w:rPr>
          <w:rFonts w:eastAsia="Calibri"/>
          <w:b/>
          <w:bCs/>
          <w:color w:val="000000"/>
          <w:szCs w:val="24"/>
        </w:rPr>
        <w:t>_TC</w:t>
      </w:r>
      <w:r w:rsidRPr="0098392D">
        <w:rPr>
          <w:rFonts w:eastAsia="Calibri"/>
          <w:b/>
          <w:bCs/>
          <w:color w:val="000000"/>
          <w:szCs w:val="24"/>
        </w:rPr>
        <w:t>1</w:t>
      </w:r>
      <w:r w:rsidRPr="001C2684">
        <w:rPr>
          <w:rFonts w:eastAsia="Calibri"/>
          <w:b/>
          <w:bCs/>
          <w:color w:val="000000"/>
          <w:szCs w:val="24"/>
        </w:rPr>
        <w:t>-COD(</w:t>
      </w:r>
      <w:r w:rsidRPr="0098392D">
        <w:rPr>
          <w:rFonts w:eastAsia="Calibri"/>
          <w:b/>
          <w:bCs/>
          <w:color w:val="000000"/>
          <w:szCs w:val="24"/>
        </w:rPr>
        <w:t>2023</w:t>
      </w:r>
      <w:r w:rsidRPr="001C2684">
        <w:rPr>
          <w:rFonts w:eastAsia="Calibri"/>
          <w:b/>
          <w:bCs/>
          <w:color w:val="000000"/>
          <w:szCs w:val="24"/>
        </w:rPr>
        <w:t>)</w:t>
      </w:r>
      <w:r w:rsidRPr="0098392D">
        <w:rPr>
          <w:rFonts w:eastAsia="Calibri"/>
          <w:b/>
          <w:bCs/>
          <w:color w:val="000000"/>
          <w:szCs w:val="24"/>
        </w:rPr>
        <w:t>0033</w:t>
      </w:r>
    </w:p>
    <w:p w:rsidR="004A4BEF" w:rsidRDefault="004A4BEF" w:rsidP="00145838">
      <w:pPr>
        <w:spacing w:before="360"/>
        <w:rPr>
          <w:rFonts w:eastAsia="Calibri"/>
          <w:b/>
          <w:noProof/>
          <w:color w:val="000000"/>
          <w:szCs w:val="22"/>
          <w:lang w:eastAsia="en-US"/>
        </w:rPr>
      </w:pPr>
      <w:r w:rsidRPr="001C2684">
        <w:rPr>
          <w:rFonts w:eastAsia="Calibri"/>
          <w:b/>
          <w:bCs/>
        </w:rPr>
        <w:t>Pożizzjoni tal-Parlament Ewropew adottata fl-ewwel qari tas-</w:t>
      </w:r>
      <w:r w:rsidR="005C5732" w:rsidRPr="0098392D">
        <w:rPr>
          <w:rFonts w:eastAsia="Calibri"/>
          <w:b/>
          <w:bCs/>
        </w:rPr>
        <w:t>7</w:t>
      </w:r>
      <w:r w:rsidRPr="001C2684">
        <w:rPr>
          <w:rFonts w:eastAsia="Calibri"/>
          <w:b/>
          <w:bCs/>
        </w:rPr>
        <w:t xml:space="preserve"> ta’ Frar </w:t>
      </w:r>
      <w:r w:rsidRPr="0098392D">
        <w:rPr>
          <w:rFonts w:eastAsia="Calibri"/>
          <w:b/>
          <w:bCs/>
        </w:rPr>
        <w:t>2024</w:t>
      </w:r>
      <w:r w:rsidRPr="001C2684">
        <w:rPr>
          <w:rFonts w:eastAsia="Calibri"/>
          <w:b/>
          <w:bCs/>
        </w:rPr>
        <w:t xml:space="preserve"> bil-ħsieb tal-adozzjoni tad-Direttiva (UE) </w:t>
      </w:r>
      <w:r w:rsidRPr="0098392D">
        <w:rPr>
          <w:rFonts w:eastAsia="Calibri"/>
          <w:b/>
          <w:bCs/>
        </w:rPr>
        <w:t>2024</w:t>
      </w:r>
      <w:r w:rsidRPr="001C2684">
        <w:rPr>
          <w:rFonts w:eastAsia="Calibri"/>
          <w:b/>
          <w:bCs/>
        </w:rPr>
        <w:t xml:space="preserve">/... </w:t>
      </w:r>
      <w:r w:rsidRPr="001C2684">
        <w:rPr>
          <w:b/>
          <w:color w:val="000000"/>
          <w:szCs w:val="22"/>
        </w:rPr>
        <w:t>tal-Parlament Ewropew u tal-Kunsill</w:t>
      </w:r>
      <w:r w:rsidRPr="001C2684">
        <w:rPr>
          <w:rFonts w:eastAsia="Calibri"/>
          <w:b/>
          <w:szCs w:val="22"/>
        </w:rPr>
        <w:t xml:space="preserve"> </w:t>
      </w:r>
      <w:r w:rsidRPr="001C2684">
        <w:rPr>
          <w:rFonts w:eastAsia="Calibri"/>
          <w:b/>
          <w:noProof/>
          <w:color w:val="000000"/>
          <w:szCs w:val="22"/>
          <w:lang w:eastAsia="en-US"/>
        </w:rPr>
        <w:t xml:space="preserve">li temenda d-Direttiva </w:t>
      </w:r>
      <w:r w:rsidRPr="0098392D">
        <w:rPr>
          <w:rFonts w:eastAsia="Calibri"/>
          <w:b/>
          <w:noProof/>
          <w:color w:val="000000"/>
          <w:szCs w:val="22"/>
          <w:lang w:eastAsia="en-US"/>
        </w:rPr>
        <w:t>2004</w:t>
      </w:r>
      <w:r w:rsidRPr="001C2684">
        <w:rPr>
          <w:rFonts w:eastAsia="Calibri"/>
          <w:b/>
          <w:noProof/>
          <w:color w:val="000000"/>
          <w:szCs w:val="22"/>
          <w:lang w:eastAsia="en-US"/>
        </w:rPr>
        <w:t>/</w:t>
      </w:r>
      <w:r w:rsidRPr="0098392D">
        <w:rPr>
          <w:rFonts w:eastAsia="Calibri"/>
          <w:b/>
          <w:noProof/>
          <w:color w:val="000000"/>
          <w:szCs w:val="22"/>
          <w:lang w:eastAsia="en-US"/>
        </w:rPr>
        <w:t>37</w:t>
      </w:r>
      <w:r w:rsidRPr="001C2684">
        <w:rPr>
          <w:rFonts w:eastAsia="Calibri"/>
          <w:b/>
          <w:noProof/>
          <w:color w:val="000000"/>
          <w:szCs w:val="22"/>
          <w:lang w:eastAsia="en-US"/>
        </w:rPr>
        <w:t xml:space="preserve">/KE tal-Parlament Ewropew u tal-Kunsill u d-Direttiva tal-Kunsill </w:t>
      </w:r>
      <w:r w:rsidRPr="0098392D">
        <w:rPr>
          <w:rFonts w:eastAsia="Calibri"/>
          <w:b/>
          <w:noProof/>
          <w:color w:val="000000"/>
          <w:szCs w:val="22"/>
          <w:lang w:eastAsia="en-US"/>
        </w:rPr>
        <w:t>98</w:t>
      </w:r>
      <w:r w:rsidRPr="001C2684">
        <w:rPr>
          <w:rFonts w:eastAsia="Calibri"/>
          <w:b/>
          <w:noProof/>
          <w:color w:val="000000"/>
          <w:szCs w:val="22"/>
          <w:lang w:eastAsia="en-US"/>
        </w:rPr>
        <w:t>/</w:t>
      </w:r>
      <w:r w:rsidRPr="0098392D">
        <w:rPr>
          <w:rFonts w:eastAsia="Calibri"/>
          <w:b/>
          <w:noProof/>
          <w:color w:val="000000"/>
          <w:szCs w:val="22"/>
          <w:lang w:eastAsia="en-US"/>
        </w:rPr>
        <w:t>24</w:t>
      </w:r>
      <w:r w:rsidRPr="001C2684">
        <w:rPr>
          <w:rFonts w:eastAsia="Calibri"/>
          <w:b/>
          <w:noProof/>
          <w:color w:val="000000"/>
          <w:szCs w:val="22"/>
          <w:lang w:eastAsia="en-US"/>
        </w:rPr>
        <w:t>/KE fir-rigward tal-valuri ta’ limitu għaċ-ċomb u l-komposti inorganiċi tiegħu u għad-diisoċjanati</w:t>
      </w:r>
    </w:p>
    <w:p w:rsidR="00145838" w:rsidRDefault="00145838" w:rsidP="00145838">
      <w:pPr>
        <w:spacing w:before="360" w:after="240"/>
        <w:rPr>
          <w:i/>
        </w:rPr>
      </w:pPr>
      <w:r w:rsidRPr="00145838">
        <w:rPr>
          <w:i/>
        </w:rPr>
        <w:t xml:space="preserve">(Peress li ntlaħaq ftehim bejn il-Parlament u l-Kunsill, il-pożizzjoni tal-Parlament taqbel mal-att </w:t>
      </w:r>
      <w:proofErr w:type="spellStart"/>
      <w:r w:rsidRPr="00145838">
        <w:rPr>
          <w:i/>
        </w:rPr>
        <w:t>leġiżlattiv</w:t>
      </w:r>
      <w:proofErr w:type="spellEnd"/>
      <w:r>
        <w:rPr>
          <w:i/>
        </w:rPr>
        <w:t xml:space="preserve"> finali, id-Direttiva (UE) 2024/869</w:t>
      </w:r>
      <w:r w:rsidRPr="00145838">
        <w:rPr>
          <w:i/>
        </w:rPr>
        <w:t>)</w:t>
      </w:r>
      <w:r>
        <w:rPr>
          <w:i/>
        </w:rPr>
        <w:t>.</w:t>
      </w:r>
    </w:p>
    <w:p w:rsidR="00145838" w:rsidRPr="00145838" w:rsidRDefault="00145838" w:rsidP="00145838">
      <w:pPr>
        <w:spacing w:before="360" w:after="240"/>
        <w:rPr>
          <w:i/>
        </w:rPr>
      </w:pPr>
      <w:bookmarkStart w:id="7" w:name="_GoBack"/>
      <w:bookmarkEnd w:id="7"/>
    </w:p>
    <w:sectPr w:rsidR="00145838" w:rsidRPr="00145838" w:rsidSect="00145838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FA9" w:rsidRPr="00F96C2D" w:rsidRDefault="001B2FA9">
      <w:r w:rsidRPr="00F96C2D">
        <w:separator/>
      </w:r>
    </w:p>
  </w:endnote>
  <w:endnote w:type="continuationSeparator" w:id="0">
    <w:p w:rsidR="001B2FA9" w:rsidRPr="00F96C2D" w:rsidRDefault="001B2FA9">
      <w:r w:rsidRPr="00F96C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FA9" w:rsidRPr="00F96C2D" w:rsidRDefault="001B2FA9">
      <w:r w:rsidRPr="00F96C2D">
        <w:separator/>
      </w:r>
    </w:p>
  </w:footnote>
  <w:footnote w:type="continuationSeparator" w:id="0">
    <w:p w:rsidR="001B2FA9" w:rsidRPr="00F96C2D" w:rsidRDefault="001B2FA9">
      <w:r w:rsidRPr="00F96C2D">
        <w:continuationSeparator/>
      </w:r>
    </w:p>
  </w:footnote>
  <w:footnote w:id="1">
    <w:p w:rsidR="001B2FA9" w:rsidRPr="0098392D" w:rsidRDefault="001B2FA9" w:rsidP="00F96C2D">
      <w:pPr>
        <w:pStyle w:val="FootnoteText"/>
        <w:ind w:left="567" w:hanging="567"/>
        <w:rPr>
          <w:sz w:val="24"/>
          <w:szCs w:val="24"/>
          <w:lang w:val="mt-MT"/>
        </w:rPr>
      </w:pPr>
      <w:r w:rsidRPr="0098392D">
        <w:rPr>
          <w:rStyle w:val="FootnoteReference"/>
          <w:sz w:val="24"/>
          <w:szCs w:val="24"/>
          <w:lang w:val="mt-MT"/>
        </w:rPr>
        <w:footnoteRef/>
      </w:r>
      <w:r w:rsidRPr="0098392D">
        <w:rPr>
          <w:sz w:val="24"/>
          <w:szCs w:val="24"/>
          <w:lang w:val="mt-MT"/>
        </w:rPr>
        <w:t xml:space="preserve"> </w:t>
      </w:r>
      <w:r w:rsidRPr="0098392D">
        <w:rPr>
          <w:sz w:val="24"/>
          <w:szCs w:val="24"/>
          <w:lang w:val="mt-MT"/>
        </w:rPr>
        <w:tab/>
        <w:t>Għadha mhix ippubblikata fil-Ġurnal Uffiċjali.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MT"/>
    <w:docVar w:name="dvnumam" w:val="0"/>
    <w:docVar w:name="dvpe" w:val="746.964"/>
    <w:docVar w:name="dvrapporteur" w:val="Rapporteur: "/>
    <w:docVar w:name="dvstar" w:val="***I"/>
    <w:docVar w:name="dvtitre" w:val="Riżoluzzjoni leġiżlattiva tal-Parlament Ewropew tas-6 ta' Frar 2024 dwar il-proposta għal direttiva tal-Parlament Ewropew u tal-Kunsill li temenda d-Direttiva tal-Kunsill 98/24/KE u d-Direttiva 2004/37/KE tal-Parlament Ewropew u tal-Kunsill fir-rigward tal-valuri ta’ limitu għaċ-ċomb u l-komposti inorganiċi tiegħu u d-diisoċjanati(COM(2023)0071 – C9-0022/2023 – 2023/0033(COD))"/>
  </w:docVars>
  <w:rsids>
    <w:rsidRoot w:val="0075482B"/>
    <w:rsid w:val="00002272"/>
    <w:rsid w:val="00064002"/>
    <w:rsid w:val="000677B9"/>
    <w:rsid w:val="000831BA"/>
    <w:rsid w:val="000A42CC"/>
    <w:rsid w:val="000E22BC"/>
    <w:rsid w:val="000E7DD9"/>
    <w:rsid w:val="0010095E"/>
    <w:rsid w:val="00125B37"/>
    <w:rsid w:val="00145838"/>
    <w:rsid w:val="00187494"/>
    <w:rsid w:val="001B2FA9"/>
    <w:rsid w:val="001C268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BEF"/>
    <w:rsid w:val="004C0004"/>
    <w:rsid w:val="004C5D52"/>
    <w:rsid w:val="0050519A"/>
    <w:rsid w:val="005072A1"/>
    <w:rsid w:val="00514517"/>
    <w:rsid w:val="00545827"/>
    <w:rsid w:val="00560270"/>
    <w:rsid w:val="005700AC"/>
    <w:rsid w:val="005C2568"/>
    <w:rsid w:val="005C5732"/>
    <w:rsid w:val="006037C0"/>
    <w:rsid w:val="00640D76"/>
    <w:rsid w:val="006631B6"/>
    <w:rsid w:val="00680577"/>
    <w:rsid w:val="006F74FA"/>
    <w:rsid w:val="00731ADD"/>
    <w:rsid w:val="00734777"/>
    <w:rsid w:val="00747932"/>
    <w:rsid w:val="00751A4A"/>
    <w:rsid w:val="0075482B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1D2F"/>
    <w:rsid w:val="009509D8"/>
    <w:rsid w:val="00950B64"/>
    <w:rsid w:val="00981893"/>
    <w:rsid w:val="0098392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7F23"/>
    <w:rsid w:val="00ED169E"/>
    <w:rsid w:val="00ED4235"/>
    <w:rsid w:val="00F04346"/>
    <w:rsid w:val="00F075DC"/>
    <w:rsid w:val="00F149E9"/>
    <w:rsid w:val="00F5134D"/>
    <w:rsid w:val="00F74202"/>
    <w:rsid w:val="00F87713"/>
    <w:rsid w:val="00F96C2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06C31"/>
  <w15:chartTrackingRefBased/>
  <w15:docId w15:val="{A160FB18-F63E-4F97-8D5E-717ACCB65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E22B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2B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2B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2B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2B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2BC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2BC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0E22BC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0E22BC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0E22B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E22B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E22B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E22BC"/>
    <w:pPr>
      <w:spacing w:after="120"/>
    </w:pPr>
  </w:style>
  <w:style w:type="paragraph" w:customStyle="1" w:styleId="PageHeading">
    <w:name w:val="PageHeading"/>
    <w:basedOn w:val="Normal"/>
    <w:rsid w:val="000E22B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E22BC"/>
    <w:rPr>
      <w:b/>
    </w:rPr>
  </w:style>
  <w:style w:type="paragraph" w:customStyle="1" w:styleId="NormalBold12a">
    <w:name w:val="NormalBold12a"/>
    <w:basedOn w:val="Normal"/>
    <w:rsid w:val="000E22BC"/>
    <w:pPr>
      <w:spacing w:after="240"/>
    </w:pPr>
    <w:rPr>
      <w:b/>
    </w:rPr>
  </w:style>
  <w:style w:type="paragraph" w:customStyle="1" w:styleId="AmJustText">
    <w:name w:val="AmJustText"/>
    <w:basedOn w:val="Normal"/>
    <w:rsid w:val="000E22B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E22B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E22BC"/>
    <w:pPr>
      <w:spacing w:after="480"/>
      <w:ind w:left="1417"/>
    </w:pPr>
  </w:style>
  <w:style w:type="paragraph" w:customStyle="1" w:styleId="CoverNormal">
    <w:name w:val="CoverNormal"/>
    <w:basedOn w:val="Normal"/>
    <w:rsid w:val="000E22BC"/>
    <w:pPr>
      <w:ind w:left="1418"/>
    </w:pPr>
  </w:style>
  <w:style w:type="paragraph" w:customStyle="1" w:styleId="AmCrossRef">
    <w:name w:val="AmCrossRef"/>
    <w:basedOn w:val="Normal"/>
    <w:rsid w:val="000E22B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E22B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E22B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E22B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E22B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E22B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E22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22BC"/>
    <w:rPr>
      <w:sz w:val="24"/>
      <w:lang w:val="mt-MT"/>
    </w:rPr>
  </w:style>
  <w:style w:type="paragraph" w:customStyle="1" w:styleId="AmOrLang">
    <w:name w:val="AmOrLang"/>
    <w:basedOn w:val="Normal"/>
    <w:rsid w:val="000E22B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E22B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E22B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E22BC"/>
    <w:pPr>
      <w:spacing w:before="240"/>
    </w:pPr>
    <w:rPr>
      <w:b/>
    </w:rPr>
  </w:style>
  <w:style w:type="paragraph" w:customStyle="1" w:styleId="EPBody">
    <w:name w:val="EPBody"/>
    <w:basedOn w:val="Normal"/>
    <w:rsid w:val="000E22B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E22B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E22BC"/>
    <w:pPr>
      <w:spacing w:before="480" w:after="240"/>
    </w:pPr>
  </w:style>
  <w:style w:type="paragraph" w:customStyle="1" w:styleId="Lgendesigne">
    <w:name w:val="Légende signe"/>
    <w:basedOn w:val="Normal"/>
    <w:rsid w:val="000E22B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E22B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E22BC"/>
    <w:rPr>
      <w:sz w:val="18"/>
    </w:rPr>
  </w:style>
  <w:style w:type="paragraph" w:customStyle="1" w:styleId="Normal6">
    <w:name w:val="Normal6"/>
    <w:basedOn w:val="Normal"/>
    <w:link w:val="Normal6Char"/>
    <w:rsid w:val="000E22BC"/>
    <w:pPr>
      <w:spacing w:after="120"/>
    </w:pPr>
  </w:style>
  <w:style w:type="paragraph" w:customStyle="1" w:styleId="Normal12Italic">
    <w:name w:val="Normal12Italic"/>
    <w:basedOn w:val="Normal"/>
    <w:rsid w:val="000E22BC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0E22BC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0E22BC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0E22BC"/>
    <w:rPr>
      <w:color w:val="0000FF"/>
      <w:u w:val="single"/>
    </w:rPr>
  </w:style>
  <w:style w:type="character" w:customStyle="1" w:styleId="super">
    <w:name w:val="super"/>
    <w:basedOn w:val="DefaultParagraphFont"/>
    <w:rsid w:val="000E22BC"/>
  </w:style>
  <w:style w:type="character" w:styleId="CommentReference">
    <w:name w:val="annotation reference"/>
    <w:basedOn w:val="DefaultParagraphFont"/>
    <w:uiPriority w:val="99"/>
    <w:unhideWhenUsed/>
    <w:rsid w:val="000E22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22BC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22BC"/>
    <w:rPr>
      <w:rFonts w:eastAsiaTheme="minorHAnsi"/>
      <w:lang w:val="mt-MT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0E22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E22BC"/>
    <w:rPr>
      <w:rFonts w:ascii="Segoe UI" w:hAnsi="Segoe UI" w:cs="Segoe UI"/>
      <w:sz w:val="18"/>
      <w:szCs w:val="18"/>
      <w:lang w:val="mt-MT"/>
    </w:rPr>
  </w:style>
  <w:style w:type="paragraph" w:styleId="ListBullet2">
    <w:name w:val="List Bullet 2"/>
    <w:basedOn w:val="Normal"/>
    <w:uiPriority w:val="99"/>
    <w:unhideWhenUsed/>
    <w:rsid w:val="000E22B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0E22BC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0E22BC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0E22BC"/>
  </w:style>
  <w:style w:type="paragraph" w:customStyle="1" w:styleId="title-gr-seq-level-2">
    <w:name w:val="title-gr-seq-level-2"/>
    <w:basedOn w:val="Normal"/>
    <w:rsid w:val="000E22B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0E22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22BC"/>
    <w:rPr>
      <w:sz w:val="24"/>
      <w:lang w:val="mt-MT"/>
    </w:rPr>
  </w:style>
  <w:style w:type="character" w:customStyle="1" w:styleId="NormalBoldChar">
    <w:name w:val="NormalBold Char"/>
    <w:basedOn w:val="DefaultParagraphFont"/>
    <w:link w:val="NormalBold"/>
    <w:rsid w:val="000E22BC"/>
    <w:rPr>
      <w:b/>
      <w:sz w:val="24"/>
      <w:lang w:val="mt-MT"/>
    </w:rPr>
  </w:style>
  <w:style w:type="paragraph" w:customStyle="1" w:styleId="JustificationTitle">
    <w:name w:val="JustificationTitle"/>
    <w:basedOn w:val="Normal"/>
    <w:next w:val="Normal"/>
    <w:rsid w:val="000E22BC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0E22BC"/>
    <w:rPr>
      <w:sz w:val="24"/>
      <w:lang w:val="mt-MT"/>
    </w:rPr>
  </w:style>
  <w:style w:type="paragraph" w:customStyle="1" w:styleId="ColumnHeading">
    <w:name w:val="ColumnHeading"/>
    <w:basedOn w:val="Normal"/>
    <w:rsid w:val="000E22B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E22B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E22BC"/>
    <w:pPr>
      <w:spacing w:before="240"/>
      <w:jc w:val="center"/>
    </w:pPr>
    <w:rPr>
      <w:i/>
    </w:rPr>
  </w:style>
  <w:style w:type="paragraph" w:customStyle="1" w:styleId="Olang">
    <w:name w:val="Olang"/>
    <w:rsid w:val="000E22BC"/>
    <w:pPr>
      <w:jc w:val="right"/>
    </w:pPr>
    <w:rPr>
      <w:lang w:val="mt-MT"/>
    </w:rPr>
  </w:style>
  <w:style w:type="character" w:customStyle="1" w:styleId="Footer2Middle">
    <w:name w:val="Footer2Middle"/>
    <w:rsid w:val="000E22BC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0E22BC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E22BC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E22BC"/>
    <w:rPr>
      <w:rFonts w:eastAsiaTheme="minorHAnsi"/>
      <w:b/>
      <w:bCs/>
      <w:lang w:val="mt-MT" w:eastAsia="en-US"/>
    </w:rPr>
  </w:style>
  <w:style w:type="paragraph" w:customStyle="1" w:styleId="Normal12a">
    <w:name w:val="Normal12a"/>
    <w:basedOn w:val="Normal"/>
    <w:rsid w:val="000E22BC"/>
    <w:pPr>
      <w:spacing w:after="240"/>
    </w:pPr>
  </w:style>
  <w:style w:type="paragraph" w:customStyle="1" w:styleId="RollCallVotes">
    <w:name w:val="RollCallVotes"/>
    <w:basedOn w:val="Normal"/>
    <w:rsid w:val="000E22B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E22B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E22B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E22BC"/>
    <w:pPr>
      <w:spacing w:before="120" w:after="120"/>
    </w:pPr>
    <w:rPr>
      <w:snapToGrid w:val="0"/>
      <w:sz w:val="16"/>
      <w:lang w:eastAsia="en-US"/>
    </w:rPr>
  </w:style>
  <w:style w:type="paragraph" w:styleId="HTMLPreformatted">
    <w:name w:val="HTML Preformatted"/>
    <w:basedOn w:val="Normal"/>
    <w:link w:val="HTMLPreformattedChar"/>
    <w:rsid w:val="001B2FA9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1B2FA9"/>
    <w:rPr>
      <w:rFonts w:ascii="Consolas" w:hAnsi="Consolas"/>
      <w:lang w:val="mt-MT"/>
    </w:rPr>
  </w:style>
  <w:style w:type="numbering" w:customStyle="1" w:styleId="NoList1">
    <w:name w:val="No List1"/>
    <w:next w:val="NoList"/>
    <w:uiPriority w:val="99"/>
    <w:semiHidden/>
    <w:unhideWhenUsed/>
    <w:rsid w:val="004A4BEF"/>
  </w:style>
  <w:style w:type="paragraph" w:customStyle="1" w:styleId="TOC41">
    <w:name w:val="TOC 41"/>
    <w:basedOn w:val="Normal"/>
    <w:next w:val="Normal"/>
    <w:uiPriority w:val="39"/>
    <w:semiHidden/>
    <w:unhideWhenUsed/>
    <w:rsid w:val="004A4BE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4A4BE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4A4BE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4A4BE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4A4BE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4A4BE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A4BE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A4BE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A4BE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A4BE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4A4BEF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4A4BEF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4A4BEF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4A4BE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A4BE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A4BE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A4BE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A4BE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A4BE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4A4BE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A4BE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A4BE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A4BE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A4BEF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A4BE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A4BEF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A4BE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A4BE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A4BE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A4BE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A4BE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A4BE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A4BE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4A4BE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A4BE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A4BE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A4BE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4A4BE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A4BE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A4BE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A4BE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A4BE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A4BE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A4BE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A4BE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A4BE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A4BE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A4BE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A4BE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A4BEF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4A4BEF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4A4BEF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4A4BEF"/>
    <w:pPr>
      <w:widowControl/>
      <w:numPr>
        <w:numId w:val="6"/>
      </w:numPr>
      <w:tabs>
        <w:tab w:val="clear" w:pos="255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4A4BEF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A4BEF"/>
    <w:pPr>
      <w:widowControl/>
      <w:numPr>
        <w:numId w:val="8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A4BEF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A4BEF"/>
    <w:pPr>
      <w:widowControl/>
      <w:numPr>
        <w:numId w:val="10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A4BEF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A4BEF"/>
    <w:pPr>
      <w:widowControl/>
      <w:numPr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A4BEF"/>
    <w:pPr>
      <w:widowControl/>
      <w:numPr>
        <w:ilvl w:val="1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A4BEF"/>
    <w:pPr>
      <w:widowControl/>
      <w:numPr>
        <w:ilvl w:val="2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A4BEF"/>
    <w:pPr>
      <w:widowControl/>
      <w:numPr>
        <w:ilvl w:val="3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A4BEF"/>
    <w:pPr>
      <w:widowControl/>
      <w:numPr>
        <w:ilvl w:val="4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A4BEF"/>
    <w:pPr>
      <w:widowControl/>
      <w:numPr>
        <w:ilvl w:val="5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A4BEF"/>
    <w:pPr>
      <w:widowControl/>
      <w:numPr>
        <w:ilvl w:val="6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A4BE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A4BE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A4BE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A4BE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A4BE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A4BE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A4BE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A4BE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A4BE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A4BE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A4BE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A4BE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A4BE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A4BE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A4BE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A4BEF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A4BEF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A4BEF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A4BEF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4A4BEF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A4BEF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A4BEF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A4BEF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A4BEF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A4BEF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A4BEF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A4BEF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A4BEF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A4BEF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A4BEF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A4BEF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A4BEF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A4BEF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A4BEF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A4BEF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A4BEF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A4BEF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A4BE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A4BE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A4BEF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A4BEF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A4BE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A4BEF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A4BEF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A4BEF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A4BEF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A4BEF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4A4BEF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A4BE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A4BEF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A4BEF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A4BE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A4BE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A4BE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A4BE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A4BE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A4BE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A4BE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A4BE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A4BE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A4BE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A4BE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A4BE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A4BE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A4BEF"/>
    <w:pPr>
      <w:spacing w:before="240"/>
    </w:pPr>
  </w:style>
  <w:style w:type="paragraph" w:customStyle="1" w:styleId="Accordtitre">
    <w:name w:val="Accord titre"/>
    <w:basedOn w:val="Normal"/>
    <w:rsid w:val="004A4BE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A4BE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A4BE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A4BE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A4BE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A4BEF"/>
    <w:pPr>
      <w:spacing w:after="240"/>
    </w:pPr>
  </w:style>
  <w:style w:type="paragraph" w:customStyle="1" w:styleId="Annexetitre">
    <w:name w:val="Annexe titre"/>
    <w:basedOn w:val="Normal"/>
    <w:next w:val="Normal"/>
    <w:rsid w:val="004A4BE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A4BE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4A4BEF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4A4BEF"/>
    <w:rPr>
      <w:rFonts w:ascii="Times New Roman" w:hAnsi="Times New Roman" w:cs="Times New Roman"/>
      <w:sz w:val="20"/>
      <w:szCs w:val="20"/>
      <w:lang w:val="mt-MT"/>
    </w:rPr>
  </w:style>
  <w:style w:type="character" w:styleId="EndnoteReference">
    <w:name w:val="endnote reference"/>
    <w:basedOn w:val="DefaultParagraphFont"/>
    <w:uiPriority w:val="99"/>
    <w:unhideWhenUsed/>
    <w:rsid w:val="004A4BEF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4A4BE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A4BE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A4BE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A4BE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A4BE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A4BE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A4BE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A4BE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A4BE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A4BE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A4BE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A4BE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A4BE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A4BE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A4BE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A4BE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A4BE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A4BE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A4BE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A4BE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A4BE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A4BE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A4BE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A4BE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A4BE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A4BE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4A4BE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4A4BEF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4A4BEF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4A4BEF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A4BEF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4A4BEF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frenceinterinstitutionnelle">
    <w:name w:val="Référence interinstitutionnelle"/>
    <w:basedOn w:val="Normal"/>
    <w:next w:val="Statut"/>
    <w:rsid w:val="004A4BE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Paragraph21">
    <w:name w:val="List Paragraph21"/>
    <w:basedOn w:val="Normal"/>
    <w:next w:val="ListParagraph"/>
    <w:link w:val="ListParagraphChar"/>
    <w:uiPriority w:val="34"/>
    <w:qFormat/>
    <w:rsid w:val="004A4BEF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ListParagraphChar">
    <w:name w:val="List Paragraph Char"/>
    <w:aliases w:val="Style Bullet Char,Dot pt Char,F5 List Paragraph Char,List Paragraph1 Char,No Spacing1 Char,List Paragraph Char Char Char Char,Indicator Text Char,Colorful List - Accent 11 Char,Numbered Para 1 Char,Bullet Points Char"/>
    <w:basedOn w:val="DefaultParagraphFont"/>
    <w:link w:val="ListParagraph21"/>
    <w:uiPriority w:val="34"/>
    <w:qFormat/>
    <w:rsid w:val="004A4BEF"/>
    <w:rPr>
      <w:lang w:val="mt-MT"/>
    </w:rPr>
  </w:style>
  <w:style w:type="paragraph" w:customStyle="1" w:styleId="Revision1">
    <w:name w:val="Revision1"/>
    <w:next w:val="Revision"/>
    <w:hidden/>
    <w:uiPriority w:val="99"/>
    <w:semiHidden/>
    <w:rsid w:val="004A4BEF"/>
    <w:rPr>
      <w:rFonts w:eastAsia="Calibri"/>
      <w:sz w:val="24"/>
      <w:szCs w:val="22"/>
      <w:lang w:val="mt-MT" w:eastAsia="en-US"/>
    </w:rPr>
  </w:style>
  <w:style w:type="character" w:customStyle="1" w:styleId="diff-tte-added">
    <w:name w:val="diff-tte-added"/>
    <w:basedOn w:val="DefaultParagraphFont"/>
    <w:rsid w:val="004A4BEF"/>
    <w:rPr>
      <w:b/>
      <w:i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A4BEF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4A4BEF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4A4BEF"/>
    <w:rPr>
      <w:lang w:val="mt-MT"/>
    </w:rPr>
  </w:style>
  <w:style w:type="paragraph" w:styleId="ListParagraph">
    <w:name w:val="List Paragraph"/>
    <w:basedOn w:val="Normal"/>
    <w:uiPriority w:val="34"/>
    <w:qFormat/>
    <w:rsid w:val="004A4BEF"/>
    <w:pPr>
      <w:ind w:left="720"/>
      <w:contextualSpacing/>
    </w:pPr>
  </w:style>
  <w:style w:type="paragraph" w:styleId="Revision">
    <w:name w:val="Revision"/>
    <w:hidden/>
    <w:uiPriority w:val="99"/>
    <w:semiHidden/>
    <w:rsid w:val="004A4BEF"/>
    <w:rPr>
      <w:sz w:val="24"/>
      <w:lang w:val="mt-MT"/>
    </w:rPr>
  </w:style>
  <w:style w:type="character" w:styleId="FollowedHyperlink">
    <w:name w:val="FollowedHyperlink"/>
    <w:basedOn w:val="DefaultParagraphFont"/>
    <w:rsid w:val="004A4B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10C4F-1F0B-44C2-8D2B-0CE69C067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295</Words>
  <Characters>2456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2024-06-13T13:29:00Z</dcterms:created>
  <dcterms:modified xsi:type="dcterms:W3CDTF">2024-06-13T13:29:00Z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A9-0263/2023</vt:lpwstr>
  </property>
  <property fmtid="{D5CDD505-2E9C-101B-9397-08002B2CF9AE}" pid="4" name="&lt;Type&gt;">
    <vt:lpwstr>RR</vt:lpwstr>
  </property>
</Properties>
</file>