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0B5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0B5F" w:rsidRDefault="00276E39" w:rsidP="0010095E">
            <w:pPr>
              <w:pStyle w:val="EPName"/>
            </w:pPr>
            <w:r w:rsidRPr="00010B5F">
              <w:t>Europaparlamentet</w:t>
            </w:r>
          </w:p>
          <w:p w:rsidR="00751A4A" w:rsidRPr="00010B5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6694">
              <w:t>2019</w:t>
            </w:r>
            <w:r w:rsidRPr="00010B5F">
              <w:t>-</w:t>
            </w:r>
            <w:r w:rsidRPr="008B669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10B5F" w:rsidRDefault="00187494" w:rsidP="0010095E">
            <w:pPr>
              <w:pStyle w:val="EPLogo"/>
            </w:pPr>
            <w:r w:rsidRPr="00010B5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0B5F" w:rsidRDefault="00D058B8" w:rsidP="004C5D52">
      <w:pPr>
        <w:pStyle w:val="LineTop"/>
      </w:pPr>
    </w:p>
    <w:p w:rsidR="00680577" w:rsidRPr="00010B5F" w:rsidRDefault="00276E39" w:rsidP="00680577">
      <w:pPr>
        <w:pStyle w:val="EPBodyTA1"/>
      </w:pPr>
      <w:r w:rsidRPr="00010B5F">
        <w:t>ANTAGNA TEXTER</w:t>
      </w:r>
    </w:p>
    <w:p w:rsidR="00D058B8" w:rsidRPr="00010B5F" w:rsidRDefault="00D058B8" w:rsidP="00D058B8">
      <w:pPr>
        <w:pStyle w:val="LineBottom"/>
      </w:pPr>
    </w:p>
    <w:p w:rsidR="00276E39" w:rsidRPr="00010B5F" w:rsidRDefault="00276E39" w:rsidP="00276E39">
      <w:pPr>
        <w:pStyle w:val="ATHeading1"/>
      </w:pPr>
      <w:bookmarkStart w:id="0" w:name="TANumber"/>
      <w:r w:rsidRPr="00010B5F">
        <w:t>P</w:t>
      </w:r>
      <w:r w:rsidRPr="008B6694">
        <w:t>9</w:t>
      </w:r>
      <w:r w:rsidRPr="00010B5F">
        <w:t>_TA(</w:t>
      </w:r>
      <w:r w:rsidRPr="008B6694">
        <w:t>2024</w:t>
      </w:r>
      <w:r w:rsidRPr="00010B5F">
        <w:t>)</w:t>
      </w:r>
      <w:r w:rsidRPr="008B6694">
        <w:t>00</w:t>
      </w:r>
      <w:r w:rsidR="00010B5F" w:rsidRPr="008B6694">
        <w:t>66</w:t>
      </w:r>
      <w:bookmarkEnd w:id="0"/>
    </w:p>
    <w:p w:rsidR="00276E39" w:rsidRPr="00010B5F" w:rsidRDefault="00276E39" w:rsidP="00276E39">
      <w:pPr>
        <w:pStyle w:val="ATHeading2"/>
      </w:pPr>
      <w:bookmarkStart w:id="1" w:name="title"/>
      <w:r w:rsidRPr="00010B5F">
        <w:t>Gränsvärden för bly och dess oorganiska föreningar och för diisocyanater</w:t>
      </w:r>
      <w:bookmarkEnd w:id="1"/>
    </w:p>
    <w:p w:rsidR="00276E39" w:rsidRPr="00010B5F" w:rsidRDefault="00276E39" w:rsidP="00276E39">
      <w:pPr>
        <w:rPr>
          <w:i/>
          <w:vanish/>
        </w:rPr>
      </w:pPr>
      <w:r w:rsidRPr="00010B5F">
        <w:rPr>
          <w:i/>
        </w:rPr>
        <w:fldChar w:fldCharType="begin"/>
      </w:r>
      <w:r w:rsidRPr="00010B5F">
        <w:rPr>
          <w:i/>
        </w:rPr>
        <w:instrText xml:space="preserve"> TC"(</w:instrText>
      </w:r>
      <w:bookmarkStart w:id="2" w:name="DocNumber"/>
      <w:r w:rsidRPr="00010B5F">
        <w:rPr>
          <w:i/>
        </w:rPr>
        <w:instrText>A</w:instrText>
      </w:r>
      <w:r w:rsidRPr="008B6694">
        <w:rPr>
          <w:i/>
        </w:rPr>
        <w:instrText>9</w:instrText>
      </w:r>
      <w:r w:rsidRPr="00010B5F">
        <w:rPr>
          <w:i/>
        </w:rPr>
        <w:instrText>-</w:instrText>
      </w:r>
      <w:r w:rsidRPr="008B6694">
        <w:rPr>
          <w:i/>
        </w:rPr>
        <w:instrText>0263</w:instrText>
      </w:r>
      <w:r w:rsidRPr="00010B5F">
        <w:rPr>
          <w:i/>
        </w:rPr>
        <w:instrText>/</w:instrText>
      </w:r>
      <w:r w:rsidRPr="008B6694">
        <w:rPr>
          <w:i/>
        </w:rPr>
        <w:instrText>2023</w:instrText>
      </w:r>
      <w:bookmarkEnd w:id="2"/>
      <w:r w:rsidRPr="00010B5F">
        <w:rPr>
          <w:i/>
        </w:rPr>
        <w:instrText xml:space="preserve"> - Föredragande: Nikolaj Villumsen)"\l</w:instrText>
      </w:r>
      <w:r w:rsidRPr="008B6694">
        <w:rPr>
          <w:i/>
        </w:rPr>
        <w:instrText>3</w:instrText>
      </w:r>
      <w:r w:rsidRPr="00010B5F">
        <w:rPr>
          <w:i/>
        </w:rPr>
        <w:instrText xml:space="preserve"> \n&gt; \* MERGEFORMAT </w:instrText>
      </w:r>
      <w:r w:rsidRPr="00010B5F">
        <w:rPr>
          <w:i/>
        </w:rPr>
        <w:fldChar w:fldCharType="end"/>
      </w:r>
    </w:p>
    <w:p w:rsidR="00276E39" w:rsidRPr="00010B5F" w:rsidRDefault="00276E39" w:rsidP="00276E39">
      <w:pPr>
        <w:rPr>
          <w:vanish/>
        </w:rPr>
      </w:pPr>
      <w:bookmarkStart w:id="3" w:name="Commission"/>
      <w:r w:rsidRPr="00010B5F">
        <w:rPr>
          <w:vanish/>
        </w:rPr>
        <w:t>Utskottet för sysselsättning och sociala frågor</w:t>
      </w:r>
      <w:bookmarkEnd w:id="3"/>
    </w:p>
    <w:p w:rsidR="00276E39" w:rsidRPr="00010B5F" w:rsidRDefault="00276E39" w:rsidP="00276E39">
      <w:pPr>
        <w:rPr>
          <w:vanish/>
        </w:rPr>
      </w:pPr>
      <w:bookmarkStart w:id="4" w:name="PE"/>
      <w:r w:rsidRPr="00010B5F">
        <w:rPr>
          <w:vanish/>
        </w:rPr>
        <w:t>PE</w:t>
      </w:r>
      <w:r w:rsidRPr="008B6694">
        <w:rPr>
          <w:vanish/>
        </w:rPr>
        <w:t>746</w:t>
      </w:r>
      <w:r w:rsidRPr="00010B5F">
        <w:rPr>
          <w:vanish/>
        </w:rPr>
        <w:t>.</w:t>
      </w:r>
      <w:r w:rsidRPr="008B6694">
        <w:rPr>
          <w:vanish/>
        </w:rPr>
        <w:t>964</w:t>
      </w:r>
      <w:bookmarkEnd w:id="4"/>
    </w:p>
    <w:p w:rsidR="00276E39" w:rsidRPr="00010B5F" w:rsidRDefault="00276E39" w:rsidP="00276E39">
      <w:pPr>
        <w:pStyle w:val="ATHeading3"/>
      </w:pPr>
      <w:bookmarkStart w:id="5" w:name="Sujet"/>
      <w:r w:rsidRPr="00010B5F">
        <w:t xml:space="preserve">Europaparlamentets lagstiftningsresolution av den </w:t>
      </w:r>
      <w:r w:rsidR="00EC367F" w:rsidRPr="008B6694">
        <w:t>7</w:t>
      </w:r>
      <w:r w:rsidRPr="00010B5F">
        <w:t xml:space="preserve"> </w:t>
      </w:r>
      <w:r w:rsidR="00ED2696" w:rsidRPr="00010B5F">
        <w:t>februari</w:t>
      </w:r>
      <w:r w:rsidRPr="00010B5F">
        <w:t xml:space="preserve"> </w:t>
      </w:r>
      <w:r w:rsidRPr="008B6694">
        <w:t>2024</w:t>
      </w:r>
      <w:r w:rsidRPr="00010B5F">
        <w:t xml:space="preserve"> om förslaget till Europaparlamentets och rådets direktiv om ändring av rådets direktiv </w:t>
      </w:r>
      <w:r w:rsidRPr="008B6694">
        <w:t>98</w:t>
      </w:r>
      <w:r w:rsidRPr="00010B5F">
        <w:t>/</w:t>
      </w:r>
      <w:r w:rsidRPr="008B6694">
        <w:t>24</w:t>
      </w:r>
      <w:r w:rsidRPr="00010B5F">
        <w:t xml:space="preserve">/EG och Europaparlamentets och rådets direktiv </w:t>
      </w:r>
      <w:r w:rsidRPr="008B6694">
        <w:t>2004</w:t>
      </w:r>
      <w:r w:rsidRPr="00010B5F">
        <w:t>/</w:t>
      </w:r>
      <w:r w:rsidRPr="008B6694">
        <w:t>37</w:t>
      </w:r>
      <w:r w:rsidRPr="00010B5F">
        <w:t>/EG vad gäller gränsvärdena för bly och dess oorganiska föreningar och för diisocyanater</w:t>
      </w:r>
      <w:bookmarkEnd w:id="5"/>
      <w:r w:rsidRPr="00010B5F">
        <w:t xml:space="preserve"> </w:t>
      </w:r>
      <w:bookmarkStart w:id="6" w:name="References"/>
      <w:r w:rsidRPr="00010B5F">
        <w:t>(COM(</w:t>
      </w:r>
      <w:r w:rsidRPr="008B6694">
        <w:t>2023</w:t>
      </w:r>
      <w:r w:rsidRPr="00010B5F">
        <w:t>)</w:t>
      </w:r>
      <w:r w:rsidRPr="008B6694">
        <w:t>0071</w:t>
      </w:r>
      <w:r w:rsidRPr="00010B5F">
        <w:t xml:space="preserve"> – C</w:t>
      </w:r>
      <w:r w:rsidRPr="008B6694">
        <w:t>9</w:t>
      </w:r>
      <w:r w:rsidRPr="00010B5F">
        <w:t>-</w:t>
      </w:r>
      <w:r w:rsidRPr="008B6694">
        <w:t>0022</w:t>
      </w:r>
      <w:r w:rsidRPr="00010B5F">
        <w:t>/</w:t>
      </w:r>
      <w:r w:rsidRPr="008B6694">
        <w:t>2023</w:t>
      </w:r>
      <w:r w:rsidRPr="00010B5F">
        <w:t xml:space="preserve"> – </w:t>
      </w:r>
      <w:r w:rsidRPr="008B6694">
        <w:t>2023</w:t>
      </w:r>
      <w:r w:rsidRPr="00010B5F">
        <w:t>/</w:t>
      </w:r>
      <w:r w:rsidRPr="008B6694">
        <w:t>0033</w:t>
      </w:r>
      <w:r w:rsidRPr="00010B5F">
        <w:t>(COD))</w:t>
      </w:r>
      <w:bookmarkEnd w:id="6"/>
    </w:p>
    <w:p w:rsidR="00ED2696" w:rsidRPr="00010B5F" w:rsidRDefault="00ED2696" w:rsidP="004A2421">
      <w:pPr>
        <w:pStyle w:val="NormalBold"/>
        <w:rPr>
          <w:b w:val="0"/>
        </w:rPr>
      </w:pPr>
      <w:bookmarkStart w:id="7" w:name="TextBodyBegin"/>
      <w:bookmarkEnd w:id="7"/>
    </w:p>
    <w:p w:rsidR="004A2421" w:rsidRPr="00010B5F" w:rsidRDefault="004A2421" w:rsidP="004A2421">
      <w:pPr>
        <w:pStyle w:val="NormalBold"/>
      </w:pPr>
      <w:r w:rsidRPr="00010B5F">
        <w:t>(Ordinarie lagstiftningsförfarande: första behandlingen)</w:t>
      </w:r>
    </w:p>
    <w:p w:rsidR="004A2421" w:rsidRPr="00010B5F" w:rsidRDefault="004A2421" w:rsidP="004A2421">
      <w:pPr>
        <w:pStyle w:val="EPComma"/>
      </w:pPr>
      <w:r w:rsidRPr="00010B5F">
        <w:rPr>
          <w:i/>
        </w:rPr>
        <w:t>Europaparlamentet utfärdar denna resolution</w:t>
      </w:r>
    </w:p>
    <w:p w:rsidR="004A2421" w:rsidRPr="00010B5F" w:rsidRDefault="004A2421" w:rsidP="004A2421">
      <w:pPr>
        <w:pStyle w:val="NormalHanging12a"/>
      </w:pPr>
      <w:r w:rsidRPr="00010B5F">
        <w:t>–</w:t>
      </w:r>
      <w:r w:rsidRPr="00010B5F">
        <w:tab/>
        <w:t>med beaktande av kommissionens förslag till Europaparlamentet och rådet (COM(</w:t>
      </w:r>
      <w:r w:rsidRPr="008B6694">
        <w:t>2023</w:t>
      </w:r>
      <w:r w:rsidRPr="00010B5F">
        <w:t>)</w:t>
      </w:r>
      <w:r w:rsidRPr="008B6694">
        <w:t>0071</w:t>
      </w:r>
      <w:r w:rsidRPr="00010B5F">
        <w:t>),</w:t>
      </w:r>
    </w:p>
    <w:p w:rsidR="004A2421" w:rsidRPr="00010B5F" w:rsidRDefault="004A2421" w:rsidP="004A2421">
      <w:pPr>
        <w:pStyle w:val="NormalHanging12a"/>
      </w:pPr>
      <w:r w:rsidRPr="00010B5F">
        <w:t>–</w:t>
      </w:r>
      <w:r w:rsidRPr="00010B5F">
        <w:tab/>
        <w:t xml:space="preserve">med beaktande av artiklarna </w:t>
      </w:r>
      <w:r w:rsidRPr="008B6694">
        <w:t>294</w:t>
      </w:r>
      <w:r w:rsidRPr="00010B5F">
        <w:t>.</w:t>
      </w:r>
      <w:r w:rsidRPr="008B6694">
        <w:t>2</w:t>
      </w:r>
      <w:r w:rsidRPr="00010B5F">
        <w:t xml:space="preserve"> och </w:t>
      </w:r>
      <w:r w:rsidRPr="008B6694">
        <w:t>153</w:t>
      </w:r>
      <w:r w:rsidRPr="00010B5F">
        <w:t>.</w:t>
      </w:r>
      <w:r w:rsidRPr="008B6694">
        <w:t>2</w:t>
      </w:r>
      <w:r w:rsidRPr="00010B5F">
        <w:t xml:space="preserve"> b, jämförda med artikel </w:t>
      </w:r>
      <w:r w:rsidRPr="008B6694">
        <w:t>153</w:t>
      </w:r>
      <w:r w:rsidRPr="00010B5F">
        <w:t>.</w:t>
      </w:r>
      <w:r w:rsidRPr="008B6694">
        <w:t>1</w:t>
      </w:r>
      <w:r w:rsidRPr="00010B5F">
        <w:t xml:space="preserve"> a i fördraget om Europeiska unionens funktionssätt, i enlighet med vilka kommissionen har lagt fram sitt förslag för parlamentet (C</w:t>
      </w:r>
      <w:r w:rsidRPr="008B6694">
        <w:t>9</w:t>
      </w:r>
      <w:r w:rsidRPr="00010B5F">
        <w:noBreakHyphen/>
      </w:r>
      <w:r w:rsidRPr="008B6694">
        <w:t>0022</w:t>
      </w:r>
      <w:r w:rsidRPr="00010B5F">
        <w:t>/</w:t>
      </w:r>
      <w:r w:rsidRPr="008B6694">
        <w:t>2023</w:t>
      </w:r>
      <w:r w:rsidRPr="00010B5F">
        <w:t>),</w:t>
      </w:r>
    </w:p>
    <w:p w:rsidR="004A2421" w:rsidRPr="00010B5F" w:rsidRDefault="004A2421" w:rsidP="004A2421">
      <w:pPr>
        <w:pStyle w:val="NormalHanging12a"/>
      </w:pPr>
      <w:r w:rsidRPr="00010B5F">
        <w:t>–</w:t>
      </w:r>
      <w:r w:rsidRPr="00010B5F">
        <w:tab/>
        <w:t xml:space="preserve">med beaktande av artikel </w:t>
      </w:r>
      <w:r w:rsidRPr="008B6694">
        <w:t>294</w:t>
      </w:r>
      <w:r w:rsidRPr="00010B5F">
        <w:t>.</w:t>
      </w:r>
      <w:r w:rsidRPr="008B6694">
        <w:t>3</w:t>
      </w:r>
      <w:r w:rsidRPr="00010B5F">
        <w:t xml:space="preserve"> i fördraget om Europeiska unionens funktionssätt,</w:t>
      </w:r>
    </w:p>
    <w:p w:rsidR="004A2421" w:rsidRPr="00010B5F" w:rsidRDefault="004A2421" w:rsidP="004A2421">
      <w:pPr>
        <w:pStyle w:val="NormalHanging12a"/>
      </w:pPr>
      <w:r w:rsidRPr="00010B5F">
        <w:t>–</w:t>
      </w:r>
      <w:r w:rsidRPr="00010B5F">
        <w:tab/>
        <w:t xml:space="preserve">med beaktande av Ekonomiska och sociala kommitténs yttrande av den </w:t>
      </w:r>
      <w:r w:rsidRPr="008B6694">
        <w:t>22</w:t>
      </w:r>
      <w:r w:rsidRPr="00010B5F">
        <w:t xml:space="preserve"> mars </w:t>
      </w:r>
      <w:r w:rsidRPr="008B6694">
        <w:t>2023</w:t>
      </w:r>
      <w:r w:rsidRPr="00010B5F">
        <w:rPr>
          <w:vertAlign w:val="superscript"/>
        </w:rPr>
        <w:footnoteReference w:id="1"/>
      </w:r>
      <w:r w:rsidRPr="00010B5F">
        <w:t>,</w:t>
      </w:r>
    </w:p>
    <w:p w:rsidR="00ED2696" w:rsidRPr="00010B5F" w:rsidRDefault="00ED2696" w:rsidP="004A2421">
      <w:pPr>
        <w:pStyle w:val="NormalHanging12a"/>
      </w:pPr>
      <w:r w:rsidRPr="00010B5F">
        <w:t>–</w:t>
      </w:r>
      <w:r w:rsidRPr="00010B5F">
        <w:tab/>
        <w:t>efter att ha hört Regionkommittén,</w:t>
      </w:r>
    </w:p>
    <w:p w:rsidR="00ED2696" w:rsidRPr="00010B5F" w:rsidRDefault="00ED2696" w:rsidP="004A2421">
      <w:pPr>
        <w:pStyle w:val="NormalHanging12a"/>
      </w:pPr>
      <w:r w:rsidRPr="00010B5F">
        <w:t>–</w:t>
      </w:r>
      <w:r w:rsidRPr="00010B5F">
        <w:tab/>
        <w:t xml:space="preserve">med beaktande av den preliminära överenskommelse som godkänts av det ansvariga utskottet enligt artikel </w:t>
      </w:r>
      <w:r w:rsidRPr="008B6694">
        <w:t>74</w:t>
      </w:r>
      <w:r w:rsidRPr="00010B5F">
        <w:t>.</w:t>
      </w:r>
      <w:r w:rsidRPr="008B6694">
        <w:t>4</w:t>
      </w:r>
      <w:r w:rsidRPr="00010B5F">
        <w:t xml:space="preserve"> i arbetsordningen och det skriftliga åtagandet från rådets företrädare av den </w:t>
      </w:r>
      <w:r w:rsidRPr="008B6694">
        <w:t>6</w:t>
      </w:r>
      <w:r w:rsidRPr="00010B5F">
        <w:t xml:space="preserve"> december </w:t>
      </w:r>
      <w:r w:rsidRPr="008B6694">
        <w:t>2023</w:t>
      </w:r>
      <w:r w:rsidRPr="00010B5F">
        <w:t xml:space="preserve"> att godkänna Europaparlamentets ståndpunkt i enlighet med artikel </w:t>
      </w:r>
      <w:r w:rsidRPr="008B6694">
        <w:t>294</w:t>
      </w:r>
      <w:r w:rsidRPr="00010B5F">
        <w:t>.</w:t>
      </w:r>
      <w:r w:rsidRPr="008B6694">
        <w:t>4</w:t>
      </w:r>
      <w:r w:rsidRPr="00010B5F">
        <w:t xml:space="preserve"> i fördraget om Europeiska unionens funktionssätt,</w:t>
      </w:r>
    </w:p>
    <w:p w:rsidR="004A2421" w:rsidRPr="00010B5F" w:rsidRDefault="004A2421" w:rsidP="004A2421">
      <w:pPr>
        <w:pStyle w:val="NormalHanging12a"/>
      </w:pPr>
      <w:r w:rsidRPr="00010B5F">
        <w:t>–</w:t>
      </w:r>
      <w:r w:rsidRPr="00010B5F">
        <w:tab/>
        <w:t xml:space="preserve">med beaktande av artikel </w:t>
      </w:r>
      <w:r w:rsidRPr="008B6694">
        <w:t>59</w:t>
      </w:r>
      <w:r w:rsidRPr="00010B5F">
        <w:t xml:space="preserve"> i arbetsordningen,</w:t>
      </w:r>
    </w:p>
    <w:p w:rsidR="004A2421" w:rsidRPr="00010B5F" w:rsidRDefault="004A2421" w:rsidP="004A2421">
      <w:pPr>
        <w:pStyle w:val="NormalHanging12a"/>
      </w:pPr>
      <w:r w:rsidRPr="00010B5F">
        <w:t>–</w:t>
      </w:r>
      <w:r w:rsidRPr="00010B5F">
        <w:tab/>
        <w:t>med beaktande av utskottet för sysselsättning och sociala frågor (A</w:t>
      </w:r>
      <w:r w:rsidRPr="008B6694">
        <w:t>9</w:t>
      </w:r>
      <w:r w:rsidRPr="00010B5F">
        <w:t>-</w:t>
      </w:r>
      <w:r w:rsidRPr="008B6694">
        <w:t>0263</w:t>
      </w:r>
      <w:r w:rsidRPr="00010B5F">
        <w:t>/</w:t>
      </w:r>
      <w:r w:rsidRPr="008B6694">
        <w:t>2023</w:t>
      </w:r>
      <w:r w:rsidRPr="00010B5F">
        <w:t>).</w:t>
      </w:r>
    </w:p>
    <w:p w:rsidR="004A2421" w:rsidRPr="00010B5F" w:rsidRDefault="004A2421" w:rsidP="004A2421">
      <w:pPr>
        <w:pStyle w:val="NormalHanging12a"/>
      </w:pPr>
      <w:r w:rsidRPr="008B6694">
        <w:t>1</w:t>
      </w:r>
      <w:r w:rsidRPr="00010B5F">
        <w:t>.</w:t>
      </w:r>
      <w:r w:rsidRPr="00010B5F">
        <w:tab/>
        <w:t>Europaparlamentet antar nedanstående ståndpunkt vid första behandlingen.</w:t>
      </w:r>
    </w:p>
    <w:p w:rsidR="004A2421" w:rsidRPr="00010B5F" w:rsidRDefault="004A2421" w:rsidP="004A2421">
      <w:pPr>
        <w:pStyle w:val="NormalHanging12a"/>
      </w:pPr>
      <w:r w:rsidRPr="008B6694">
        <w:t>2</w:t>
      </w:r>
      <w:r w:rsidRPr="00010B5F">
        <w:t>.</w:t>
      </w:r>
      <w:r w:rsidRPr="00010B5F">
        <w:tab/>
        <w:t xml:space="preserve">Europaparlamentet uppmanar kommissionen att på nytt lägga fram ärendet för parlamentet </w:t>
      </w:r>
      <w:r w:rsidRPr="00010B5F">
        <w:lastRenderedPageBreak/>
        <w:t>om den ersätter, väsentligt ändrar eller har för avsikt att väsentligt ändra sitt förslag.</w:t>
      </w:r>
    </w:p>
    <w:p w:rsidR="004A2421" w:rsidRPr="00010B5F" w:rsidRDefault="004A2421" w:rsidP="004A2421">
      <w:pPr>
        <w:pStyle w:val="NormalHanging12a"/>
      </w:pPr>
      <w:r w:rsidRPr="008B6694">
        <w:t>3</w:t>
      </w:r>
      <w:r w:rsidRPr="00010B5F">
        <w:t>.</w:t>
      </w:r>
      <w:r w:rsidRPr="00010B5F">
        <w:tab/>
        <w:t>Europaparlamentet uppdrar åt talmannen att översända parlamentets ståndpunkt till rådet, kommissionen och de nationella parlamenten.</w:t>
      </w:r>
    </w:p>
    <w:p w:rsidR="008B6694" w:rsidRDefault="008B6694" w:rsidP="004A2421">
      <w:pPr>
        <w:widowControl/>
        <w:sectPr w:rsidR="008B6694" w:rsidSect="00EC367F">
          <w:headerReference w:type="default" r:id="rId9"/>
          <w:headerReference w:type="first" r:id="rId10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EC367F" w:rsidRPr="00010B5F" w:rsidRDefault="00EC367F" w:rsidP="00010B5F">
      <w:pPr>
        <w:widowControl/>
        <w:spacing w:before="360" w:after="360"/>
        <w:rPr>
          <w:rFonts w:eastAsia="Calibri"/>
          <w:b/>
          <w:bCs/>
          <w:color w:val="000000"/>
          <w:szCs w:val="24"/>
        </w:rPr>
      </w:pPr>
      <w:r w:rsidRPr="00010B5F">
        <w:rPr>
          <w:rFonts w:eastAsia="Calibri"/>
          <w:b/>
          <w:bCs/>
          <w:color w:val="000000"/>
          <w:szCs w:val="24"/>
        </w:rPr>
        <w:lastRenderedPageBreak/>
        <w:t>P</w:t>
      </w:r>
      <w:r w:rsidRPr="008B6694">
        <w:rPr>
          <w:rFonts w:eastAsia="Calibri"/>
          <w:b/>
          <w:bCs/>
          <w:color w:val="000000"/>
          <w:szCs w:val="24"/>
        </w:rPr>
        <w:t>9</w:t>
      </w:r>
      <w:r w:rsidRPr="00010B5F">
        <w:rPr>
          <w:rFonts w:eastAsia="Calibri"/>
          <w:b/>
          <w:bCs/>
          <w:color w:val="000000"/>
          <w:szCs w:val="24"/>
        </w:rPr>
        <w:t>_TC</w:t>
      </w:r>
      <w:r w:rsidRPr="008B6694">
        <w:rPr>
          <w:rFonts w:eastAsia="Calibri"/>
          <w:b/>
          <w:bCs/>
          <w:color w:val="000000"/>
          <w:szCs w:val="24"/>
        </w:rPr>
        <w:t>1</w:t>
      </w:r>
      <w:r w:rsidRPr="00010B5F">
        <w:rPr>
          <w:rFonts w:eastAsia="Calibri"/>
          <w:b/>
          <w:bCs/>
          <w:color w:val="000000"/>
          <w:szCs w:val="24"/>
        </w:rPr>
        <w:t>-COD(</w:t>
      </w:r>
      <w:r w:rsidRPr="008B6694">
        <w:rPr>
          <w:rFonts w:eastAsia="Calibri"/>
          <w:b/>
          <w:bCs/>
          <w:color w:val="000000"/>
          <w:szCs w:val="24"/>
        </w:rPr>
        <w:t>2023</w:t>
      </w:r>
      <w:r w:rsidRPr="00010B5F">
        <w:rPr>
          <w:rFonts w:eastAsia="Calibri"/>
          <w:b/>
          <w:bCs/>
          <w:color w:val="000000"/>
          <w:szCs w:val="24"/>
        </w:rPr>
        <w:t>)</w:t>
      </w:r>
      <w:r w:rsidRPr="008B6694">
        <w:rPr>
          <w:rFonts w:eastAsia="Calibri"/>
          <w:b/>
          <w:bCs/>
          <w:color w:val="000000"/>
          <w:szCs w:val="24"/>
        </w:rPr>
        <w:t>0033</w:t>
      </w:r>
    </w:p>
    <w:p w:rsidR="00EC367F" w:rsidRDefault="00EC367F" w:rsidP="00010B5F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010B5F">
        <w:rPr>
          <w:b/>
        </w:rPr>
        <w:t xml:space="preserve">Europaparlamentets ståndpunkt fastställd vid första behandlingen den </w:t>
      </w:r>
      <w:r w:rsidRPr="008B6694">
        <w:rPr>
          <w:b/>
        </w:rPr>
        <w:t>7</w:t>
      </w:r>
      <w:r w:rsidRPr="00010B5F">
        <w:rPr>
          <w:b/>
        </w:rPr>
        <w:t xml:space="preserve"> februari </w:t>
      </w:r>
      <w:r w:rsidRPr="008B6694">
        <w:rPr>
          <w:b/>
        </w:rPr>
        <w:t>2024</w:t>
      </w:r>
      <w:r w:rsidRPr="00010B5F">
        <w:rPr>
          <w:b/>
        </w:rPr>
        <w:t xml:space="preserve"> inför antagandet av Europaparlamentets och rådets direktiv (EU) </w:t>
      </w:r>
      <w:r w:rsidRPr="008B6694">
        <w:rPr>
          <w:b/>
        </w:rPr>
        <w:t>2024</w:t>
      </w:r>
      <w:r w:rsidRPr="00010B5F">
        <w:rPr>
          <w:b/>
        </w:rPr>
        <w:t xml:space="preserve">/… </w:t>
      </w:r>
      <w:r w:rsidRPr="00010B5F">
        <w:rPr>
          <w:rFonts w:eastAsia="Calibri"/>
          <w:b/>
          <w:szCs w:val="22"/>
          <w:lang w:eastAsia="en-US"/>
        </w:rPr>
        <w:t xml:space="preserve">om ändring av Europaparlamentets och rådets direktiv </w:t>
      </w:r>
      <w:r w:rsidRPr="008B6694">
        <w:rPr>
          <w:rFonts w:eastAsia="Calibri"/>
          <w:b/>
          <w:szCs w:val="22"/>
          <w:lang w:eastAsia="en-US"/>
        </w:rPr>
        <w:t>2004</w:t>
      </w:r>
      <w:r w:rsidRPr="00010B5F">
        <w:rPr>
          <w:rFonts w:eastAsia="Calibri"/>
          <w:b/>
          <w:szCs w:val="22"/>
          <w:lang w:eastAsia="en-US"/>
        </w:rPr>
        <w:t>/</w:t>
      </w:r>
      <w:r w:rsidRPr="008B6694">
        <w:rPr>
          <w:rFonts w:eastAsia="Calibri"/>
          <w:b/>
          <w:szCs w:val="22"/>
          <w:lang w:eastAsia="en-US"/>
        </w:rPr>
        <w:t>37</w:t>
      </w:r>
      <w:r w:rsidRPr="00010B5F">
        <w:rPr>
          <w:rFonts w:eastAsia="Calibri"/>
          <w:b/>
          <w:szCs w:val="22"/>
          <w:lang w:eastAsia="en-US"/>
        </w:rPr>
        <w:t xml:space="preserve">/EG och rådets direktiv </w:t>
      </w:r>
      <w:r w:rsidRPr="008B6694">
        <w:rPr>
          <w:rFonts w:eastAsia="Calibri"/>
          <w:b/>
          <w:szCs w:val="22"/>
          <w:lang w:eastAsia="en-US"/>
        </w:rPr>
        <w:t>98</w:t>
      </w:r>
      <w:r w:rsidRPr="00010B5F">
        <w:rPr>
          <w:rFonts w:eastAsia="Calibri"/>
          <w:b/>
          <w:szCs w:val="22"/>
          <w:lang w:eastAsia="en-US"/>
        </w:rPr>
        <w:t>/</w:t>
      </w:r>
      <w:r w:rsidRPr="008B6694">
        <w:rPr>
          <w:rFonts w:eastAsia="Calibri"/>
          <w:b/>
          <w:szCs w:val="22"/>
          <w:lang w:eastAsia="en-US"/>
        </w:rPr>
        <w:t>24</w:t>
      </w:r>
      <w:r w:rsidRPr="00010B5F">
        <w:rPr>
          <w:rFonts w:eastAsia="Calibri"/>
          <w:b/>
          <w:szCs w:val="22"/>
          <w:lang w:eastAsia="en-US"/>
        </w:rPr>
        <w:t xml:space="preserve">/EG vad gäller gränsvärdena för bly och dess oorganiska föreningar och för </w:t>
      </w:r>
      <w:r w:rsidRPr="00731B76">
        <w:rPr>
          <w:rFonts w:eastAsia="Calibri"/>
          <w:b/>
          <w:szCs w:val="22"/>
          <w:lang w:eastAsia="en-US"/>
        </w:rPr>
        <w:t>diisocyanater</w:t>
      </w:r>
    </w:p>
    <w:p w:rsidR="00731B76" w:rsidRPr="00731B76" w:rsidRDefault="00731B76" w:rsidP="00731B76">
      <w:pPr>
        <w:widowControl/>
        <w:spacing w:before="360" w:after="240"/>
        <w:rPr>
          <w:rFonts w:eastAsia="Calibri"/>
          <w:i/>
          <w:szCs w:val="22"/>
          <w:lang w:eastAsia="en-US"/>
        </w:rPr>
      </w:pPr>
      <w:r w:rsidRPr="00731B76">
        <w:rPr>
          <w:rFonts w:eastAsia="Calibri"/>
          <w:i/>
          <w:szCs w:val="22"/>
          <w:lang w:eastAsia="en-US"/>
        </w:rPr>
        <w:t>(Eftersom det nåddes en överenskommelse mellan parlamentet och rådet, motsvarar parlamentets ståndpunkt den slutliga rättsakten, direktiv(EU) 20</w:t>
      </w:r>
      <w:bookmarkStart w:id="8" w:name="_GoBack"/>
      <w:bookmarkEnd w:id="8"/>
      <w:r w:rsidRPr="00731B76">
        <w:rPr>
          <w:rFonts w:eastAsia="Calibri"/>
          <w:i/>
          <w:szCs w:val="22"/>
          <w:lang w:eastAsia="en-US"/>
        </w:rPr>
        <w:t>2</w:t>
      </w:r>
      <w:r>
        <w:rPr>
          <w:rFonts w:eastAsia="Calibri"/>
          <w:i/>
          <w:szCs w:val="22"/>
          <w:lang w:eastAsia="en-US"/>
        </w:rPr>
        <w:t>4</w:t>
      </w:r>
      <w:r w:rsidRPr="00731B76">
        <w:rPr>
          <w:rFonts w:eastAsia="Calibri"/>
          <w:i/>
          <w:szCs w:val="22"/>
          <w:lang w:eastAsia="en-US"/>
        </w:rPr>
        <w:t>/</w:t>
      </w:r>
      <w:r>
        <w:rPr>
          <w:rFonts w:eastAsia="Calibri"/>
          <w:i/>
          <w:szCs w:val="22"/>
          <w:lang w:eastAsia="en-US"/>
        </w:rPr>
        <w:t>869</w:t>
      </w:r>
      <w:r w:rsidRPr="00731B76">
        <w:rPr>
          <w:rFonts w:eastAsia="Calibri"/>
          <w:i/>
          <w:szCs w:val="22"/>
          <w:lang w:eastAsia="en-US"/>
        </w:rPr>
        <w:t>)</w:t>
      </w:r>
      <w:r>
        <w:rPr>
          <w:rFonts w:eastAsia="Calibri"/>
          <w:i/>
          <w:szCs w:val="22"/>
          <w:lang w:eastAsia="en-US"/>
        </w:rPr>
        <w:t>.</w:t>
      </w:r>
    </w:p>
    <w:sectPr w:rsidR="00731B76" w:rsidRPr="00731B76" w:rsidSect="00731B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67F" w:rsidRPr="00CE00C8" w:rsidRDefault="00EC367F">
      <w:r w:rsidRPr="00CE00C8">
        <w:separator/>
      </w:r>
    </w:p>
  </w:endnote>
  <w:endnote w:type="continuationSeparator" w:id="0">
    <w:p w:rsidR="00EC367F" w:rsidRPr="00CE00C8" w:rsidRDefault="00EC367F">
      <w:r w:rsidRPr="00CE00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67F" w:rsidRPr="00CE00C8" w:rsidRDefault="00EC367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67F" w:rsidRPr="00CE00C8" w:rsidRDefault="00EC367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67F" w:rsidRPr="00CE00C8" w:rsidRDefault="00EC367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67F" w:rsidRPr="00CE00C8" w:rsidRDefault="00EC367F">
      <w:r w:rsidRPr="00CE00C8">
        <w:separator/>
      </w:r>
    </w:p>
  </w:footnote>
  <w:footnote w:type="continuationSeparator" w:id="0">
    <w:p w:rsidR="00EC367F" w:rsidRPr="00CE00C8" w:rsidRDefault="00EC367F">
      <w:r w:rsidRPr="00CE00C8">
        <w:continuationSeparator/>
      </w:r>
    </w:p>
  </w:footnote>
  <w:footnote w:id="1">
    <w:p w:rsidR="00EC367F" w:rsidRPr="00010B5F" w:rsidRDefault="00EC367F" w:rsidP="00CE00C8">
      <w:pPr>
        <w:pStyle w:val="FootnoteText"/>
        <w:ind w:left="567" w:hanging="567"/>
        <w:rPr>
          <w:sz w:val="24"/>
          <w:lang w:val="sv-SE"/>
        </w:rPr>
      </w:pPr>
      <w:r w:rsidRPr="00CE00C8">
        <w:rPr>
          <w:sz w:val="24"/>
          <w:vertAlign w:val="superscript"/>
          <w:lang w:val="sv-SE"/>
        </w:rPr>
        <w:t xml:space="preserve"> </w:t>
      </w:r>
      <w:r w:rsidRPr="00CE00C8">
        <w:rPr>
          <w:sz w:val="24"/>
          <w:lang w:val="sv-SE"/>
        </w:rPr>
        <w:tab/>
      </w:r>
      <w:r w:rsidRPr="00010B5F">
        <w:rPr>
          <w:sz w:val="24"/>
          <w:lang w:val="sv-SE"/>
        </w:rPr>
        <w:t>Ännu ej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67F" w:rsidRPr="00BB7270" w:rsidRDefault="00EC367F" w:rsidP="00EC367F">
    <w:pPr>
      <w:pStyle w:val="HeaderCouncilLarge"/>
    </w:pPr>
    <w:r w:rsidRPr="00BB7270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67F" w:rsidRPr="00BB7270" w:rsidRDefault="00EC367F" w:rsidP="00EC367F">
    <w:pPr>
      <w:pStyle w:val="HeaderCouncil"/>
    </w:pPr>
    <w:r w:rsidRPr="00BB7270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67F" w:rsidRPr="00CE00C8" w:rsidRDefault="00EC367F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67F" w:rsidRPr="00CE00C8" w:rsidRDefault="00EC367F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67F" w:rsidRPr="00CE00C8" w:rsidRDefault="00EC367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E25A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31F4B0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24008E6" w:tentative="1">
      <w:start w:val="1"/>
      <w:numFmt w:val="lowerLetter"/>
      <w:lvlText w:val="%2."/>
      <w:lvlJc w:val="left"/>
      <w:pPr>
        <w:ind w:left="1440" w:hanging="360"/>
      </w:pPr>
    </w:lvl>
    <w:lvl w:ilvl="2" w:tplc="B4BC1130" w:tentative="1">
      <w:start w:val="1"/>
      <w:numFmt w:val="lowerRoman"/>
      <w:lvlText w:val="%3."/>
      <w:lvlJc w:val="right"/>
      <w:pPr>
        <w:ind w:left="2160" w:hanging="180"/>
      </w:pPr>
    </w:lvl>
    <w:lvl w:ilvl="3" w:tplc="B4D6FD02" w:tentative="1">
      <w:start w:val="1"/>
      <w:numFmt w:val="decimal"/>
      <w:lvlText w:val="%4."/>
      <w:lvlJc w:val="left"/>
      <w:pPr>
        <w:ind w:left="2880" w:hanging="360"/>
      </w:pPr>
    </w:lvl>
    <w:lvl w:ilvl="4" w:tplc="F3CA141C" w:tentative="1">
      <w:start w:val="1"/>
      <w:numFmt w:val="lowerLetter"/>
      <w:lvlText w:val="%5."/>
      <w:lvlJc w:val="left"/>
      <w:pPr>
        <w:ind w:left="3600" w:hanging="360"/>
      </w:pPr>
    </w:lvl>
    <w:lvl w:ilvl="5" w:tplc="C1C8B978" w:tentative="1">
      <w:start w:val="1"/>
      <w:numFmt w:val="lowerRoman"/>
      <w:lvlText w:val="%6."/>
      <w:lvlJc w:val="right"/>
      <w:pPr>
        <w:ind w:left="4320" w:hanging="180"/>
      </w:pPr>
    </w:lvl>
    <w:lvl w:ilvl="6" w:tplc="D834EE86" w:tentative="1">
      <w:start w:val="1"/>
      <w:numFmt w:val="decimal"/>
      <w:lvlText w:val="%7."/>
      <w:lvlJc w:val="left"/>
      <w:pPr>
        <w:ind w:left="5040" w:hanging="360"/>
      </w:pPr>
    </w:lvl>
    <w:lvl w:ilvl="7" w:tplc="45B83028" w:tentative="1">
      <w:start w:val="1"/>
      <w:numFmt w:val="lowerLetter"/>
      <w:lvlText w:val="%8."/>
      <w:lvlJc w:val="left"/>
      <w:pPr>
        <w:ind w:left="5760" w:hanging="360"/>
      </w:pPr>
    </w:lvl>
    <w:lvl w:ilvl="8" w:tplc="D5885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DAC66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063344" w:tentative="1">
      <w:start w:val="1"/>
      <w:numFmt w:val="lowerLetter"/>
      <w:lvlText w:val="%2."/>
      <w:lvlJc w:val="left"/>
      <w:pPr>
        <w:ind w:left="1440" w:hanging="360"/>
      </w:pPr>
    </w:lvl>
    <w:lvl w:ilvl="2" w:tplc="0B923A74" w:tentative="1">
      <w:start w:val="1"/>
      <w:numFmt w:val="lowerRoman"/>
      <w:lvlText w:val="%3."/>
      <w:lvlJc w:val="right"/>
      <w:pPr>
        <w:ind w:left="2160" w:hanging="180"/>
      </w:pPr>
    </w:lvl>
    <w:lvl w:ilvl="3" w:tplc="F73EA19C" w:tentative="1">
      <w:start w:val="1"/>
      <w:numFmt w:val="decimal"/>
      <w:lvlText w:val="%4."/>
      <w:lvlJc w:val="left"/>
      <w:pPr>
        <w:ind w:left="2880" w:hanging="360"/>
      </w:pPr>
    </w:lvl>
    <w:lvl w:ilvl="4" w:tplc="597E9550" w:tentative="1">
      <w:start w:val="1"/>
      <w:numFmt w:val="lowerLetter"/>
      <w:lvlText w:val="%5."/>
      <w:lvlJc w:val="left"/>
      <w:pPr>
        <w:ind w:left="3600" w:hanging="360"/>
      </w:pPr>
    </w:lvl>
    <w:lvl w:ilvl="5" w:tplc="C12A140C" w:tentative="1">
      <w:start w:val="1"/>
      <w:numFmt w:val="lowerRoman"/>
      <w:lvlText w:val="%6."/>
      <w:lvlJc w:val="right"/>
      <w:pPr>
        <w:ind w:left="4320" w:hanging="180"/>
      </w:pPr>
    </w:lvl>
    <w:lvl w:ilvl="6" w:tplc="50566C42" w:tentative="1">
      <w:start w:val="1"/>
      <w:numFmt w:val="decimal"/>
      <w:lvlText w:val="%7."/>
      <w:lvlJc w:val="left"/>
      <w:pPr>
        <w:ind w:left="5040" w:hanging="360"/>
      </w:pPr>
    </w:lvl>
    <w:lvl w:ilvl="7" w:tplc="788E7A5C" w:tentative="1">
      <w:start w:val="1"/>
      <w:numFmt w:val="lowerLetter"/>
      <w:lvlText w:val="%8."/>
      <w:lvlJc w:val="left"/>
      <w:pPr>
        <w:ind w:left="5760" w:hanging="360"/>
      </w:pPr>
    </w:lvl>
    <w:lvl w:ilvl="8" w:tplc="B3C663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A496B490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71D0A8B8" w:tentative="1">
      <w:start w:val="1"/>
      <w:numFmt w:val="lowerLetter"/>
      <w:lvlText w:val="%2."/>
      <w:lvlJc w:val="left"/>
      <w:pPr>
        <w:ind w:left="1440" w:hanging="360"/>
      </w:pPr>
    </w:lvl>
    <w:lvl w:ilvl="2" w:tplc="15A0FD12" w:tentative="1">
      <w:start w:val="1"/>
      <w:numFmt w:val="lowerRoman"/>
      <w:lvlText w:val="%3."/>
      <w:lvlJc w:val="right"/>
      <w:pPr>
        <w:ind w:left="2160" w:hanging="180"/>
      </w:pPr>
    </w:lvl>
    <w:lvl w:ilvl="3" w:tplc="63869B90" w:tentative="1">
      <w:start w:val="1"/>
      <w:numFmt w:val="decimal"/>
      <w:lvlText w:val="%4."/>
      <w:lvlJc w:val="left"/>
      <w:pPr>
        <w:ind w:left="2880" w:hanging="360"/>
      </w:pPr>
    </w:lvl>
    <w:lvl w:ilvl="4" w:tplc="7FAA19C8" w:tentative="1">
      <w:start w:val="1"/>
      <w:numFmt w:val="lowerLetter"/>
      <w:lvlText w:val="%5."/>
      <w:lvlJc w:val="left"/>
      <w:pPr>
        <w:ind w:left="3600" w:hanging="360"/>
      </w:pPr>
    </w:lvl>
    <w:lvl w:ilvl="5" w:tplc="6F28B1E8" w:tentative="1">
      <w:start w:val="1"/>
      <w:numFmt w:val="lowerRoman"/>
      <w:lvlText w:val="%6."/>
      <w:lvlJc w:val="right"/>
      <w:pPr>
        <w:ind w:left="4320" w:hanging="180"/>
      </w:pPr>
    </w:lvl>
    <w:lvl w:ilvl="6" w:tplc="8B1C3258" w:tentative="1">
      <w:start w:val="1"/>
      <w:numFmt w:val="decimal"/>
      <w:lvlText w:val="%7."/>
      <w:lvlJc w:val="left"/>
      <w:pPr>
        <w:ind w:left="5040" w:hanging="360"/>
      </w:pPr>
    </w:lvl>
    <w:lvl w:ilvl="7" w:tplc="E7F42868" w:tentative="1">
      <w:start w:val="1"/>
      <w:numFmt w:val="lowerLetter"/>
      <w:lvlText w:val="%8."/>
      <w:lvlJc w:val="left"/>
      <w:pPr>
        <w:ind w:left="5760" w:hanging="360"/>
      </w:pPr>
    </w:lvl>
    <w:lvl w:ilvl="8" w:tplc="94DE78E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SV"/>
    <w:docVar w:name="dvnumam" w:val="47"/>
    <w:docVar w:name="dvpe" w:val="746.964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rådets direktiv 98/24/EG och Europaparlamentets och rådets direktiv 2004/37/EG vad gäller gränsvärdena för bly och dess oorganiska föreningar och för diisocyanater(COM(2023)0071 – C9-0022/2023 – 2023/0033(COD))"/>
  </w:docVars>
  <w:rsids>
    <w:rsidRoot w:val="00276E39"/>
    <w:rsid w:val="00002272"/>
    <w:rsid w:val="00010B5F"/>
    <w:rsid w:val="00064002"/>
    <w:rsid w:val="000677B9"/>
    <w:rsid w:val="000831BA"/>
    <w:rsid w:val="000A42CC"/>
    <w:rsid w:val="000E7DD9"/>
    <w:rsid w:val="0010095E"/>
    <w:rsid w:val="00125B37"/>
    <w:rsid w:val="00175B53"/>
    <w:rsid w:val="00187494"/>
    <w:rsid w:val="001F32AE"/>
    <w:rsid w:val="002767FF"/>
    <w:rsid w:val="00276E3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69E"/>
    <w:rsid w:val="00471C19"/>
    <w:rsid w:val="004867E3"/>
    <w:rsid w:val="00494A28"/>
    <w:rsid w:val="004A2421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7F03"/>
    <w:rsid w:val="006F74FA"/>
    <w:rsid w:val="00731ADD"/>
    <w:rsid w:val="00731B76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669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0E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0C8"/>
    <w:rsid w:val="00CF071A"/>
    <w:rsid w:val="00D058B8"/>
    <w:rsid w:val="00D56C11"/>
    <w:rsid w:val="00D7680A"/>
    <w:rsid w:val="00D834A0"/>
    <w:rsid w:val="00D872DF"/>
    <w:rsid w:val="00D91A5D"/>
    <w:rsid w:val="00D91E21"/>
    <w:rsid w:val="00DA7FCD"/>
    <w:rsid w:val="00E365E1"/>
    <w:rsid w:val="00E820A4"/>
    <w:rsid w:val="00EB006A"/>
    <w:rsid w:val="00EB4772"/>
    <w:rsid w:val="00EC367F"/>
    <w:rsid w:val="00ED169E"/>
    <w:rsid w:val="00ED2696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70C7CC"/>
  <w15:chartTrackingRefBased/>
  <w15:docId w15:val="{8961608C-7D60-44F5-B252-38550D58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A242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A242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A242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A242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A242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A2421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4A2421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4A2421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4A2421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nhideWhenUsed/>
    <w:qFormat/>
    <w:rsid w:val="004A242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A242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A242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A2421"/>
    <w:pPr>
      <w:spacing w:after="120"/>
    </w:pPr>
  </w:style>
  <w:style w:type="paragraph" w:customStyle="1" w:styleId="PageHeading">
    <w:name w:val="PageHeading"/>
    <w:basedOn w:val="Normal"/>
    <w:rsid w:val="004A242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A2421"/>
    <w:rPr>
      <w:b/>
    </w:rPr>
  </w:style>
  <w:style w:type="paragraph" w:customStyle="1" w:styleId="NormalBold12a">
    <w:name w:val="NormalBold12a"/>
    <w:basedOn w:val="Normal"/>
    <w:rsid w:val="004A2421"/>
    <w:pPr>
      <w:spacing w:after="240"/>
    </w:pPr>
    <w:rPr>
      <w:b/>
    </w:rPr>
  </w:style>
  <w:style w:type="paragraph" w:customStyle="1" w:styleId="AmJustText">
    <w:name w:val="AmJustText"/>
    <w:basedOn w:val="Normal"/>
    <w:rsid w:val="004A242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A242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A2421"/>
    <w:pPr>
      <w:spacing w:after="480"/>
      <w:ind w:left="1417"/>
    </w:pPr>
  </w:style>
  <w:style w:type="paragraph" w:customStyle="1" w:styleId="CoverNormal">
    <w:name w:val="CoverNormal"/>
    <w:basedOn w:val="Normal"/>
    <w:rsid w:val="004A2421"/>
    <w:pPr>
      <w:ind w:left="1418"/>
    </w:pPr>
  </w:style>
  <w:style w:type="paragraph" w:customStyle="1" w:styleId="AmCrossRef">
    <w:name w:val="AmCrossRef"/>
    <w:basedOn w:val="Normal"/>
    <w:rsid w:val="004A242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A242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A242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A242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A242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A242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A24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2421"/>
    <w:rPr>
      <w:sz w:val="24"/>
      <w:lang w:val="sv-SE"/>
    </w:rPr>
  </w:style>
  <w:style w:type="paragraph" w:customStyle="1" w:styleId="AmOrLang">
    <w:name w:val="AmOrLang"/>
    <w:basedOn w:val="Normal"/>
    <w:rsid w:val="004A242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A242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A24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A2421"/>
    <w:pPr>
      <w:spacing w:before="240"/>
    </w:pPr>
    <w:rPr>
      <w:b/>
    </w:rPr>
  </w:style>
  <w:style w:type="paragraph" w:customStyle="1" w:styleId="EPBody">
    <w:name w:val="EPBody"/>
    <w:basedOn w:val="Normal"/>
    <w:rsid w:val="004A242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A242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A2421"/>
    <w:pPr>
      <w:spacing w:before="480" w:after="240"/>
    </w:pPr>
  </w:style>
  <w:style w:type="paragraph" w:customStyle="1" w:styleId="Lgendesigne">
    <w:name w:val="Légende signe"/>
    <w:basedOn w:val="Normal"/>
    <w:rsid w:val="004A242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A242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A2421"/>
    <w:rPr>
      <w:sz w:val="18"/>
    </w:rPr>
  </w:style>
  <w:style w:type="paragraph" w:customStyle="1" w:styleId="Normal6">
    <w:name w:val="Normal6"/>
    <w:basedOn w:val="Normal"/>
    <w:link w:val="Normal6Char"/>
    <w:rsid w:val="004A2421"/>
    <w:pPr>
      <w:spacing w:after="120"/>
    </w:pPr>
  </w:style>
  <w:style w:type="paragraph" w:customStyle="1" w:styleId="Normal12Italic">
    <w:name w:val="Normal12Italic"/>
    <w:basedOn w:val="Normal"/>
    <w:rsid w:val="004A2421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4A2421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4A2421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4A2421"/>
    <w:rPr>
      <w:color w:val="0000FF"/>
      <w:u w:val="single"/>
    </w:rPr>
  </w:style>
  <w:style w:type="character" w:customStyle="1" w:styleId="super">
    <w:name w:val="super"/>
    <w:basedOn w:val="DefaultParagraphFont"/>
    <w:rsid w:val="004A2421"/>
  </w:style>
  <w:style w:type="character" w:styleId="CommentReference">
    <w:name w:val="annotation reference"/>
    <w:basedOn w:val="DefaultParagraphFont"/>
    <w:uiPriority w:val="99"/>
    <w:unhideWhenUsed/>
    <w:rsid w:val="004A24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2421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2421"/>
    <w:rPr>
      <w:rFonts w:eastAsiaTheme="minorHAnsi"/>
      <w:lang w:val="sv-SE" w:eastAsia="en-US"/>
    </w:rPr>
  </w:style>
  <w:style w:type="paragraph" w:styleId="BalloonText">
    <w:name w:val="Balloon Text"/>
    <w:basedOn w:val="Normal"/>
    <w:link w:val="BalloonTextChar"/>
    <w:unhideWhenUsed/>
    <w:rsid w:val="004A24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2421"/>
    <w:rPr>
      <w:rFonts w:ascii="Segoe UI" w:hAnsi="Segoe UI" w:cs="Segoe UI"/>
      <w:sz w:val="18"/>
      <w:szCs w:val="18"/>
      <w:lang w:val="sv-SE"/>
    </w:rPr>
  </w:style>
  <w:style w:type="paragraph" w:styleId="ListBullet2">
    <w:name w:val="List Bullet 2"/>
    <w:basedOn w:val="Normal"/>
    <w:uiPriority w:val="99"/>
    <w:unhideWhenUsed/>
    <w:rsid w:val="004A242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4A2421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4A2421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4A2421"/>
  </w:style>
  <w:style w:type="paragraph" w:customStyle="1" w:styleId="title-gr-seq-level-2">
    <w:name w:val="title-gr-seq-level-2"/>
    <w:basedOn w:val="Normal"/>
    <w:rsid w:val="004A242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4A24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2421"/>
    <w:rPr>
      <w:sz w:val="24"/>
      <w:lang w:val="sv-SE"/>
    </w:rPr>
  </w:style>
  <w:style w:type="character" w:customStyle="1" w:styleId="NormalBoldChar">
    <w:name w:val="NormalBold Char"/>
    <w:basedOn w:val="DefaultParagraphFont"/>
    <w:link w:val="NormalBold"/>
    <w:rsid w:val="004A2421"/>
    <w:rPr>
      <w:b/>
      <w:sz w:val="24"/>
      <w:lang w:val="sv-SE"/>
    </w:rPr>
  </w:style>
  <w:style w:type="paragraph" w:customStyle="1" w:styleId="JustificationTitle">
    <w:name w:val="JustificationTitle"/>
    <w:basedOn w:val="Normal"/>
    <w:next w:val="Normal"/>
    <w:rsid w:val="004A2421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4A2421"/>
    <w:rPr>
      <w:sz w:val="24"/>
      <w:lang w:val="sv-SE"/>
    </w:rPr>
  </w:style>
  <w:style w:type="paragraph" w:customStyle="1" w:styleId="ColumnHeading">
    <w:name w:val="ColumnHeading"/>
    <w:basedOn w:val="Normal"/>
    <w:rsid w:val="004A242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A24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A2421"/>
    <w:pPr>
      <w:spacing w:before="240"/>
      <w:jc w:val="center"/>
    </w:pPr>
    <w:rPr>
      <w:i/>
    </w:rPr>
  </w:style>
  <w:style w:type="paragraph" w:customStyle="1" w:styleId="Olang">
    <w:name w:val="Olang"/>
    <w:rsid w:val="004A2421"/>
    <w:pPr>
      <w:jc w:val="right"/>
    </w:pPr>
    <w:rPr>
      <w:lang w:val="sv-SE"/>
    </w:rPr>
  </w:style>
  <w:style w:type="character" w:customStyle="1" w:styleId="Footer2Middle">
    <w:name w:val="Footer2Middle"/>
    <w:rsid w:val="004A2421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4A2421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A2421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4A2421"/>
    <w:rPr>
      <w:rFonts w:eastAsiaTheme="minorHAnsi"/>
      <w:b/>
      <w:bCs/>
      <w:lang w:val="sv-SE" w:eastAsia="en-US"/>
    </w:rPr>
  </w:style>
  <w:style w:type="paragraph" w:customStyle="1" w:styleId="Normal12a">
    <w:name w:val="Normal12a"/>
    <w:basedOn w:val="Normal"/>
    <w:rsid w:val="004A2421"/>
    <w:pPr>
      <w:spacing w:after="240"/>
    </w:pPr>
  </w:style>
  <w:style w:type="paragraph" w:customStyle="1" w:styleId="RollCallVotes">
    <w:name w:val="RollCallVotes"/>
    <w:basedOn w:val="Normal"/>
    <w:rsid w:val="004A242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A242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A242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A2421"/>
    <w:pPr>
      <w:spacing w:before="120" w:after="120"/>
    </w:pPr>
    <w:rPr>
      <w:snapToGrid w:val="0"/>
      <w:sz w:val="16"/>
      <w:lang w:eastAsia="en-US"/>
    </w:rPr>
  </w:style>
  <w:style w:type="paragraph" w:customStyle="1" w:styleId="HeaderCouncil">
    <w:name w:val="Header Council"/>
    <w:basedOn w:val="Normal"/>
    <w:rsid w:val="00EC367F"/>
    <w:pPr>
      <w:widowControl/>
    </w:pPr>
    <w:rPr>
      <w:rFonts w:eastAsia="Calibri"/>
      <w:sz w:val="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EC367F"/>
    <w:rPr>
      <w:rFonts w:ascii="Calibri" w:eastAsia="Calibri" w:hAnsi="Calibri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CouncilLarge">
    <w:name w:val="Header Council Large"/>
    <w:basedOn w:val="Normal"/>
    <w:link w:val="HeaderCouncilLargeChar"/>
    <w:rsid w:val="00EC367F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EC367F"/>
    <w:rPr>
      <w:rFonts w:eastAsia="Calibri"/>
      <w:sz w:val="2"/>
      <w:szCs w:val="22"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16F9A-A4C1-4B19-8827-32B2D48AB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308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2024-04-15T10:12:00Z</dcterms:created>
  <dcterms:modified xsi:type="dcterms:W3CDTF">2024-04-15T10:12:00Z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