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122D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122D4" w:rsidRDefault="00E60F19" w:rsidP="0010095E">
            <w:pPr>
              <w:pStyle w:val="EPName"/>
            </w:pPr>
            <w:bookmarkStart w:id="0" w:name="_GoBack"/>
            <w:bookmarkEnd w:id="0"/>
            <w:r w:rsidRPr="007122D4">
              <w:t>Evropský parlament</w:t>
            </w:r>
          </w:p>
          <w:p w:rsidR="00751A4A" w:rsidRPr="007122D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122D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122D4" w:rsidRDefault="00187494" w:rsidP="0010095E">
            <w:pPr>
              <w:pStyle w:val="EPLogo"/>
            </w:pPr>
            <w:r w:rsidRPr="007122D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122D4" w:rsidRDefault="00D058B8" w:rsidP="004C5D52">
      <w:pPr>
        <w:pStyle w:val="LineTop"/>
      </w:pPr>
    </w:p>
    <w:p w:rsidR="00680577" w:rsidRPr="007122D4" w:rsidRDefault="00E60F19" w:rsidP="00680577">
      <w:pPr>
        <w:pStyle w:val="EPBodyTA1"/>
      </w:pPr>
      <w:r w:rsidRPr="007122D4">
        <w:t>PŘIJATÉ TEXTY</w:t>
      </w:r>
    </w:p>
    <w:p w:rsidR="00D058B8" w:rsidRPr="007122D4" w:rsidRDefault="00D058B8" w:rsidP="00D058B8">
      <w:pPr>
        <w:pStyle w:val="LineBottom"/>
      </w:pPr>
    </w:p>
    <w:p w:rsidR="00E60F19" w:rsidRPr="007122D4" w:rsidRDefault="00E60F19" w:rsidP="00E60F19">
      <w:pPr>
        <w:pStyle w:val="ATHeading1"/>
      </w:pPr>
      <w:bookmarkStart w:id="1" w:name="TANumber"/>
      <w:r w:rsidRPr="007122D4">
        <w:t>P9_TA(2024)00</w:t>
      </w:r>
      <w:r w:rsidR="00290974">
        <w:t>68</w:t>
      </w:r>
      <w:bookmarkEnd w:id="1"/>
    </w:p>
    <w:p w:rsidR="00E60F19" w:rsidRPr="007122D4" w:rsidRDefault="00E60F19" w:rsidP="00E60F19">
      <w:pPr>
        <w:pStyle w:val="ATHeading2"/>
      </w:pPr>
      <w:bookmarkStart w:id="2" w:name="title"/>
      <w:r w:rsidRPr="007122D4">
        <w:t xml:space="preserve">Nedávné rozhodnutí Norska </w:t>
      </w:r>
      <w:r w:rsidR="007E665F">
        <w:t>pokročit v </w:t>
      </w:r>
      <w:r w:rsidRPr="007122D4">
        <w:t>těžb</w:t>
      </w:r>
      <w:r w:rsidR="007E665F">
        <w:t>ě z mořského dna</w:t>
      </w:r>
      <w:r w:rsidRPr="007122D4">
        <w:t xml:space="preserve"> v Arktidě</w:t>
      </w:r>
      <w:bookmarkEnd w:id="2"/>
    </w:p>
    <w:p w:rsidR="00E60F19" w:rsidRPr="007122D4" w:rsidRDefault="00E60F19" w:rsidP="00E60F19">
      <w:pPr>
        <w:rPr>
          <w:i/>
          <w:vanish/>
        </w:rPr>
      </w:pPr>
      <w:r w:rsidRPr="007122D4">
        <w:rPr>
          <w:i/>
        </w:rPr>
        <w:fldChar w:fldCharType="begin"/>
      </w:r>
      <w:r w:rsidRPr="007122D4">
        <w:rPr>
          <w:i/>
        </w:rPr>
        <w:instrText xml:space="preserve"> TC"(</w:instrText>
      </w:r>
      <w:bookmarkStart w:id="3" w:name="DocNumber"/>
      <w:r w:rsidRPr="007122D4">
        <w:rPr>
          <w:i/>
        </w:rPr>
        <w:instrText>B9-0095/2024</w:instrText>
      </w:r>
      <w:bookmarkEnd w:id="3"/>
      <w:r w:rsidRPr="007122D4">
        <w:rPr>
          <w:i/>
        </w:rPr>
        <w:instrText xml:space="preserve">)"\l3 \n&gt; \* MERGEFORMAT </w:instrText>
      </w:r>
      <w:r w:rsidRPr="007122D4">
        <w:rPr>
          <w:i/>
        </w:rPr>
        <w:fldChar w:fldCharType="end"/>
      </w:r>
    </w:p>
    <w:p w:rsidR="00E60F19" w:rsidRPr="007122D4" w:rsidRDefault="00E60F19" w:rsidP="00E60F19">
      <w:pPr>
        <w:rPr>
          <w:vanish/>
        </w:rPr>
      </w:pPr>
      <w:bookmarkStart w:id="4" w:name="PE"/>
      <w:r w:rsidRPr="007122D4">
        <w:rPr>
          <w:vanish/>
        </w:rPr>
        <w:t>PE756.838</w:t>
      </w:r>
      <w:bookmarkEnd w:id="4"/>
    </w:p>
    <w:p w:rsidR="00E60F19" w:rsidRPr="007122D4" w:rsidRDefault="00E60F19" w:rsidP="00E60F19">
      <w:pPr>
        <w:pStyle w:val="ATHeading3"/>
      </w:pPr>
      <w:bookmarkStart w:id="5" w:name="Sujet"/>
      <w:r w:rsidRPr="007122D4">
        <w:t>Usnesení Evropského parlamentu ze dne 7. února 2024 o nedávném rozhodnutí Norska pokročit v těžbě z mořského dna v Arktidě</w:t>
      </w:r>
      <w:bookmarkEnd w:id="5"/>
      <w:r w:rsidRPr="007122D4">
        <w:t xml:space="preserve"> </w:t>
      </w:r>
      <w:bookmarkStart w:id="6" w:name="References"/>
      <w:r w:rsidRPr="007122D4">
        <w:t>((2024/2520(RSP))(RSP))</w:t>
      </w:r>
      <w:bookmarkEnd w:id="6"/>
    </w:p>
    <w:p w:rsidR="00D20D75" w:rsidRPr="007122D4" w:rsidRDefault="00D20D75" w:rsidP="00D20D75">
      <w:pPr>
        <w:pStyle w:val="EPComma"/>
      </w:pPr>
      <w:bookmarkStart w:id="7" w:name="TextBodyBegin"/>
      <w:bookmarkEnd w:id="7"/>
      <w:r w:rsidRPr="007122D4">
        <w:rPr>
          <w:i/>
        </w:rPr>
        <w:t>Evropský parlament</w:t>
      </w:r>
      <w:r w:rsidRPr="007122D4">
        <w:t>,</w:t>
      </w:r>
    </w:p>
    <w:p w:rsidR="00D20D75" w:rsidRPr="007122D4" w:rsidRDefault="00D20D75" w:rsidP="00D20D75">
      <w:pPr>
        <w:pStyle w:val="NormalHanging12a"/>
      </w:pPr>
      <w:r w:rsidRPr="007122D4">
        <w:t>–</w:t>
      </w:r>
      <w:r w:rsidRPr="007122D4">
        <w:tab/>
        <w:t>s ohledem na rozhodnutí norského parlamentu ze dne 9. ledna 2024 o těžebních činnostech na norském kontinentálním šelfu – otevření oblasti a strategii pro řízení zdrojů,</w:t>
      </w:r>
    </w:p>
    <w:p w:rsidR="00D20D75" w:rsidRPr="007122D4" w:rsidRDefault="00D20D75" w:rsidP="00D20D75">
      <w:pPr>
        <w:pStyle w:val="NormalHanging12a"/>
      </w:pPr>
      <w:r w:rsidRPr="007122D4">
        <w:t>–</w:t>
      </w:r>
      <w:r w:rsidRPr="007122D4">
        <w:tab/>
        <w:t>s ohledem na strategické posouzení vlivu nerostů z mořského dna na norském kontinentálním šelfu na životní prostředí ze dne 27. října 2022, které provedlo norské ministerstvo energetiky,</w:t>
      </w:r>
    </w:p>
    <w:p w:rsidR="00D20D75" w:rsidRPr="007122D4" w:rsidRDefault="00D20D75" w:rsidP="00D20D75">
      <w:pPr>
        <w:pStyle w:val="NormalHanging12a"/>
      </w:pPr>
      <w:r w:rsidRPr="007122D4">
        <w:t>–</w:t>
      </w:r>
      <w:r w:rsidRPr="007122D4">
        <w:tab/>
        <w:t>s ohledem na zprávu norské vlády ze dne 20. června 2023 o těžbě nerostných surovin na norském kontinentálním šelfu – otevření oblastí a strategie pro správu zdrojů,</w:t>
      </w:r>
    </w:p>
    <w:p w:rsidR="00D20D75" w:rsidRPr="007122D4" w:rsidRDefault="00D20D75" w:rsidP="00D20D75">
      <w:pPr>
        <w:pStyle w:val="NormalHanging12a"/>
      </w:pPr>
      <w:r w:rsidRPr="007122D4">
        <w:t>–</w:t>
      </w:r>
      <w:r w:rsidRPr="007122D4">
        <w:tab/>
        <w:t>s ohledem na prohlášení Norské agentury pro životní prostředí ze dne 27. ledna 2023 o slyšení a posouzení dopadů těžby nerostných surovin na norském kontinentálním šelfu,</w:t>
      </w:r>
    </w:p>
    <w:p w:rsidR="00D20D75" w:rsidRPr="007122D4" w:rsidRDefault="00D20D75" w:rsidP="00D20D75">
      <w:pPr>
        <w:pStyle w:val="NormalHanging12a"/>
      </w:pPr>
      <w:r w:rsidRPr="007122D4">
        <w:t>–</w:t>
      </w:r>
      <w:r w:rsidRPr="007122D4">
        <w:tab/>
        <w:t>s ohledem na sdělení Komise ze dne 11. prosince 2019 nazvané „Zelená dohoda pro Evropu“ (COM(2019)0640),</w:t>
      </w:r>
    </w:p>
    <w:p w:rsidR="00D20D75" w:rsidRPr="007122D4" w:rsidRDefault="00D20D75" w:rsidP="00D20D75">
      <w:pPr>
        <w:pStyle w:val="NormalHanging12a"/>
      </w:pPr>
      <w:r w:rsidRPr="007122D4">
        <w:t>–</w:t>
      </w:r>
      <w:r w:rsidRPr="007122D4">
        <w:tab/>
        <w:t>s ohledem na sdělení Komise ze dne 20. května 2020 nazvané „Strategie EU v oblasti biologické rozmanitosti do roku 2030 – Navrácení přírody do našeho života“ (COM(2020)0380), na související usnesení Parlamentu ze dne 9. června 2021</w:t>
      </w:r>
      <w:r w:rsidRPr="007122D4">
        <w:rPr>
          <w:rStyle w:val="FootnoteReference"/>
        </w:rPr>
        <w:footnoteReference w:id="1"/>
      </w:r>
      <w:r w:rsidRPr="007122D4">
        <w:t xml:space="preserve"> a na příslušné závěry Rady ze dne 23. října 2020,</w:t>
      </w:r>
    </w:p>
    <w:p w:rsidR="00D20D75" w:rsidRPr="007122D4" w:rsidRDefault="00D20D75" w:rsidP="00D20D75">
      <w:pPr>
        <w:pStyle w:val="NormalHanging12a"/>
      </w:pPr>
      <w:r w:rsidRPr="007122D4">
        <w:t>–</w:t>
      </w:r>
      <w:r w:rsidRPr="007122D4">
        <w:tab/>
        <w:t>s ohledem na sdělení Komise ze dne 17. května 2021 o novém přístupu pro udržitelnou modrou ekonomiku v EU – Přeměna modré ekonomiky EU pro udržitelnou budoucnost (COM(2021)0240),</w:t>
      </w:r>
    </w:p>
    <w:p w:rsidR="00D20D75" w:rsidRPr="007122D4" w:rsidRDefault="00D20D75" w:rsidP="00D20D75">
      <w:pPr>
        <w:pStyle w:val="NormalHanging12a"/>
      </w:pPr>
      <w:r w:rsidRPr="007122D4">
        <w:t>–</w:t>
      </w:r>
      <w:r w:rsidRPr="007122D4">
        <w:tab/>
        <w:t xml:space="preserve">s ohledem na své usnesení ze dne 3. května 2022 nazvané „Směrem k udržitelné modré </w:t>
      </w:r>
      <w:r w:rsidRPr="007122D4">
        <w:lastRenderedPageBreak/>
        <w:t>ekonomice v EU: úloha odvětví rybolovu a akvakultury“</w:t>
      </w:r>
      <w:r w:rsidRPr="007122D4">
        <w:rPr>
          <w:rStyle w:val="FootnoteReference"/>
        </w:rPr>
        <w:footnoteReference w:id="2"/>
      </w:r>
      <w:r w:rsidRPr="007122D4">
        <w:t>,</w:t>
      </w:r>
    </w:p>
    <w:p w:rsidR="00D20D75" w:rsidRPr="007122D4" w:rsidRDefault="00D20D75" w:rsidP="00D20D75">
      <w:pPr>
        <w:pStyle w:val="NormalHanging12a"/>
      </w:pPr>
      <w:r w:rsidRPr="007122D4">
        <w:t>–</w:t>
      </w:r>
      <w:r w:rsidRPr="007122D4">
        <w:tab/>
        <w:t>s ohledem na své usnesení ze dne 7. října 2021 o Arktidě: příležitosti, obavy a bezpečnostní výzvy</w:t>
      </w:r>
      <w:r w:rsidRPr="007122D4">
        <w:rPr>
          <w:rStyle w:val="FootnoteReference"/>
        </w:rPr>
        <w:footnoteReference w:id="3"/>
      </w:r>
      <w:r w:rsidRPr="007122D4">
        <w:t>,</w:t>
      </w:r>
    </w:p>
    <w:p w:rsidR="00D20D75" w:rsidRPr="007122D4" w:rsidRDefault="00D20D75" w:rsidP="00D20D75">
      <w:pPr>
        <w:pStyle w:val="NormalHanging12a"/>
      </w:pPr>
      <w:r w:rsidRPr="007122D4">
        <w:t>–</w:t>
      </w:r>
      <w:r w:rsidRPr="007122D4">
        <w:tab/>
        <w:t>s ohledem na své usnesení ze dne 16. ledna 2018 o mezinárodní správě oceánů: agendě pro budoucnost našich oceánů v souvislosti s cíli udržitelného rozvoje do roku 2030</w:t>
      </w:r>
      <w:r w:rsidRPr="007122D4">
        <w:rPr>
          <w:rStyle w:val="FootnoteReference"/>
        </w:rPr>
        <w:footnoteReference w:id="4"/>
      </w:r>
      <w:r w:rsidRPr="007122D4">
        <w:t>,</w:t>
      </w:r>
    </w:p>
    <w:p w:rsidR="00D20D75" w:rsidRPr="007122D4" w:rsidRDefault="00D20D75" w:rsidP="00D20D75">
      <w:pPr>
        <w:pStyle w:val="NormalHanging12a"/>
      </w:pPr>
      <w:r w:rsidRPr="007122D4">
        <w:t>–</w:t>
      </w:r>
      <w:r w:rsidRPr="007122D4">
        <w:tab/>
        <w:t>s ohledem na své usnesení ze dne 6. října 2022 o impulzu pro oceán: posílení správy oceánů a biologické rozmanitosti</w:t>
      </w:r>
      <w:r w:rsidRPr="007122D4">
        <w:rPr>
          <w:rStyle w:val="FootnoteReference"/>
        </w:rPr>
        <w:footnoteReference w:id="5"/>
      </w:r>
      <w:r w:rsidRPr="007122D4">
        <w:t>,</w:t>
      </w:r>
    </w:p>
    <w:p w:rsidR="00D20D75" w:rsidRPr="007122D4" w:rsidRDefault="00D20D75" w:rsidP="00D20D75">
      <w:pPr>
        <w:pStyle w:val="NormalHanging12a"/>
      </w:pPr>
      <w:r w:rsidRPr="007122D4">
        <w:t>–</w:t>
      </w:r>
      <w:r w:rsidRPr="007122D4">
        <w:tab/>
        <w:t>s ohledem na společné sdělení Komise a vysokého představitele Unie pro zahraniční věci a bezpečnostní politiku ze dne 24. června 2022 nazvané „Směřování k udržitelné modré planetě – společné sdělení o agendě EU v oblasti mezinárodní správy oceánů“ (JOIN(2022)0028),</w:t>
      </w:r>
    </w:p>
    <w:p w:rsidR="00D20D75" w:rsidRPr="007122D4" w:rsidRDefault="00D20D75" w:rsidP="00D20D75">
      <w:pPr>
        <w:pStyle w:val="NormalHanging12a"/>
      </w:pPr>
      <w:r w:rsidRPr="007122D4">
        <w:t>–</w:t>
      </w:r>
      <w:r w:rsidRPr="007122D4">
        <w:tab/>
        <w:t>s ohledem na společné sdělení Komise a vysoké představitelky Unie pro zahraniční věci a bezpečnostní politiku ze dne 10. listopadu 2016 nazvané „Mezinárodní správa oceánů: příspěvek EU k odpovědné správě oceánů“ (JOIN(2016)0049),</w:t>
      </w:r>
    </w:p>
    <w:p w:rsidR="00D20D75" w:rsidRPr="007122D4" w:rsidRDefault="00D20D75" w:rsidP="00D20D75">
      <w:pPr>
        <w:pStyle w:val="NormalHanging12a"/>
      </w:pPr>
      <w:r w:rsidRPr="007122D4">
        <w:t>–</w:t>
      </w:r>
      <w:r w:rsidRPr="007122D4">
        <w:tab/>
        <w:t>s ohledem na verbální nótu Komise č. 21/13 z října 2023 adresovanou ministerstvu zahraničních věcí Norského království,</w:t>
      </w:r>
    </w:p>
    <w:p w:rsidR="00D20D75" w:rsidRPr="007122D4" w:rsidRDefault="00D20D75" w:rsidP="00D20D75">
      <w:pPr>
        <w:pStyle w:val="NormalHanging12a"/>
      </w:pPr>
      <w:r w:rsidRPr="007122D4">
        <w:t>–</w:t>
      </w:r>
      <w:r w:rsidRPr="007122D4">
        <w:tab/>
        <w:t xml:space="preserve">s ohledem na Úmluvu o biologické rozmanitosti, která vstoupila v platnost dne 29. prosince 1993, na celosvětový rámec pro biologickou rozmanitost z </w:t>
      </w:r>
      <w:proofErr w:type="spellStart"/>
      <w:r w:rsidRPr="007122D4">
        <w:t>Kchun-mingu</w:t>
      </w:r>
      <w:proofErr w:type="spellEnd"/>
      <w:r w:rsidRPr="007122D4">
        <w:t xml:space="preserve"> a Montrealu a na rozhodnutí 15/24 15. konference smluvních stran Úmluvy o biologické rozmanitosti o zachování a udržitelném využívání biologické rozmanitosti moří a pobřeží,</w:t>
      </w:r>
    </w:p>
    <w:p w:rsidR="00D20D75" w:rsidRPr="007122D4" w:rsidRDefault="00D20D75" w:rsidP="00D20D75">
      <w:pPr>
        <w:pStyle w:val="NormalHanging12a"/>
      </w:pPr>
      <w:r w:rsidRPr="007122D4">
        <w:t>–</w:t>
      </w:r>
      <w:r w:rsidRPr="007122D4">
        <w:tab/>
        <w:t xml:space="preserve">s ohledem na Úmluvu OSN o mořském právu (UNCLOS), zejména na její článek 145 o ochraně mořského prostředí, </w:t>
      </w:r>
    </w:p>
    <w:p w:rsidR="00D20D75" w:rsidRPr="007122D4" w:rsidRDefault="00D20D75" w:rsidP="00D20D75">
      <w:pPr>
        <w:pStyle w:val="NormalHanging12a"/>
      </w:pPr>
      <w:r w:rsidRPr="007122D4">
        <w:t>–</w:t>
      </w:r>
      <w:r w:rsidRPr="007122D4">
        <w:tab/>
        <w:t>s ohledem na Dohodu v rámci Úmluvy Organizace spojených národů o mořském právu o zachování a udržitelném využívání biologické rozmanitosti moří v oblastech mimo jurisdikci jednotlivých států (dohoda BBNJ),</w:t>
      </w:r>
    </w:p>
    <w:p w:rsidR="00D20D75" w:rsidRPr="007122D4" w:rsidRDefault="00D20D75" w:rsidP="00D20D75">
      <w:pPr>
        <w:pStyle w:val="NormalHanging12a"/>
      </w:pPr>
      <w:r w:rsidRPr="007122D4">
        <w:t>–</w:t>
      </w:r>
      <w:r w:rsidRPr="007122D4">
        <w:tab/>
        <w:t>s ohledem na mandát Mezinárodního úřadu pro mořské dno zřízeného podle úmluvy UNCLOS a na dohodu z roku 1994 týkající se provádění části XI úmluvy UNCLOS,</w:t>
      </w:r>
    </w:p>
    <w:p w:rsidR="00D20D75" w:rsidRPr="007122D4" w:rsidRDefault="00D20D75" w:rsidP="00D20D75">
      <w:pPr>
        <w:pStyle w:val="NormalHanging12a"/>
      </w:pPr>
      <w:r w:rsidRPr="007122D4">
        <w:t>–</w:t>
      </w:r>
      <w:r w:rsidRPr="007122D4">
        <w:tab/>
        <w:t>s ohledem na Úmluvu o ochraně mořského prostředí severovýchodního Atlantiku (úmluva OSPAR), která se vztahuje na arktické vody,</w:t>
      </w:r>
    </w:p>
    <w:p w:rsidR="00D20D75" w:rsidRPr="007122D4" w:rsidRDefault="00D20D75" w:rsidP="00D20D75">
      <w:pPr>
        <w:pStyle w:val="NormalHanging12a"/>
      </w:pPr>
      <w:r w:rsidRPr="007122D4">
        <w:t>–</w:t>
      </w:r>
      <w:r w:rsidRPr="007122D4">
        <w:tab/>
        <w:t xml:space="preserve">s ohledem na </w:t>
      </w:r>
      <w:proofErr w:type="spellStart"/>
      <w:r w:rsidRPr="007122D4">
        <w:t>Svalbardskou</w:t>
      </w:r>
      <w:proofErr w:type="spellEnd"/>
      <w:r w:rsidRPr="007122D4">
        <w:t xml:space="preserve"> smlouvu z roku 1920, která byla podepsána dne 9. února 1920 v Paříži,</w:t>
      </w:r>
    </w:p>
    <w:p w:rsidR="00D20D75" w:rsidRPr="007122D4" w:rsidRDefault="00D20D75" w:rsidP="00D20D75">
      <w:pPr>
        <w:pStyle w:val="NormalHanging12a"/>
      </w:pPr>
      <w:r w:rsidRPr="007122D4">
        <w:t>–</w:t>
      </w:r>
      <w:r w:rsidRPr="007122D4">
        <w:tab/>
        <w:t xml:space="preserve">s ohledem na Úmluvu o posuzování vlivů na životní prostředí přesahujících hranice </w:t>
      </w:r>
      <w:r w:rsidRPr="007122D4">
        <w:lastRenderedPageBreak/>
        <w:t>států</w:t>
      </w:r>
      <w:r w:rsidRPr="007122D4">
        <w:rPr>
          <w:rStyle w:val="FootnoteReference"/>
        </w:rPr>
        <w:footnoteReference w:id="6"/>
      </w:r>
      <w:r w:rsidRPr="007122D4">
        <w:t xml:space="preserve">, podepsanou dne 25. února 1991 v </w:t>
      </w:r>
      <w:proofErr w:type="spellStart"/>
      <w:r w:rsidRPr="007122D4">
        <w:t>Espoo</w:t>
      </w:r>
      <w:proofErr w:type="spellEnd"/>
      <w:r w:rsidRPr="007122D4">
        <w:t xml:space="preserve"> (úmluva z </w:t>
      </w:r>
      <w:proofErr w:type="spellStart"/>
      <w:r w:rsidRPr="007122D4">
        <w:t>Espoo</w:t>
      </w:r>
      <w:proofErr w:type="spellEnd"/>
      <w:r w:rsidRPr="007122D4">
        <w:t>), a na její Protokol o strategickém posuzování vlivů na životní prostředí</w:t>
      </w:r>
      <w:r w:rsidRPr="007122D4">
        <w:rPr>
          <w:rStyle w:val="FootnoteReference"/>
        </w:rPr>
        <w:footnoteReference w:id="7"/>
      </w:r>
      <w:r w:rsidRPr="007122D4">
        <w:t xml:space="preserve"> (protokol SEA),</w:t>
      </w:r>
    </w:p>
    <w:p w:rsidR="00D20D75" w:rsidRPr="007122D4" w:rsidRDefault="00D20D75" w:rsidP="00D20D75">
      <w:pPr>
        <w:pStyle w:val="NormalHanging12a"/>
      </w:pPr>
      <w:r w:rsidRPr="007122D4">
        <w:t>–</w:t>
      </w:r>
      <w:r w:rsidRPr="007122D4">
        <w:tab/>
        <w:t>s ohledem na panel na vysoké úrovni pro udržitelnou oceánskou ekonomiku, jehož je Norsko zakládajícím členem,</w:t>
      </w:r>
    </w:p>
    <w:p w:rsidR="00D20D75" w:rsidRPr="007122D4" w:rsidRDefault="00D20D75" w:rsidP="00D20D75">
      <w:pPr>
        <w:pStyle w:val="NormalHanging12a"/>
      </w:pPr>
      <w:r w:rsidRPr="007122D4">
        <w:t>–</w:t>
      </w:r>
      <w:r w:rsidRPr="007122D4">
        <w:tab/>
        <w:t>s ohledem na rezoluci č. 122 Mezinárodního svazu ochrany přírody (IUCN) nazvanou „Ochrana hlubinných oceánských ekosystémů a biologické rozmanitosti prostřednictvím moratoria na těžbu na mořském dně“,</w:t>
      </w:r>
    </w:p>
    <w:p w:rsidR="00D20D75" w:rsidRPr="007122D4" w:rsidRDefault="00D20D75" w:rsidP="00D20D75">
      <w:pPr>
        <w:pStyle w:val="NormalHanging12a"/>
      </w:pPr>
      <w:r w:rsidRPr="007122D4">
        <w:t>–</w:t>
      </w:r>
      <w:r w:rsidRPr="007122D4">
        <w:tab/>
        <w:t>s ohledem na rezoluci Valného shromáždění OSN nazvanou „Přeměna našeho světa: Agenda pro udržitelný rozvoj 2030“, která byla přijata na summitu OSN o udržitelném rozvoji konaném v New Yorku dne 25. září 2015, a zejména na cíl udržitelného rozvoje č. 14 Agendy OSN pro udržitelný rozvoj 2030, který vybízí k zachování a udržitelnému využívání oceánů, moří a mořských zdrojů,</w:t>
      </w:r>
    </w:p>
    <w:p w:rsidR="00D20D75" w:rsidRPr="007122D4" w:rsidRDefault="00D20D75" w:rsidP="00D20D75">
      <w:pPr>
        <w:pStyle w:val="NormalHanging12a"/>
      </w:pPr>
      <w:r w:rsidRPr="007122D4">
        <w:t>–</w:t>
      </w:r>
      <w:r w:rsidRPr="007122D4">
        <w:tab/>
        <w:t>s ohledem na globální hodnotící zprávu Mezivládní vědecko-politické platformy pro biologickou rozmanitost a ekosystémové služby z května 2019 o biologické rozmanitosti a ekosystémových službách,</w:t>
      </w:r>
    </w:p>
    <w:p w:rsidR="00D20D75" w:rsidRPr="007122D4" w:rsidRDefault="00D20D75" w:rsidP="00D20D75">
      <w:pPr>
        <w:pStyle w:val="NormalHanging12a"/>
      </w:pPr>
      <w:r w:rsidRPr="007122D4">
        <w:t>–</w:t>
      </w:r>
      <w:r w:rsidRPr="007122D4">
        <w:tab/>
        <w:t>s ohledem na dohodu přijatou dne 12. prosince 2015 na 21. konferenci smluvních stran Rámcové úmluvy OSN o změně klimatu (COP21) v Paříži, která vstoupila v platnost dne 4. listopadu 2016, včetně následných rozhodnutí COP,</w:t>
      </w:r>
    </w:p>
    <w:p w:rsidR="00D20D75" w:rsidRPr="007122D4" w:rsidRDefault="00D20D75" w:rsidP="00D20D75">
      <w:pPr>
        <w:pStyle w:val="NormalHanging12a"/>
      </w:pPr>
      <w:r w:rsidRPr="007122D4">
        <w:t>–</w:t>
      </w:r>
      <w:r w:rsidRPr="007122D4">
        <w:tab/>
        <w:t>s ohledem na zvláštní zprávu Mezivládního panelu pro změnu klimatu ze dne 24. září 2019 o oceánech a kryosféře v měnícím se klimatu,</w:t>
      </w:r>
    </w:p>
    <w:p w:rsidR="00D20D75" w:rsidRPr="007122D4" w:rsidRDefault="00D20D75" w:rsidP="00D20D75">
      <w:pPr>
        <w:pStyle w:val="NormalHanging12a"/>
      </w:pPr>
      <w:r w:rsidRPr="007122D4">
        <w:t>–</w:t>
      </w:r>
      <w:r w:rsidRPr="007122D4">
        <w:tab/>
        <w:t>s ohledem na čl. 132 odst. 2 jednacího řádu,</w:t>
      </w:r>
    </w:p>
    <w:p w:rsidR="00D20D75" w:rsidRPr="007122D4" w:rsidRDefault="00D20D75" w:rsidP="00D20D75">
      <w:pPr>
        <w:pStyle w:val="NormalHanging12a"/>
      </w:pPr>
      <w:r w:rsidRPr="007122D4">
        <w:t>A.</w:t>
      </w:r>
      <w:r w:rsidRPr="007122D4">
        <w:tab/>
        <w:t xml:space="preserve">vzhledem k tomu, že dne 9. ledna 2024 schválil norský parlament </w:t>
      </w:r>
      <w:proofErr w:type="spellStart"/>
      <w:r w:rsidRPr="007122D4">
        <w:t>Storting</w:t>
      </w:r>
      <w:proofErr w:type="spellEnd"/>
      <w:r w:rsidRPr="007122D4">
        <w:t xml:space="preserve"> rozhodnutí o otevření oblasti o rozloze 281 200 km</w:t>
      </w:r>
      <w:r w:rsidRPr="007122D4">
        <w:rPr>
          <w:vertAlign w:val="superscript"/>
        </w:rPr>
        <w:t>2</w:t>
      </w:r>
      <w:r w:rsidRPr="007122D4">
        <w:t xml:space="preserve"> v Arktidě k průzkumu pro případnou těžbu na mořském dně; vzhledem k tomu, že tento proces je otevřený a další rozhodnutí o těžebních plánech nebo povoleních k těžbě závisí na budoucích demokratických rozhodnutích norské vlády v souladu s norským zákonem o nerostných surovinách na mořském dně; vzhledem k tomu, že podle uvedeného rozhodnutí musí první těžební plány schválit </w:t>
      </w:r>
      <w:proofErr w:type="spellStart"/>
      <w:r w:rsidRPr="007122D4">
        <w:t>Storting</w:t>
      </w:r>
      <w:proofErr w:type="spellEnd"/>
      <w:r w:rsidRPr="007122D4">
        <w:t>;</w:t>
      </w:r>
    </w:p>
    <w:p w:rsidR="00D20D75" w:rsidRPr="007122D4" w:rsidRDefault="00D20D75" w:rsidP="00D20D75">
      <w:pPr>
        <w:pStyle w:val="NormalHanging12a"/>
      </w:pPr>
      <w:r w:rsidRPr="007122D4">
        <w:t>B.</w:t>
      </w:r>
      <w:r w:rsidRPr="007122D4">
        <w:tab/>
        <w:t>vzhledem k tomu, že Norská agentura pro životní prostředí se domnívá, že v posouzení dopadu na životní prostředí chybějí mnohé informace týkající se přírody, technologií a možných účinků na životní prostředí, a nepředstavuje proto dostatečný základ pro těžbu nerostných surovin;</w:t>
      </w:r>
    </w:p>
    <w:p w:rsidR="00D20D75" w:rsidRPr="007122D4" w:rsidRDefault="00D20D75" w:rsidP="00D20D75">
      <w:pPr>
        <w:pStyle w:val="NormalHanging12a"/>
      </w:pPr>
      <w:r w:rsidRPr="007122D4">
        <w:t>C.</w:t>
      </w:r>
      <w:r w:rsidRPr="007122D4">
        <w:tab/>
        <w:t>vzhledem k tomu, že Norsko a EU dlouhodobě udržují jako sousedé a partneři velmi úzké vztahy, sdílejí společné politické cíle a základní hodnoty a prostřednictvím Evropského hospodářského prostoru jsou součástí jednotného trhu;</w:t>
      </w:r>
    </w:p>
    <w:p w:rsidR="00D20D75" w:rsidRPr="007122D4" w:rsidRDefault="00D20D75" w:rsidP="00D20D75">
      <w:pPr>
        <w:pStyle w:val="NormalHanging12a"/>
      </w:pPr>
      <w:r w:rsidRPr="007122D4">
        <w:t>D.</w:t>
      </w:r>
      <w:r w:rsidRPr="007122D4">
        <w:tab/>
        <w:t xml:space="preserve">vzhledem k tomu, že velká část oblasti navrhované k průzkumu se nachází na rozšířeném kontinentálním šelfu Norska a že velká část oblasti nad rozšířeným kontinentálním šelfem je považována za volné moře a mezinárodní rybolovnou zónu; </w:t>
      </w:r>
      <w:r w:rsidRPr="007122D4">
        <w:lastRenderedPageBreak/>
        <w:t xml:space="preserve">vzhledem k tomu, že tento kontinentální šelf podléhá ustanovením </w:t>
      </w:r>
      <w:proofErr w:type="spellStart"/>
      <w:r w:rsidRPr="007122D4">
        <w:t>Svalbardské</w:t>
      </w:r>
      <w:proofErr w:type="spellEnd"/>
      <w:r w:rsidRPr="007122D4">
        <w:t xml:space="preserve"> smlouvy z roku 1920; vzhledem k tomu, že tato oblast je součástí chráněné rybolovné oblasti </w:t>
      </w:r>
      <w:proofErr w:type="spellStart"/>
      <w:r w:rsidRPr="007122D4">
        <w:t>Svalbard</w:t>
      </w:r>
      <w:proofErr w:type="spellEnd"/>
      <w:r w:rsidRPr="007122D4">
        <w:t>, která smluvním státům, tj. 22 členským státům EU a 23 dalším státům, umožňuje provádět rybolovné činnosti za rovných podmínek;</w:t>
      </w:r>
    </w:p>
    <w:p w:rsidR="00D20D75" w:rsidRPr="007122D4" w:rsidRDefault="00D20D75" w:rsidP="00D20D75">
      <w:pPr>
        <w:pStyle w:val="NormalHanging12a"/>
      </w:pPr>
      <w:r w:rsidRPr="007122D4">
        <w:t>E.</w:t>
      </w:r>
      <w:r w:rsidRPr="007122D4">
        <w:tab/>
        <w:t>vzhledem k tomu, že EU zaslala Norsku v říjnu 2023 verbální nótu, v níž vyjádřila znepokojení nad významnými negativními dopady ohlášené hlubinné těžby na rybí populace, rybolov a přístup k lovištím, zejména na kontinentálním šelfu souostroví Špicberků;</w:t>
      </w:r>
    </w:p>
    <w:p w:rsidR="00D20D75" w:rsidRPr="007122D4" w:rsidRDefault="00D20D75" w:rsidP="00D20D75">
      <w:pPr>
        <w:pStyle w:val="NormalHanging12a"/>
      </w:pPr>
      <w:r w:rsidRPr="007122D4">
        <w:t>F.</w:t>
      </w:r>
      <w:r w:rsidRPr="007122D4">
        <w:tab/>
        <w:t xml:space="preserve">vzhledem k tomu, že Norsko je signatářem úmluvy z </w:t>
      </w:r>
      <w:proofErr w:type="spellStart"/>
      <w:r w:rsidRPr="007122D4">
        <w:t>Espoo</w:t>
      </w:r>
      <w:proofErr w:type="spellEnd"/>
      <w:r w:rsidRPr="007122D4">
        <w:t xml:space="preserve"> a protokolu SEA, což znamená, že má právní povinnost zabránit významným přeshraničním dopadům; vzhledem k tomu, že právní povinnost chránit mořské prostředí pro Norsko vyplývá rovněž z úmluvy OSPAR;</w:t>
      </w:r>
    </w:p>
    <w:p w:rsidR="00D20D75" w:rsidRPr="007122D4" w:rsidRDefault="00D20D75" w:rsidP="00D20D75">
      <w:pPr>
        <w:pStyle w:val="NormalHanging12a"/>
      </w:pPr>
      <w:r w:rsidRPr="007122D4">
        <w:t>G.</w:t>
      </w:r>
      <w:r w:rsidRPr="007122D4">
        <w:tab/>
        <w:t>vzhledem ke zjištění, že ekosystémy Arktidy mají zásadní environmentální význam pro biologickou rozmanitost, rybí populace a regulaci klimatu; vzhledem k tomu, že tyto obzvláště zranitelné ekosystémy již nyní čelí tlaku způsobenému změnou klimatu, jež vede ke zvyšování kyselosti a teploty oceánů, což pravděpodobně ovlivní migrační vzorce důležitých rybích populací; vzhledem k nebezpečí, že těžba nerostných surovin na arktickém mořském dně může uvolňovat metan uložený v ekosystémech pod ledovcem a arktických permafrostech; vzhledem k tomu, že arktické ekosystémy velmi snadno podléhají znečištění a dalším dopadům lidské činnosti; vzhledem k tomu, že kvůli drsným přírodním podmínkám a velkým vzdálenostem do přístavů je velmi obtížné provádět nezbytnou nápravu nebo čištění;</w:t>
      </w:r>
    </w:p>
    <w:p w:rsidR="00D20D75" w:rsidRPr="007122D4" w:rsidRDefault="00D20D75" w:rsidP="00D20D75">
      <w:pPr>
        <w:pStyle w:val="NormalHanging12a"/>
      </w:pPr>
      <w:r w:rsidRPr="007122D4">
        <w:t>H.</w:t>
      </w:r>
      <w:r w:rsidRPr="007122D4">
        <w:tab/>
        <w:t>vzhledem k tomu, že mořské hlubiny jsou nejstarším biomem na planetě a že se jedná o lidstvu nejméně známou oblast planety; vzhledem k tomu, že hlubinné moře má podle všeho největší biologickou rozmanitost na Zemi, poskytuje kritické environmentální služby, včetně dlouhodobého ukládání uhlíku, a je zranitelné vůči lidským zásahům; vzhledem k tomu, že oceán pohlcuje přibližně 90 % přebytečného tepla a 25 % celosvětových emisí CO</w:t>
      </w:r>
      <w:r w:rsidRPr="007122D4">
        <w:rPr>
          <w:vertAlign w:val="subscript"/>
        </w:rPr>
        <w:t>2</w:t>
      </w:r>
      <w:r w:rsidRPr="007122D4">
        <w:t>; vzhledem k vážným obavám ohledně dopadů hlubinné těžby na ztrátu biologické rozmanitosti a fungování ekosystému, jejichž účinky budou přetrvávat pro mnoho příštích generací; vzhledem k tomu, že oceán by měl být s ohledem na jeho jedinečnost a propojenost a na základní ekosystémové služby, které poskytuje, mezinárodně uznán jako globální společný statek a chráněn; vzhledem k tomu, že na těchto službách závisí přežití a dobré životní podmínky současných i budoucích generací;</w:t>
      </w:r>
    </w:p>
    <w:p w:rsidR="00D20D75" w:rsidRPr="007122D4" w:rsidRDefault="00D20D75" w:rsidP="00D20D75">
      <w:pPr>
        <w:pStyle w:val="NormalHanging12a"/>
      </w:pPr>
      <w:r w:rsidRPr="007122D4">
        <w:t>I.</w:t>
      </w:r>
      <w:r w:rsidRPr="007122D4">
        <w:tab/>
        <w:t>vzhledem k tomu, že v červnu 2023 byla uzavřena dohoda BBNJ; vzhledem k tomu, že EU i Norsko patřily k prvním signatářům této smlouvy; vzhledem k tomu, že pro EU, která v rámci koalice s vysokými ambicemi BBNJ – koalice, jež byla v únoru 2022 zahájena na summitu „Jeden oceán“ v Brestu a k níž se připojilo i Norsko – vedla jednání na celosvětové úrovni, byla dohoda BBNJ prioritou; vzhledem k tomu, že dohoda BBNJ vyžaduje, aby byla u hospodářských činností provedena posouzení jejich dopadu na biologickou rozmanitost na volném moři;</w:t>
      </w:r>
    </w:p>
    <w:p w:rsidR="00D20D75" w:rsidRPr="007122D4" w:rsidRDefault="00D20D75" w:rsidP="00D20D75">
      <w:pPr>
        <w:pStyle w:val="NormalHanging12a"/>
      </w:pPr>
      <w:r w:rsidRPr="007122D4">
        <w:t>J.</w:t>
      </w:r>
      <w:r w:rsidRPr="007122D4">
        <w:tab/>
        <w:t xml:space="preserve">vzhledem k tomu, že současný stav vědeckých poznatků neumožňuje přesné posouzení dopadu těžby na mořském dně na životní prostředí a že k dosažení vědeckého konsensu v této oblasti je stále zapotřebí mezinárodní výzkum; vzhledem k tomu, že Komise zdůraznila, že má-li být možné skutečně posoudit dopady hlubokomořské těžby, je </w:t>
      </w:r>
      <w:r w:rsidRPr="007122D4">
        <w:lastRenderedPageBreak/>
        <w:t>nezbytný dlouhodobý výzkum; vzhledem k tomu, že předčasný průzkum a těžba by mohly ekosystémy trvale a nevratně poškodit; vzhledem k tomu, že k úplnému porozumění potenciálním dopadům hlubokomořské těžby na mořské prostředí a biologickou rozmanitost je zapotřebí další vědecký výzkum;</w:t>
      </w:r>
    </w:p>
    <w:p w:rsidR="00D20D75" w:rsidRPr="007122D4" w:rsidRDefault="00D20D75" w:rsidP="00D20D75">
      <w:pPr>
        <w:pStyle w:val="NormalHanging12a"/>
      </w:pPr>
      <w:r w:rsidRPr="007122D4">
        <w:t>K.</w:t>
      </w:r>
      <w:r w:rsidRPr="007122D4">
        <w:tab/>
        <w:t>vzhledem k tomu, že otevření uvedené oblasti pro hlubinnou těžbu na mořském dně by mohlo škodit populacím ryb a rybolovu a mohlo by v této oblasti ovlivnit přístup plavidel členských států EU k lovištím; vzhledem k tomu, že v posouzení dopadů tohoto rozhodnutí nebyly zohledněny mezinárodní rybolovné zájmy, včetně zájmů odvětví rybolovu EU; vzhledem k tomu, že podobně jako u doporučení z let 2020 a 2019 vyzvaly v listopadu 2021 evropské poradní sbory – poradní sbor pro dálkový rybolov, poradní sbor pro pelagický rybolov a poradní sbor pro severozápadní vody – k moratoriu na hlubinnou těžbu; vzhledem k tomu, že se vůči tomuto rozhodnutí velmi kriticky staví i Norské sdružení rybářů;</w:t>
      </w:r>
    </w:p>
    <w:p w:rsidR="00D20D75" w:rsidRPr="007122D4" w:rsidRDefault="00D20D75" w:rsidP="00D20D75">
      <w:pPr>
        <w:pStyle w:val="NormalHanging12a"/>
      </w:pPr>
      <w:r w:rsidRPr="007122D4">
        <w:t>L.</w:t>
      </w:r>
      <w:r w:rsidRPr="007122D4">
        <w:tab/>
        <w:t>vzhledem k tomu, že roste počet států – patří sem i sedm členských států EU (Finsko, Francie, Německo, Irsko, Portugalsko, Španělsko a Švédsko) –, které svou podporu moratoriu, preventivnímu pozastavení nebo úplnému zákazu hlubinné těžby na mořském dně vyjádřily na mezinárodní úrovni; vzhledem k tomu, že v září 2021 přijal Světový kongres o ochraně přírody IUCN velkou většinou, na níž se podílely i hlasy Rakouska, Německa, Portugalska, Rumunska, Španělska, Švédska a dalších, návrh, adresovaný mj. Mezinárodnímu úřadu pro mořské dno, který vyzývá k moratoriu na hlubokomořskou těžbu;</w:t>
      </w:r>
    </w:p>
    <w:p w:rsidR="00D20D75" w:rsidRPr="007122D4" w:rsidRDefault="00D20D75" w:rsidP="00D20D75">
      <w:pPr>
        <w:pStyle w:val="NormalHanging12a"/>
      </w:pPr>
      <w:r w:rsidRPr="007122D4">
        <w:t>M.</w:t>
      </w:r>
      <w:r w:rsidRPr="007122D4">
        <w:tab/>
        <w:t xml:space="preserve">vzhledem k tomu, že 37 finančních institucí, jež reprezentují kombinovaná aktiva ve výši 3,3 bilionu EUR, vyjádřilo před členskými státy Mezinárodního úřadu pro mořské dno obavy ohledně těžebních činností na mořském dně; vzhledem k tomu, že svou podporu moratoriu na hlubinnou těžbu na mořském dně vyjádřily mezinárodní společnosti, jako jsou Volvo, BMW, Google, Samsung, </w:t>
      </w:r>
      <w:proofErr w:type="spellStart"/>
      <w:r w:rsidRPr="007122D4">
        <w:t>Phillips</w:t>
      </w:r>
      <w:proofErr w:type="spellEnd"/>
      <w:r w:rsidRPr="007122D4">
        <w:t xml:space="preserve">, </w:t>
      </w:r>
      <w:proofErr w:type="spellStart"/>
      <w:r w:rsidRPr="007122D4">
        <w:t>Northvolt</w:t>
      </w:r>
      <w:proofErr w:type="spellEnd"/>
      <w:r w:rsidRPr="007122D4">
        <w:t xml:space="preserve"> či Volkswagen, které se zavázaly, že nerostné suroviny pocházející z hlubinné těžby z mořského dna nebudou získávat ani financovat; vzhledem k tomu, že největší norská společnost </w:t>
      </w:r>
      <w:proofErr w:type="spellStart"/>
      <w:r w:rsidRPr="007122D4">
        <w:t>Equinor</w:t>
      </w:r>
      <w:proofErr w:type="spellEnd"/>
      <w:r w:rsidRPr="007122D4">
        <w:t xml:space="preserve"> zdůraznila, že je nutné získat v souvislosti s hlubokomořskou těžbou u pobřeží Norska více poznatků, a dospěla k závěru, že těžba zatím není vzhledem k environmentálnímu riziku únosná; vzhledem k tomu, že finanční iniciativa Programu OSN pro životní prostředí varovala finanční komunitu, že za současného stavu není na obzoru způsob, jak by financování hlubinné těžby na mořském dně mohlo být slučitelné s finančními zásadami udržitelné modré ekonomiky;</w:t>
      </w:r>
    </w:p>
    <w:p w:rsidR="00D20D75" w:rsidRPr="007122D4" w:rsidRDefault="00D20D75" w:rsidP="00D20D75">
      <w:pPr>
        <w:pStyle w:val="NormalHanging12a"/>
      </w:pPr>
      <w:r w:rsidRPr="007122D4">
        <w:t>N.</w:t>
      </w:r>
      <w:r w:rsidRPr="007122D4">
        <w:tab/>
        <w:t>vzhledem k tomu, že velkou část poptávky po surovinách lze a je třeba uspokojovat využíváním recyklace a oběhového hospodářství, rozvojem náhradních materiálů a politikami snižování poptávky;</w:t>
      </w:r>
    </w:p>
    <w:p w:rsidR="00D20D75" w:rsidRPr="007122D4" w:rsidRDefault="00D20D75" w:rsidP="00D20D75">
      <w:pPr>
        <w:pStyle w:val="NormalHanging12a"/>
      </w:pPr>
      <w:r w:rsidRPr="007122D4">
        <w:t>1.</w:t>
      </w:r>
      <w:r w:rsidRPr="007122D4">
        <w:tab/>
        <w:t xml:space="preserve">vyjadřuje znepokojení nad rozhodnutím </w:t>
      </w:r>
      <w:proofErr w:type="spellStart"/>
      <w:r w:rsidRPr="007122D4">
        <w:t>Stortingu</w:t>
      </w:r>
      <w:proofErr w:type="spellEnd"/>
      <w:r w:rsidRPr="007122D4">
        <w:t xml:space="preserve"> ze dne 9. ledna 2024 otevřít oblasti pro hlubinné činnosti na mořském dně;</w:t>
      </w:r>
    </w:p>
    <w:p w:rsidR="00D20D75" w:rsidRPr="007122D4" w:rsidRDefault="00D20D75" w:rsidP="00D20D75">
      <w:pPr>
        <w:pStyle w:val="NormalHanging12a"/>
      </w:pPr>
      <w:r w:rsidRPr="007122D4">
        <w:t>2.</w:t>
      </w:r>
      <w:r w:rsidRPr="007122D4">
        <w:tab/>
        <w:t xml:space="preserve">konstatuje, že rozhodnutí </w:t>
      </w:r>
      <w:proofErr w:type="spellStart"/>
      <w:r w:rsidRPr="007122D4">
        <w:t>Stortingu</w:t>
      </w:r>
      <w:proofErr w:type="spellEnd"/>
      <w:r w:rsidRPr="007122D4">
        <w:t xml:space="preserve"> zahrnuje proces průběžného mapování, získávání znalostí a posuzování dopadu potenciálních těžebních činností na životní prostředí, avšak neznamená automatické povolení těžebních činností, neboť první těžební plány musí podle tohoto rozhodnutí opět schválit </w:t>
      </w:r>
      <w:proofErr w:type="spellStart"/>
      <w:r w:rsidRPr="007122D4">
        <w:t>Storting</w:t>
      </w:r>
      <w:proofErr w:type="spellEnd"/>
      <w:r w:rsidRPr="007122D4">
        <w:t>;</w:t>
      </w:r>
    </w:p>
    <w:p w:rsidR="00D20D75" w:rsidRPr="007122D4" w:rsidRDefault="00D20D75" w:rsidP="00D20D75">
      <w:pPr>
        <w:pStyle w:val="NormalHanging12a"/>
      </w:pPr>
      <w:r w:rsidRPr="007122D4">
        <w:t>3.</w:t>
      </w:r>
      <w:r w:rsidRPr="007122D4">
        <w:tab/>
        <w:t xml:space="preserve">znovu vyzývá Komisi a členské státy, aby prosazovaly mezinárodní moratorium na </w:t>
      </w:r>
      <w:r w:rsidRPr="007122D4">
        <w:lastRenderedPageBreak/>
        <w:t>hlubinnou těžbu na mořském dně, mj. v Mezinárodním úřadu pro mořské dno, dokud nebudou dostatečně studovány a prozkoumány dopady hlubokomořské těžby na mořské prostředí, biologickou rozmanitost a lidské činnosti na moři a dokud nebude možné provádět hlubinnou těžbu na mořském dně takovým způsobem, aby nemohlo dojít ke ztrátě mořské biologické rozmanitosti nebo k degradaci mořských ekosystémů; vyzývá všechny země, aby uplatňovaly zásadu předběžné opatrnosti a podporovaly mezinárodní moratorium na hlubinnou těžbu na mořském dně;</w:t>
      </w:r>
    </w:p>
    <w:p w:rsidR="00D20D75" w:rsidRPr="007122D4" w:rsidRDefault="00D20D75" w:rsidP="00D20D75">
      <w:pPr>
        <w:pStyle w:val="NormalHanging12a"/>
      </w:pPr>
      <w:r w:rsidRPr="007122D4">
        <w:t>4.</w:t>
      </w:r>
      <w:r w:rsidRPr="007122D4">
        <w:tab/>
        <w:t xml:space="preserve">připomíná závazky Norska jakožto smluvní strany několika smluv, zejména </w:t>
      </w:r>
      <w:proofErr w:type="spellStart"/>
      <w:r w:rsidRPr="007122D4">
        <w:t>Svalbardské</w:t>
      </w:r>
      <w:proofErr w:type="spellEnd"/>
      <w:r w:rsidRPr="007122D4">
        <w:t xml:space="preserve"> smlouvy, a řady dohod týkajících se řízení rybolovných populací v této oblasti, Úmluvy OSPAR o ochraně mořského prostředí severovýchodního Atlantiku před nepříznivými účinky lidské činnosti, jež se vztahuje i na arktické vody, a úmluvy z </w:t>
      </w:r>
      <w:proofErr w:type="spellStart"/>
      <w:r w:rsidRPr="007122D4">
        <w:t>Espoo</w:t>
      </w:r>
      <w:proofErr w:type="spellEnd"/>
      <w:r w:rsidRPr="007122D4">
        <w:t>; zdůrazňuje, že dohodu BBNJ podepsaly jak EU, tak Norsko, a vyzývá všechny ostatní strany úmluvy UNCLOS včetně Norska, aby tuto dohodu neprodleně podepsaly a ratifikovaly;</w:t>
      </w:r>
    </w:p>
    <w:p w:rsidR="00D20D75" w:rsidRPr="007122D4" w:rsidRDefault="00D20D75" w:rsidP="00D20D75">
      <w:pPr>
        <w:pStyle w:val="NormalHanging12a"/>
      </w:pPr>
      <w:r w:rsidRPr="007122D4">
        <w:t>5.</w:t>
      </w:r>
      <w:r w:rsidRPr="007122D4">
        <w:tab/>
        <w:t>vyzývá Norsko, aby i nadále spolupracovalo s EU v duchu vzájemného partnerství a zelené aliance podepsané v dubnu 2023 ve snaze o řešení všech obav a zajištění ochrany mořského prostředí a arktických ekosystémů; vyzývá Komisi a Norsko, aby vedly nepřetržitý dialog a vyměňovaly si vědecký výzkum a poznatky týkající se mořského dna a udržitelného řízení oceánů; zdůrazňuje, že pokud jde o vyváženou politiku v oblasti surovin založenou na zmírňování poptávky, opětovném použití, účinnosti, recyklaci, využívání toků odpadů a nahrazování, uplatňují Norsko i EU ve svých příslušných strategiích podobný přístup;</w:t>
      </w:r>
    </w:p>
    <w:p w:rsidR="00D20D75" w:rsidRPr="007122D4" w:rsidRDefault="00D20D75" w:rsidP="00D20D75">
      <w:pPr>
        <w:pStyle w:val="NormalHanging12a"/>
      </w:pPr>
      <w:r w:rsidRPr="007122D4">
        <w:t>6.</w:t>
      </w:r>
      <w:r w:rsidRPr="007122D4">
        <w:tab/>
        <w:t>pověřuje svou předsedkyni, aby předala toto usnesení Radě, Komisi a </w:t>
      </w:r>
      <w:proofErr w:type="spellStart"/>
      <w:r w:rsidRPr="007122D4">
        <w:t>Stortingu</w:t>
      </w:r>
      <w:proofErr w:type="spellEnd"/>
      <w:r w:rsidRPr="007122D4">
        <w:t xml:space="preserve"> a vládě Norska.</w:t>
      </w:r>
    </w:p>
    <w:p w:rsidR="00E365E1" w:rsidRPr="007122D4" w:rsidRDefault="00E365E1" w:rsidP="00E60F19">
      <w:bookmarkStart w:id="8" w:name="TextBodyEnd"/>
      <w:bookmarkEnd w:id="8"/>
    </w:p>
    <w:sectPr w:rsidR="00E365E1" w:rsidRPr="007122D4" w:rsidSect="007122D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0F19" w:rsidRPr="007122D4" w:rsidRDefault="00E60F19">
      <w:r w:rsidRPr="007122D4">
        <w:separator/>
      </w:r>
    </w:p>
  </w:endnote>
  <w:endnote w:type="continuationSeparator" w:id="0">
    <w:p w:rsidR="00E60F19" w:rsidRPr="007122D4" w:rsidRDefault="00E60F19">
      <w:r w:rsidRPr="007122D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22D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22D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22D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0F19" w:rsidRPr="007122D4" w:rsidRDefault="00E60F19">
      <w:r w:rsidRPr="007122D4">
        <w:separator/>
      </w:r>
    </w:p>
  </w:footnote>
  <w:footnote w:type="continuationSeparator" w:id="0">
    <w:p w:rsidR="00E60F19" w:rsidRPr="007122D4" w:rsidRDefault="00E60F19">
      <w:r w:rsidRPr="007122D4">
        <w:continuationSeparator/>
      </w:r>
    </w:p>
  </w:footnote>
  <w:footnote w:id="1">
    <w:p w:rsidR="00D20D75" w:rsidRPr="007122D4" w:rsidRDefault="00D20D75" w:rsidP="007122D4">
      <w:pPr>
        <w:pStyle w:val="FootnoteText"/>
        <w:ind w:left="567" w:hanging="567"/>
        <w:rPr>
          <w:sz w:val="24"/>
          <w:lang w:val="cs-CZ"/>
        </w:rPr>
      </w:pPr>
      <w:r w:rsidRPr="007122D4">
        <w:rPr>
          <w:rStyle w:val="FootnoteReference"/>
          <w:sz w:val="24"/>
          <w:lang w:val="cs-CZ"/>
        </w:rPr>
        <w:footnoteRef/>
      </w:r>
      <w:r w:rsidR="007122D4" w:rsidRPr="007122D4">
        <w:rPr>
          <w:sz w:val="24"/>
          <w:lang w:val="cs-CZ"/>
        </w:rPr>
        <w:t xml:space="preserve"> </w:t>
      </w:r>
      <w:r w:rsidR="007122D4" w:rsidRPr="007122D4">
        <w:rPr>
          <w:sz w:val="24"/>
          <w:lang w:val="cs-CZ"/>
        </w:rPr>
        <w:tab/>
      </w:r>
      <w:proofErr w:type="spellStart"/>
      <w:r w:rsidRPr="007122D4">
        <w:rPr>
          <w:sz w:val="24"/>
          <w:lang w:val="cs-CZ"/>
        </w:rPr>
        <w:t>Úř</w:t>
      </w:r>
      <w:proofErr w:type="spellEnd"/>
      <w:r w:rsidRPr="007122D4">
        <w:rPr>
          <w:sz w:val="24"/>
          <w:lang w:val="cs-CZ"/>
        </w:rPr>
        <w:t xml:space="preserve">. </w:t>
      </w:r>
      <w:proofErr w:type="spellStart"/>
      <w:r w:rsidRPr="007122D4">
        <w:rPr>
          <w:sz w:val="24"/>
          <w:lang w:val="cs-CZ"/>
        </w:rPr>
        <w:t>věst</w:t>
      </w:r>
      <w:proofErr w:type="spellEnd"/>
      <w:r w:rsidRPr="007122D4">
        <w:rPr>
          <w:sz w:val="24"/>
          <w:lang w:val="cs-CZ"/>
        </w:rPr>
        <w:t>. C 67, 8.2.2022, s. 25.</w:t>
      </w:r>
    </w:p>
  </w:footnote>
  <w:footnote w:id="2">
    <w:p w:rsidR="00D20D75" w:rsidRPr="007122D4" w:rsidRDefault="00D20D75" w:rsidP="007122D4">
      <w:pPr>
        <w:pStyle w:val="FootnoteText"/>
        <w:ind w:left="567" w:hanging="567"/>
        <w:rPr>
          <w:sz w:val="24"/>
          <w:lang w:val="cs-CZ"/>
        </w:rPr>
      </w:pPr>
      <w:r w:rsidRPr="007122D4">
        <w:rPr>
          <w:rStyle w:val="FootnoteReference"/>
          <w:sz w:val="24"/>
          <w:lang w:val="cs-CZ"/>
        </w:rPr>
        <w:footnoteRef/>
      </w:r>
      <w:r w:rsidR="007122D4" w:rsidRPr="007122D4">
        <w:rPr>
          <w:sz w:val="24"/>
          <w:lang w:val="cs-CZ"/>
        </w:rPr>
        <w:t xml:space="preserve"> </w:t>
      </w:r>
      <w:r w:rsidR="007122D4" w:rsidRPr="007122D4">
        <w:rPr>
          <w:sz w:val="24"/>
          <w:lang w:val="cs-CZ"/>
        </w:rPr>
        <w:tab/>
      </w:r>
      <w:proofErr w:type="spellStart"/>
      <w:r w:rsidRPr="007122D4">
        <w:rPr>
          <w:sz w:val="24"/>
          <w:lang w:val="cs-CZ"/>
        </w:rPr>
        <w:t>Úř</w:t>
      </w:r>
      <w:proofErr w:type="spellEnd"/>
      <w:r w:rsidRPr="007122D4">
        <w:rPr>
          <w:sz w:val="24"/>
          <w:lang w:val="cs-CZ"/>
        </w:rPr>
        <w:t xml:space="preserve">. </w:t>
      </w:r>
      <w:proofErr w:type="spellStart"/>
      <w:r w:rsidRPr="007122D4">
        <w:rPr>
          <w:sz w:val="24"/>
          <w:lang w:val="cs-CZ"/>
        </w:rPr>
        <w:t>věst</w:t>
      </w:r>
      <w:proofErr w:type="spellEnd"/>
      <w:r w:rsidRPr="007122D4">
        <w:rPr>
          <w:sz w:val="24"/>
          <w:lang w:val="cs-CZ"/>
        </w:rPr>
        <w:t>. C 465, 6.12.2022, s. 2.</w:t>
      </w:r>
    </w:p>
  </w:footnote>
  <w:footnote w:id="3">
    <w:p w:rsidR="00D20D75" w:rsidRPr="007122D4" w:rsidRDefault="00D20D75" w:rsidP="007122D4">
      <w:pPr>
        <w:pStyle w:val="FootnoteText"/>
        <w:ind w:left="567" w:hanging="567"/>
        <w:rPr>
          <w:sz w:val="24"/>
          <w:lang w:val="cs-CZ"/>
        </w:rPr>
      </w:pPr>
      <w:r w:rsidRPr="007122D4">
        <w:rPr>
          <w:rStyle w:val="FootnoteReference"/>
          <w:sz w:val="24"/>
          <w:lang w:val="cs-CZ"/>
        </w:rPr>
        <w:footnoteRef/>
      </w:r>
      <w:r w:rsidR="007122D4" w:rsidRPr="007122D4">
        <w:rPr>
          <w:sz w:val="24"/>
          <w:lang w:val="cs-CZ"/>
        </w:rPr>
        <w:t xml:space="preserve"> </w:t>
      </w:r>
      <w:r w:rsidR="007122D4" w:rsidRPr="007122D4">
        <w:rPr>
          <w:sz w:val="24"/>
          <w:lang w:val="cs-CZ"/>
        </w:rPr>
        <w:tab/>
      </w:r>
      <w:proofErr w:type="spellStart"/>
      <w:r w:rsidRPr="007122D4">
        <w:rPr>
          <w:sz w:val="24"/>
          <w:lang w:val="cs-CZ"/>
        </w:rPr>
        <w:t>Úř</w:t>
      </w:r>
      <w:proofErr w:type="spellEnd"/>
      <w:r w:rsidRPr="007122D4">
        <w:rPr>
          <w:sz w:val="24"/>
          <w:lang w:val="cs-CZ"/>
        </w:rPr>
        <w:t xml:space="preserve">. </w:t>
      </w:r>
      <w:proofErr w:type="spellStart"/>
      <w:r w:rsidRPr="007122D4">
        <w:rPr>
          <w:sz w:val="24"/>
          <w:lang w:val="cs-CZ"/>
        </w:rPr>
        <w:t>věst</w:t>
      </w:r>
      <w:proofErr w:type="spellEnd"/>
      <w:r w:rsidRPr="007122D4">
        <w:rPr>
          <w:sz w:val="24"/>
          <w:lang w:val="cs-CZ"/>
        </w:rPr>
        <w:t>. C 132, 24.3.2022, s. 113.</w:t>
      </w:r>
    </w:p>
  </w:footnote>
  <w:footnote w:id="4">
    <w:p w:rsidR="00D20D75" w:rsidRPr="007122D4" w:rsidRDefault="00D20D75" w:rsidP="007122D4">
      <w:pPr>
        <w:pStyle w:val="FootnoteText"/>
        <w:ind w:left="567" w:hanging="567"/>
        <w:rPr>
          <w:sz w:val="24"/>
          <w:lang w:val="cs-CZ"/>
        </w:rPr>
      </w:pPr>
      <w:r w:rsidRPr="007122D4">
        <w:rPr>
          <w:rStyle w:val="FootnoteReference"/>
          <w:sz w:val="24"/>
          <w:lang w:val="cs-CZ"/>
        </w:rPr>
        <w:footnoteRef/>
      </w:r>
      <w:r w:rsidR="007122D4" w:rsidRPr="007122D4">
        <w:rPr>
          <w:sz w:val="24"/>
          <w:lang w:val="cs-CZ"/>
        </w:rPr>
        <w:t xml:space="preserve"> </w:t>
      </w:r>
      <w:r w:rsidR="007122D4" w:rsidRPr="007122D4">
        <w:rPr>
          <w:sz w:val="24"/>
          <w:lang w:val="cs-CZ"/>
        </w:rPr>
        <w:tab/>
      </w:r>
      <w:proofErr w:type="spellStart"/>
      <w:r w:rsidRPr="007122D4">
        <w:rPr>
          <w:sz w:val="24"/>
          <w:lang w:val="cs-CZ"/>
        </w:rPr>
        <w:t>Úř</w:t>
      </w:r>
      <w:proofErr w:type="spellEnd"/>
      <w:r w:rsidRPr="007122D4">
        <w:rPr>
          <w:sz w:val="24"/>
          <w:lang w:val="cs-CZ"/>
        </w:rPr>
        <w:t xml:space="preserve">. </w:t>
      </w:r>
      <w:proofErr w:type="spellStart"/>
      <w:r w:rsidRPr="007122D4">
        <w:rPr>
          <w:sz w:val="24"/>
          <w:lang w:val="cs-CZ"/>
        </w:rPr>
        <w:t>věst</w:t>
      </w:r>
      <w:proofErr w:type="spellEnd"/>
      <w:r w:rsidRPr="007122D4">
        <w:rPr>
          <w:sz w:val="24"/>
          <w:lang w:val="cs-CZ"/>
        </w:rPr>
        <w:t>. C 458, 19.12.2018, s. 9.</w:t>
      </w:r>
    </w:p>
  </w:footnote>
  <w:footnote w:id="5">
    <w:p w:rsidR="00D20D75" w:rsidRPr="007122D4" w:rsidRDefault="00D20D75" w:rsidP="007122D4">
      <w:pPr>
        <w:pStyle w:val="FootnoteText"/>
        <w:ind w:left="567" w:hanging="567"/>
        <w:rPr>
          <w:sz w:val="24"/>
          <w:lang w:val="cs-CZ"/>
        </w:rPr>
      </w:pPr>
      <w:r w:rsidRPr="007122D4">
        <w:rPr>
          <w:rStyle w:val="FootnoteReference"/>
          <w:sz w:val="24"/>
          <w:lang w:val="cs-CZ"/>
        </w:rPr>
        <w:footnoteRef/>
      </w:r>
      <w:r w:rsidR="007122D4" w:rsidRPr="007122D4">
        <w:rPr>
          <w:sz w:val="24"/>
          <w:lang w:val="cs-CZ"/>
        </w:rPr>
        <w:t xml:space="preserve"> </w:t>
      </w:r>
      <w:r w:rsidR="007122D4" w:rsidRPr="007122D4">
        <w:rPr>
          <w:sz w:val="24"/>
          <w:lang w:val="cs-CZ"/>
        </w:rPr>
        <w:tab/>
      </w:r>
      <w:proofErr w:type="spellStart"/>
      <w:r w:rsidRPr="007122D4">
        <w:rPr>
          <w:sz w:val="24"/>
          <w:lang w:val="cs-CZ"/>
        </w:rPr>
        <w:t>Úř</w:t>
      </w:r>
      <w:proofErr w:type="spellEnd"/>
      <w:r w:rsidRPr="007122D4">
        <w:rPr>
          <w:sz w:val="24"/>
          <w:lang w:val="cs-CZ"/>
        </w:rPr>
        <w:t xml:space="preserve">. </w:t>
      </w:r>
      <w:proofErr w:type="spellStart"/>
      <w:r w:rsidRPr="007122D4">
        <w:rPr>
          <w:sz w:val="24"/>
          <w:lang w:val="cs-CZ"/>
        </w:rPr>
        <w:t>věst</w:t>
      </w:r>
      <w:proofErr w:type="spellEnd"/>
      <w:r w:rsidRPr="007122D4">
        <w:rPr>
          <w:sz w:val="24"/>
          <w:lang w:val="cs-CZ"/>
        </w:rPr>
        <w:t>. C 132, 14.4.2023, s. 106.</w:t>
      </w:r>
    </w:p>
  </w:footnote>
  <w:footnote w:id="6">
    <w:p w:rsidR="00D20D75" w:rsidRPr="007122D4" w:rsidRDefault="00D20D75" w:rsidP="007122D4">
      <w:pPr>
        <w:pStyle w:val="FootnoteText"/>
        <w:ind w:left="567" w:hanging="567"/>
        <w:rPr>
          <w:sz w:val="24"/>
          <w:lang w:val="cs-CZ"/>
        </w:rPr>
      </w:pPr>
      <w:r w:rsidRPr="007122D4">
        <w:rPr>
          <w:rStyle w:val="FootnoteReference"/>
          <w:sz w:val="24"/>
          <w:lang w:val="cs-CZ"/>
        </w:rPr>
        <w:footnoteRef/>
      </w:r>
      <w:r w:rsidR="007122D4" w:rsidRPr="007122D4">
        <w:rPr>
          <w:sz w:val="24"/>
          <w:lang w:val="cs-CZ"/>
        </w:rPr>
        <w:t xml:space="preserve"> </w:t>
      </w:r>
      <w:r w:rsidR="007122D4" w:rsidRPr="007122D4">
        <w:rPr>
          <w:sz w:val="24"/>
          <w:lang w:val="cs-CZ"/>
        </w:rPr>
        <w:tab/>
      </w:r>
      <w:proofErr w:type="spellStart"/>
      <w:r w:rsidRPr="007122D4">
        <w:rPr>
          <w:sz w:val="24"/>
          <w:lang w:val="cs-CZ"/>
        </w:rPr>
        <w:t>Úř</w:t>
      </w:r>
      <w:proofErr w:type="spellEnd"/>
      <w:r w:rsidRPr="007122D4">
        <w:rPr>
          <w:sz w:val="24"/>
          <w:lang w:val="cs-CZ"/>
        </w:rPr>
        <w:t xml:space="preserve">. </w:t>
      </w:r>
      <w:proofErr w:type="spellStart"/>
      <w:r w:rsidRPr="007122D4">
        <w:rPr>
          <w:sz w:val="24"/>
          <w:lang w:val="cs-CZ"/>
        </w:rPr>
        <w:t>věst</w:t>
      </w:r>
      <w:proofErr w:type="spellEnd"/>
      <w:r w:rsidRPr="007122D4">
        <w:rPr>
          <w:sz w:val="24"/>
          <w:lang w:val="cs-CZ"/>
        </w:rPr>
        <w:t>. C 104, 24.4.1992, s. 7.</w:t>
      </w:r>
    </w:p>
  </w:footnote>
  <w:footnote w:id="7">
    <w:p w:rsidR="00D20D75" w:rsidRPr="007122D4" w:rsidRDefault="00D20D75" w:rsidP="007122D4">
      <w:pPr>
        <w:pStyle w:val="FootnoteText"/>
        <w:ind w:left="567" w:hanging="567"/>
        <w:rPr>
          <w:sz w:val="24"/>
          <w:lang w:val="cs-CZ"/>
        </w:rPr>
      </w:pPr>
      <w:r w:rsidRPr="007122D4">
        <w:rPr>
          <w:rStyle w:val="FootnoteReference"/>
          <w:sz w:val="24"/>
          <w:lang w:val="cs-CZ"/>
        </w:rPr>
        <w:footnoteRef/>
      </w:r>
      <w:r w:rsidR="007122D4" w:rsidRPr="007122D4">
        <w:rPr>
          <w:sz w:val="24"/>
          <w:lang w:val="cs-CZ"/>
        </w:rPr>
        <w:t xml:space="preserve"> </w:t>
      </w:r>
      <w:r w:rsidR="007122D4" w:rsidRPr="007122D4">
        <w:rPr>
          <w:sz w:val="24"/>
          <w:lang w:val="cs-CZ"/>
        </w:rPr>
        <w:tab/>
      </w:r>
      <w:proofErr w:type="spellStart"/>
      <w:r w:rsidRPr="007122D4">
        <w:rPr>
          <w:sz w:val="24"/>
          <w:lang w:val="cs-CZ"/>
        </w:rPr>
        <w:t>Úř</w:t>
      </w:r>
      <w:proofErr w:type="spellEnd"/>
      <w:r w:rsidRPr="007122D4">
        <w:rPr>
          <w:sz w:val="24"/>
          <w:lang w:val="cs-CZ"/>
        </w:rPr>
        <w:t xml:space="preserve">. </w:t>
      </w:r>
      <w:proofErr w:type="spellStart"/>
      <w:r w:rsidRPr="007122D4">
        <w:rPr>
          <w:sz w:val="24"/>
          <w:lang w:val="cs-CZ"/>
        </w:rPr>
        <w:t>věst</w:t>
      </w:r>
      <w:proofErr w:type="spellEnd"/>
      <w:r w:rsidRPr="007122D4">
        <w:rPr>
          <w:sz w:val="24"/>
          <w:lang w:val="cs-CZ"/>
        </w:rPr>
        <w:t>. L 308, 19.11.2008, s. 35.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22D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22D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22D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95/2024"/>
    <w:docVar w:name="dvlangue" w:val="CS"/>
    <w:docVar w:name="dvnumam" w:val="0"/>
    <w:docVar w:name="dvpe" w:val="756.838"/>
    <w:docVar w:name="dvtitre" w:val="Usnesení Evropského parlamentu ze dne 7. února 2024 o nedávném rozhodnutí Norska pokročit v těžbě z mořského dna v Arktidě((2024/2520(RSP))(RSP))"/>
  </w:docVars>
  <w:rsids>
    <w:rsidRoot w:val="00E60F1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1DBB"/>
    <w:rsid w:val="002767FF"/>
    <w:rsid w:val="00290974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0C1E"/>
    <w:rsid w:val="006F74FA"/>
    <w:rsid w:val="007122D4"/>
    <w:rsid w:val="00731ADD"/>
    <w:rsid w:val="00734777"/>
    <w:rsid w:val="00747932"/>
    <w:rsid w:val="00751A4A"/>
    <w:rsid w:val="00754DF7"/>
    <w:rsid w:val="00756632"/>
    <w:rsid w:val="00762C74"/>
    <w:rsid w:val="00786EC0"/>
    <w:rsid w:val="007D1690"/>
    <w:rsid w:val="007E22AD"/>
    <w:rsid w:val="007E665F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0D75"/>
    <w:rsid w:val="00D56C11"/>
    <w:rsid w:val="00D834A0"/>
    <w:rsid w:val="00D872DF"/>
    <w:rsid w:val="00D91E21"/>
    <w:rsid w:val="00DA7FCD"/>
    <w:rsid w:val="00E365E1"/>
    <w:rsid w:val="00E60F19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99EB20-8E16-4582-B65A-BB49D6890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20D75"/>
    <w:pPr>
      <w:spacing w:before="480" w:after="240"/>
    </w:pPr>
  </w:style>
  <w:style w:type="paragraph" w:customStyle="1" w:styleId="NormalHanging12a">
    <w:name w:val="NormalHanging12a"/>
    <w:basedOn w:val="Normal"/>
    <w:rsid w:val="00D20D75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A8184-4336-44B2-B978-80CA22007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2249</Words>
  <Characters>12820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2024-02-07T12:42:00Z</dcterms:created>
  <dcterms:modified xsi:type="dcterms:W3CDTF">2024-02-07T12:42:00Z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B9-0095/2024</vt:lpwstr>
  </property>
  <property fmtid="{D5CDD505-2E9C-101B-9397-08002B2CF9AE}" pid="4" name="&lt;Type&gt;">
    <vt:lpwstr>RR</vt:lpwstr>
  </property>
</Properties>
</file>