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7025A" w14:paraId="72BBCF51" w14:textId="77777777" w:rsidTr="0010095E">
        <w:trPr>
          <w:trHeight w:hRule="exact" w:val="1418"/>
        </w:trPr>
        <w:tc>
          <w:tcPr>
            <w:tcW w:w="6804" w:type="dxa"/>
            <w:shd w:val="clear" w:color="auto" w:fill="auto"/>
            <w:vAlign w:val="center"/>
          </w:tcPr>
          <w:p w14:paraId="58983600" w14:textId="77777777" w:rsidR="00751A4A" w:rsidRPr="00D7025A" w:rsidRDefault="009510E4" w:rsidP="0010095E">
            <w:pPr>
              <w:pStyle w:val="EPName"/>
            </w:pPr>
            <w:r w:rsidRPr="00D7025A">
              <w:t>Europa-Parlamentet</w:t>
            </w:r>
          </w:p>
          <w:p w14:paraId="625C8E04" w14:textId="77777777" w:rsidR="00751A4A" w:rsidRPr="00D7025A" w:rsidRDefault="00817416" w:rsidP="00756632">
            <w:pPr>
              <w:pStyle w:val="EPTerm"/>
              <w:rPr>
                <w:rStyle w:val="HideTWBExt"/>
                <w:noProof w:val="0"/>
                <w:vanish w:val="0"/>
                <w:color w:val="auto"/>
              </w:rPr>
            </w:pPr>
            <w:r w:rsidRPr="00D7025A">
              <w:t>2019-2024</w:t>
            </w:r>
          </w:p>
        </w:tc>
        <w:tc>
          <w:tcPr>
            <w:tcW w:w="2268" w:type="dxa"/>
            <w:shd w:val="clear" w:color="auto" w:fill="auto"/>
          </w:tcPr>
          <w:p w14:paraId="13C11E80" w14:textId="77777777" w:rsidR="00751A4A" w:rsidRPr="00D7025A" w:rsidRDefault="00187494" w:rsidP="0010095E">
            <w:pPr>
              <w:pStyle w:val="EPLogo"/>
            </w:pPr>
            <w:r w:rsidRPr="00D7025A">
              <w:rPr>
                <w:noProof/>
                <w:lang w:eastAsia="da-DK"/>
              </w:rPr>
              <w:drawing>
                <wp:inline distT="0" distB="0" distL="0" distR="0" wp14:anchorId="05ED4C82" wp14:editId="7B9CD38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A0D46D2" w14:textId="77777777" w:rsidR="00D058B8" w:rsidRPr="00D7025A" w:rsidRDefault="00D058B8" w:rsidP="004C5D52">
      <w:pPr>
        <w:pStyle w:val="LineTop"/>
      </w:pPr>
    </w:p>
    <w:p w14:paraId="5A62AB72" w14:textId="77777777" w:rsidR="00680577" w:rsidRPr="00D7025A" w:rsidRDefault="009510E4" w:rsidP="00680577">
      <w:pPr>
        <w:pStyle w:val="EPBodyTA1"/>
      </w:pPr>
      <w:r w:rsidRPr="00D7025A">
        <w:t>VEDTAGNE TEKSTER</w:t>
      </w:r>
    </w:p>
    <w:p w14:paraId="1658275B" w14:textId="77777777" w:rsidR="00D058B8" w:rsidRPr="00D7025A" w:rsidRDefault="00D058B8" w:rsidP="00D058B8">
      <w:pPr>
        <w:pStyle w:val="LineBottom"/>
      </w:pPr>
    </w:p>
    <w:p w14:paraId="4EEA99F6" w14:textId="77777777" w:rsidR="009510E4" w:rsidRPr="00D7025A" w:rsidRDefault="009510E4" w:rsidP="009510E4">
      <w:pPr>
        <w:pStyle w:val="ATHeading1"/>
      </w:pPr>
      <w:bookmarkStart w:id="0" w:name="TANumber"/>
      <w:r w:rsidRPr="00D7025A">
        <w:t>P9_TA(2024)00</w:t>
      </w:r>
      <w:bookmarkEnd w:id="0"/>
      <w:r w:rsidR="00D2493A">
        <w:t>68</w:t>
      </w:r>
    </w:p>
    <w:p w14:paraId="19214C49" w14:textId="656C1EF6" w:rsidR="009510E4" w:rsidRPr="00D7025A" w:rsidRDefault="008037BD" w:rsidP="009510E4">
      <w:pPr>
        <w:pStyle w:val="ATHeading2"/>
      </w:pPr>
      <w:r w:rsidRPr="008037BD">
        <w:t xml:space="preserve">Norges nylige </w:t>
      </w:r>
      <w:r w:rsidR="001D7C4E">
        <w:t>afgørelse</w:t>
      </w:r>
      <w:r w:rsidR="001D7C4E" w:rsidRPr="008037BD">
        <w:t xml:space="preserve"> </w:t>
      </w:r>
      <w:r w:rsidRPr="008037BD">
        <w:t xml:space="preserve">om at </w:t>
      </w:r>
      <w:r w:rsidR="001D7C4E">
        <w:t>gå videre med</w:t>
      </w:r>
      <w:r w:rsidRPr="008037BD">
        <w:t xml:space="preserve"> dybhavsminedrift i Arktis</w:t>
      </w:r>
    </w:p>
    <w:p w14:paraId="2D783ECC" w14:textId="77777777" w:rsidR="009510E4" w:rsidRPr="00D7025A" w:rsidRDefault="009510E4" w:rsidP="009510E4">
      <w:pPr>
        <w:rPr>
          <w:i/>
          <w:vanish/>
        </w:rPr>
      </w:pPr>
      <w:r w:rsidRPr="00D7025A">
        <w:rPr>
          <w:i/>
        </w:rPr>
        <w:fldChar w:fldCharType="begin"/>
      </w:r>
      <w:r w:rsidRPr="00D7025A">
        <w:rPr>
          <w:i/>
        </w:rPr>
        <w:instrText xml:space="preserve"> TC"(</w:instrText>
      </w:r>
      <w:bookmarkStart w:id="1" w:name="DocNumber"/>
      <w:r w:rsidRPr="00D7025A">
        <w:rPr>
          <w:i/>
        </w:rPr>
        <w:instrText>B9-0095/2024</w:instrText>
      </w:r>
      <w:bookmarkEnd w:id="1"/>
      <w:r w:rsidRPr="00D7025A">
        <w:rPr>
          <w:i/>
        </w:rPr>
        <w:instrText xml:space="preserve">)"\l3 \n&gt; \* MERGEFORMAT </w:instrText>
      </w:r>
      <w:r w:rsidRPr="00D7025A">
        <w:rPr>
          <w:i/>
        </w:rPr>
        <w:fldChar w:fldCharType="end"/>
      </w:r>
    </w:p>
    <w:p w14:paraId="790DED60" w14:textId="77777777" w:rsidR="009510E4" w:rsidRPr="00D7025A" w:rsidRDefault="009510E4" w:rsidP="009510E4">
      <w:pPr>
        <w:rPr>
          <w:vanish/>
        </w:rPr>
      </w:pPr>
      <w:bookmarkStart w:id="2" w:name="PE"/>
      <w:r w:rsidRPr="00D7025A">
        <w:rPr>
          <w:vanish/>
        </w:rPr>
        <w:t>PE756.838</w:t>
      </w:r>
      <w:bookmarkEnd w:id="2"/>
    </w:p>
    <w:p w14:paraId="265870D7" w14:textId="77777777" w:rsidR="009510E4" w:rsidRPr="00D7025A" w:rsidRDefault="009510E4" w:rsidP="009510E4">
      <w:pPr>
        <w:pStyle w:val="ATHeading3"/>
      </w:pPr>
      <w:bookmarkStart w:id="3" w:name="Sujet"/>
      <w:r w:rsidRPr="00D7025A">
        <w:t xml:space="preserve">Europa-Parlamentets beslutning af </w:t>
      </w:r>
      <w:r w:rsidR="00B57E23">
        <w:t>7</w:t>
      </w:r>
      <w:r w:rsidRPr="00D7025A">
        <w:t>.</w:t>
      </w:r>
      <w:r w:rsidR="008037BD">
        <w:t xml:space="preserve"> februar</w:t>
      </w:r>
      <w:r w:rsidRPr="00D7025A">
        <w:t xml:space="preserve"> 2024 om Norges nylige afgørelse om at gå videre med havminedrift i Arktis</w:t>
      </w:r>
      <w:bookmarkEnd w:id="3"/>
      <w:r w:rsidRPr="00D7025A">
        <w:t xml:space="preserve"> </w:t>
      </w:r>
      <w:bookmarkStart w:id="4" w:name="References"/>
      <w:r w:rsidRPr="00D7025A">
        <w:t>(2024/2520(RSP))</w:t>
      </w:r>
      <w:bookmarkEnd w:id="4"/>
    </w:p>
    <w:p w14:paraId="29EDB06A" w14:textId="77777777" w:rsidR="00746EE3" w:rsidRPr="00D7025A" w:rsidRDefault="00746EE3" w:rsidP="00746EE3">
      <w:pPr>
        <w:pStyle w:val="EPComma"/>
      </w:pPr>
      <w:bookmarkStart w:id="5" w:name="TextBodyBegin"/>
      <w:bookmarkEnd w:id="5"/>
      <w:r w:rsidRPr="00D7025A">
        <w:rPr>
          <w:i/>
        </w:rPr>
        <w:t>Europa-Parlamentet</w:t>
      </w:r>
      <w:r w:rsidRPr="00D7025A">
        <w:t>,</w:t>
      </w:r>
      <w:bookmarkStart w:id="6" w:name="_GoBack"/>
      <w:bookmarkEnd w:id="6"/>
    </w:p>
    <w:p w14:paraId="1E9590DA" w14:textId="77777777" w:rsidR="00746EE3" w:rsidRPr="00D7025A" w:rsidRDefault="00746EE3" w:rsidP="00746EE3">
      <w:pPr>
        <w:pStyle w:val="NormalHanging12a"/>
      </w:pPr>
      <w:r w:rsidRPr="00D7025A">
        <w:t>–</w:t>
      </w:r>
      <w:r w:rsidRPr="00D7025A">
        <w:tab/>
        <w:t>der henviser til det norske parlaments afgørelse af 9. januar 2024 om udvindingsaktiviteter på den norske kontinentalsokkel – åbning af området og strategi for forvaltning af ressourcerne,</w:t>
      </w:r>
    </w:p>
    <w:p w14:paraId="6AE2B377" w14:textId="77777777" w:rsidR="00746EE3" w:rsidRPr="00D7025A" w:rsidRDefault="00746EE3" w:rsidP="00746EE3">
      <w:pPr>
        <w:pStyle w:val="NormalHanging12a"/>
      </w:pPr>
      <w:r w:rsidRPr="00D7025A">
        <w:t>–</w:t>
      </w:r>
      <w:r w:rsidRPr="00D7025A">
        <w:tab/>
        <w:t>der henviser til det norske energiministeriums strategiske miljøkonsekvensvurdering af havbundsmineraler på den norske kontinentalsokkel af 27. oktober 2022,</w:t>
      </w:r>
    </w:p>
    <w:p w14:paraId="160BC5E2" w14:textId="77777777" w:rsidR="00746EE3" w:rsidRPr="00D7025A" w:rsidRDefault="00746EE3" w:rsidP="00746EE3">
      <w:pPr>
        <w:pStyle w:val="NormalHanging12a"/>
      </w:pPr>
      <w:r w:rsidRPr="00D7025A">
        <w:t>–</w:t>
      </w:r>
      <w:r w:rsidRPr="00D7025A">
        <w:tab/>
        <w:t>der henviser til den norske regerings rapport af 20. juni 2023 om mineraludvindingsaktiviteter på den norske kontinentalsokkel – åbning af områder og strategi for forvaltning af ressourcerne,</w:t>
      </w:r>
    </w:p>
    <w:p w14:paraId="5CB32712" w14:textId="77777777" w:rsidR="00746EE3" w:rsidRPr="00D7025A" w:rsidRDefault="00746EE3" w:rsidP="00746EE3">
      <w:pPr>
        <w:pStyle w:val="NormalHanging12a"/>
      </w:pPr>
      <w:r w:rsidRPr="00D7025A">
        <w:t>–</w:t>
      </w:r>
      <w:r w:rsidRPr="00D7025A">
        <w:tab/>
        <w:t>der henviser til den norske miljøstyrelses erklæring af 27. januar 2023 om høringen om og konsekvensanalysen af mineraludvindingsaktiviteter på den norske kontinentalsokkel,</w:t>
      </w:r>
    </w:p>
    <w:p w14:paraId="5FEED1AD" w14:textId="77777777" w:rsidR="00746EE3" w:rsidRPr="00D7025A" w:rsidRDefault="00746EE3" w:rsidP="00746EE3">
      <w:pPr>
        <w:pStyle w:val="NormalHanging12a"/>
      </w:pPr>
      <w:r w:rsidRPr="00D7025A">
        <w:t>–</w:t>
      </w:r>
      <w:r w:rsidRPr="00D7025A">
        <w:tab/>
        <w:t>der henviser til Kommissionens meddelelse af 11. december 2019 med titlen "Den europæiske grønne pagt" (COM(2019)0640),</w:t>
      </w:r>
    </w:p>
    <w:p w14:paraId="67EEC884" w14:textId="77777777" w:rsidR="00746EE3" w:rsidRPr="00D7025A" w:rsidRDefault="00746EE3" w:rsidP="00746EE3">
      <w:pPr>
        <w:pStyle w:val="NormalHanging12a"/>
      </w:pPr>
      <w:r w:rsidRPr="00D7025A">
        <w:t>–</w:t>
      </w:r>
      <w:r w:rsidRPr="00D7025A">
        <w:tab/>
        <w:t>der henviser til Kommissionens meddelelse af 20. maj 2020 med titlen "EU's biodiversitetsstrategi for 2030 – Naturen skal bringes tilbage i vores liv" (COM(2020)0380), til Europa-Parlamentets beslutning af 9. juni 2021 om denne strategi</w:t>
      </w:r>
      <w:r w:rsidRPr="00D7025A">
        <w:rPr>
          <w:rStyle w:val="FootnoteReference"/>
        </w:rPr>
        <w:footnoteReference w:id="1"/>
      </w:r>
      <w:r w:rsidRPr="00D7025A">
        <w:t xml:space="preserve"> samt til Rådets konklusioner af 23. oktober 2020 om samme emne,</w:t>
      </w:r>
    </w:p>
    <w:p w14:paraId="4E8F54A8" w14:textId="77777777" w:rsidR="00746EE3" w:rsidRPr="00D7025A" w:rsidRDefault="00746EE3" w:rsidP="00746EE3">
      <w:pPr>
        <w:pStyle w:val="NormalHanging12a"/>
      </w:pPr>
      <w:r w:rsidRPr="00D7025A">
        <w:t>–</w:t>
      </w:r>
      <w:r w:rsidRPr="00D7025A">
        <w:tab/>
        <w:t>der henviser til Kommissionens meddelelse af 17. maj 2021 om en ny strategi for en bæredygtig blå økonomi i EU – Omstilling af EU's blå økonomi med henblik på en bæredygtig fremtid (COM(2021)0240),</w:t>
      </w:r>
    </w:p>
    <w:p w14:paraId="6BAF8FAA" w14:textId="77777777" w:rsidR="00746EE3" w:rsidRPr="00D7025A" w:rsidRDefault="00746EE3" w:rsidP="00746EE3">
      <w:pPr>
        <w:pStyle w:val="NormalHanging12a"/>
      </w:pPr>
      <w:r w:rsidRPr="00D7025A">
        <w:t>–</w:t>
      </w:r>
      <w:r w:rsidRPr="00D7025A">
        <w:tab/>
        <w:t xml:space="preserve">der henviser til sin beslutning af 3. maj 2022 med titlen "Mod en bæredygtig blå </w:t>
      </w:r>
      <w:r w:rsidRPr="00D7025A">
        <w:lastRenderedPageBreak/>
        <w:t>økonomi i EU: fiskeri- og akvakultursektorernes rolle"</w:t>
      </w:r>
      <w:r w:rsidRPr="00D7025A">
        <w:rPr>
          <w:rStyle w:val="FootnoteReference"/>
        </w:rPr>
        <w:footnoteReference w:id="2"/>
      </w:r>
      <w:r w:rsidRPr="00D7025A">
        <w:t>,</w:t>
      </w:r>
    </w:p>
    <w:p w14:paraId="49275668" w14:textId="77777777" w:rsidR="00746EE3" w:rsidRPr="00D7025A" w:rsidRDefault="00746EE3" w:rsidP="00746EE3">
      <w:pPr>
        <w:pStyle w:val="NormalHanging12a"/>
      </w:pPr>
      <w:r w:rsidRPr="00D7025A">
        <w:t>–</w:t>
      </w:r>
      <w:r w:rsidRPr="00D7025A">
        <w:tab/>
        <w:t>der henviser til sin beslutning af 7. oktober 2021 om Arktis: muligheder, bekymringer og sikkerhedsmæssige udfordringer</w:t>
      </w:r>
      <w:r w:rsidRPr="00D7025A">
        <w:rPr>
          <w:rStyle w:val="FootnoteReference"/>
        </w:rPr>
        <w:footnoteReference w:id="3"/>
      </w:r>
      <w:r w:rsidRPr="00D7025A">
        <w:t>,</w:t>
      </w:r>
    </w:p>
    <w:p w14:paraId="052AB21F" w14:textId="77777777" w:rsidR="00746EE3" w:rsidRPr="00D7025A" w:rsidRDefault="00746EE3" w:rsidP="00746EE3">
      <w:pPr>
        <w:pStyle w:val="NormalHanging12a"/>
      </w:pPr>
      <w:r w:rsidRPr="00D7025A">
        <w:t>–</w:t>
      </w:r>
      <w:r w:rsidRPr="00D7025A">
        <w:tab/>
        <w:t>der henviser til sin beslutning af 16. januar 2018 om international havforvaltning: en dagsorden for havenes fremtid i forbindelse med de bæredygtige udviklingsmål for 2030</w:t>
      </w:r>
      <w:r w:rsidRPr="00D7025A">
        <w:rPr>
          <w:rStyle w:val="FootnoteReference"/>
        </w:rPr>
        <w:footnoteReference w:id="4"/>
      </w:r>
      <w:r w:rsidRPr="00D7025A">
        <w:t>,</w:t>
      </w:r>
    </w:p>
    <w:p w14:paraId="51FFF6AC" w14:textId="77777777" w:rsidR="00746EE3" w:rsidRPr="00D7025A" w:rsidRDefault="00746EE3" w:rsidP="00746EE3">
      <w:pPr>
        <w:pStyle w:val="NormalHanging12a"/>
      </w:pPr>
      <w:r w:rsidRPr="00D7025A">
        <w:t>–</w:t>
      </w:r>
      <w:r w:rsidRPr="00D7025A">
        <w:tab/>
        <w:t>der henviser til sin beslutning af 6. oktober 2022 om momentum for havet til at styrke havforvaltning og biodiversitet</w:t>
      </w:r>
      <w:r w:rsidRPr="00D7025A">
        <w:rPr>
          <w:rStyle w:val="FootnoteReference"/>
        </w:rPr>
        <w:footnoteReference w:id="5"/>
      </w:r>
      <w:r w:rsidRPr="00D7025A">
        <w:t>,</w:t>
      </w:r>
    </w:p>
    <w:p w14:paraId="63A71327" w14:textId="77777777" w:rsidR="00746EE3" w:rsidRPr="00D7025A" w:rsidRDefault="00746EE3" w:rsidP="00746EE3">
      <w:pPr>
        <w:pStyle w:val="NormalHanging12a"/>
      </w:pPr>
      <w:r w:rsidRPr="00D7025A">
        <w:t>–</w:t>
      </w:r>
      <w:r w:rsidRPr="00D7025A">
        <w:tab/>
        <w:t>der henviser til den fælles meddelelse fra Kommissionen og Unionens højtstående repræsentant for udenrigsanliggender og sikkerhedspolitik af 24. juni 2022 med titlen "Med kurs mod en bæredygtig blå planet – Fælles meddelelse om EU's internationale dagsorden for havforvaltning" (JOIN(2022)0028),</w:t>
      </w:r>
    </w:p>
    <w:p w14:paraId="1B96A3E0" w14:textId="77777777" w:rsidR="00746EE3" w:rsidRPr="00D7025A" w:rsidRDefault="00746EE3" w:rsidP="00746EE3">
      <w:pPr>
        <w:pStyle w:val="NormalHanging12a"/>
      </w:pPr>
      <w:r w:rsidRPr="00D7025A">
        <w:t>–</w:t>
      </w:r>
      <w:r w:rsidRPr="00D7025A">
        <w:tab/>
        <w:t xml:space="preserve">der henviser til den fælles meddelelse af 10. november 2016 fra Kommissionen og Unionens højtstående repræsentant for udenrigsanliggender og sikkerhedspolitik med titlen "International havforvaltning: En dagsorden for havenes fremtid" (JOIN(2016)0049), </w:t>
      </w:r>
    </w:p>
    <w:p w14:paraId="7D1980A5" w14:textId="77777777" w:rsidR="00746EE3" w:rsidRPr="00D7025A" w:rsidRDefault="00746EE3" w:rsidP="00746EE3">
      <w:pPr>
        <w:pStyle w:val="NormalHanging12a"/>
      </w:pPr>
      <w:r w:rsidRPr="00D7025A">
        <w:t>–</w:t>
      </w:r>
      <w:r w:rsidRPr="00D7025A">
        <w:tab/>
        <w:t>der henviser til Kommissionens verbalnote nr. 21/13 fra oktober 2023, som blev sendt til det kongelige norske udenrigsministerium,</w:t>
      </w:r>
    </w:p>
    <w:p w14:paraId="56692397" w14:textId="77777777" w:rsidR="00746EE3" w:rsidRPr="00D7025A" w:rsidRDefault="00746EE3" w:rsidP="00746EE3">
      <w:pPr>
        <w:pStyle w:val="NormalHanging12a"/>
      </w:pPr>
      <w:r w:rsidRPr="00D7025A">
        <w:t>–</w:t>
      </w:r>
      <w:r w:rsidRPr="00D7025A">
        <w:tab/>
        <w:t>der henviser til biodiversitetskonventionen, som trådte i kraft den 29. december 1993, den globale Kunming-Montreal-ramme for biodiversitet og til afgørelse 15/24 fra den 15. partskonference under biodiversitetskonventionen om bevarelse og bæredygtig udnyttelse af havets og kystområdernes biodiversitet,</w:t>
      </w:r>
    </w:p>
    <w:p w14:paraId="1A873631" w14:textId="77777777" w:rsidR="00746EE3" w:rsidRPr="00D7025A" w:rsidRDefault="00746EE3" w:rsidP="00746EE3">
      <w:pPr>
        <w:pStyle w:val="NormalHanging12a"/>
      </w:pPr>
      <w:r w:rsidRPr="00D7025A">
        <w:t>–</w:t>
      </w:r>
      <w:r w:rsidRPr="00D7025A">
        <w:tab/>
        <w:t xml:space="preserve">der henviser til FN's havretskonvention (UNCLOS), særlig artikel 145 om beskyttelse af havmiljøet, </w:t>
      </w:r>
    </w:p>
    <w:p w14:paraId="5036C393" w14:textId="77777777" w:rsidR="00746EE3" w:rsidRPr="00D7025A" w:rsidRDefault="00746EE3" w:rsidP="00746EE3">
      <w:pPr>
        <w:pStyle w:val="NormalHanging12a"/>
      </w:pPr>
      <w:r w:rsidRPr="00D7025A">
        <w:t>–</w:t>
      </w:r>
      <w:r w:rsidRPr="00D7025A">
        <w:tab/>
        <w:t>der henviser til aftalen under UNCLOS om bevarelse og bæredygtig udnyttelse af havets biodiversitets i områder uden for national jurisdiktion (BBNJ-aftalen),</w:t>
      </w:r>
    </w:p>
    <w:p w14:paraId="5FF9CD12" w14:textId="77777777" w:rsidR="00746EE3" w:rsidRPr="00D7025A" w:rsidRDefault="00746EE3" w:rsidP="00746EE3">
      <w:pPr>
        <w:pStyle w:val="NormalHanging12a"/>
      </w:pPr>
      <w:r w:rsidRPr="00D7025A">
        <w:t>–</w:t>
      </w:r>
      <w:r w:rsidRPr="00D7025A">
        <w:tab/>
        <w:t>der henviser til mandatet for Den Internationale Havbundsmyndighed, der er oprettet under UNCLOS, og til aftalen fra 1994 om gennemførelsen af Del XI i UNCLOS,</w:t>
      </w:r>
    </w:p>
    <w:p w14:paraId="0D3D103F" w14:textId="77777777" w:rsidR="00746EE3" w:rsidRPr="00D7025A" w:rsidRDefault="00746EE3" w:rsidP="00746EE3">
      <w:pPr>
        <w:pStyle w:val="NormalHanging12a"/>
      </w:pPr>
      <w:r w:rsidRPr="00D7025A">
        <w:t>–</w:t>
      </w:r>
      <w:r w:rsidRPr="00D7025A">
        <w:tab/>
        <w:t>der henviser til konventionen om beskyttelse af havmiljøet i det nordøstlige Atlanterhav (Osparkonventionen), som omfatter arktiske farvande,</w:t>
      </w:r>
    </w:p>
    <w:p w14:paraId="7AA4F928" w14:textId="77777777" w:rsidR="00746EE3" w:rsidRPr="00D7025A" w:rsidRDefault="00746EE3" w:rsidP="00746EE3">
      <w:pPr>
        <w:pStyle w:val="NormalHanging12a"/>
      </w:pPr>
      <w:r w:rsidRPr="00D7025A">
        <w:t>–</w:t>
      </w:r>
      <w:r w:rsidRPr="00D7025A">
        <w:tab/>
        <w:t>der henviser til Svalbardtraktaten fra 1920, som blev undertegnet den 9. februar 1920 i Paris,</w:t>
      </w:r>
    </w:p>
    <w:p w14:paraId="25F75D2F" w14:textId="77777777" w:rsidR="00746EE3" w:rsidRPr="00D7025A" w:rsidRDefault="00746EE3" w:rsidP="00746EE3">
      <w:pPr>
        <w:pStyle w:val="NormalHanging12a"/>
      </w:pPr>
      <w:r w:rsidRPr="00D7025A">
        <w:t>–</w:t>
      </w:r>
      <w:r w:rsidRPr="00D7025A">
        <w:tab/>
        <w:t xml:space="preserve">der henviser til konventionen om vurdering af virkningerne på miljøet på tværs af </w:t>
      </w:r>
      <w:r w:rsidRPr="00D7025A">
        <w:lastRenderedPageBreak/>
        <w:t>landegrænserne</w:t>
      </w:r>
      <w:r w:rsidRPr="00D7025A">
        <w:rPr>
          <w:rStyle w:val="FootnoteReference"/>
        </w:rPr>
        <w:footnoteReference w:id="6"/>
      </w:r>
      <w:r w:rsidRPr="00D7025A">
        <w:t>, som blev undertegnet i Esbo den 25. februar 1991 (Esbokonventionen), og protokollen hertil om strategisk miljøvurdering</w:t>
      </w:r>
      <w:r w:rsidRPr="00D7025A">
        <w:rPr>
          <w:rStyle w:val="FootnoteReference"/>
        </w:rPr>
        <w:footnoteReference w:id="7"/>
      </w:r>
      <w:r w:rsidRPr="00D7025A">
        <w:t xml:space="preserve"> (SMV-protokollen),</w:t>
      </w:r>
    </w:p>
    <w:p w14:paraId="1DBE8C0C" w14:textId="77777777" w:rsidR="00746EE3" w:rsidRPr="00D7025A" w:rsidRDefault="00746EE3" w:rsidP="00746EE3">
      <w:pPr>
        <w:pStyle w:val="NormalHanging12a"/>
      </w:pPr>
      <w:r w:rsidRPr="00D7025A">
        <w:t>–</w:t>
      </w:r>
      <w:r w:rsidRPr="00D7025A">
        <w:tab/>
        <w:t>der henviser til højniveaupanelet for en bæredygtig havøkonomi, som Norge er stiftende medlem af,</w:t>
      </w:r>
    </w:p>
    <w:p w14:paraId="320F7623" w14:textId="77777777" w:rsidR="00746EE3" w:rsidRPr="00D7025A" w:rsidRDefault="00746EE3" w:rsidP="00746EE3">
      <w:pPr>
        <w:pStyle w:val="NormalHanging12a"/>
      </w:pPr>
      <w:r w:rsidRPr="00D7025A">
        <w:t>–</w:t>
      </w:r>
      <w:r w:rsidRPr="00D7025A">
        <w:tab/>
        <w:t>der henviser til Den Internationale Union for Naturbevarelses (IUCN's) resolution 122 om beskyttelse af dybhavsøkosystemer og biodiversitet gennem et moratorium for havminedrift,</w:t>
      </w:r>
    </w:p>
    <w:p w14:paraId="1633E506" w14:textId="77777777" w:rsidR="00746EE3" w:rsidRPr="00D7025A" w:rsidRDefault="00746EE3" w:rsidP="00746EE3">
      <w:pPr>
        <w:pStyle w:val="NormalHanging12a"/>
      </w:pPr>
      <w:r w:rsidRPr="00D7025A">
        <w:t>–</w:t>
      </w:r>
      <w:r w:rsidRPr="00D7025A">
        <w:tab/>
        <w:t>der henviser til FN's Generalforsamlings resolution med titlen "Forandring af vores verden: 2030-dagsorden for bæredygtig udvikling", som blev vedtaget på FN's topmøde om bæredygtig udvikling i New York den 25. september 2015, og henviser navnlig til 2030-dagsordenens verdensmål 14, der tilskynder til bevaring og bæredygtig udnyttelse af have og havressourcer,</w:t>
      </w:r>
    </w:p>
    <w:p w14:paraId="5FE5D585" w14:textId="77777777" w:rsidR="00746EE3" w:rsidRPr="00D7025A" w:rsidRDefault="00746EE3" w:rsidP="00746EE3">
      <w:pPr>
        <w:pStyle w:val="NormalHanging12a"/>
      </w:pPr>
      <w:r w:rsidRPr="00D7025A">
        <w:t>–</w:t>
      </w:r>
      <w:r w:rsidRPr="00D7025A">
        <w:tab/>
        <w:t>der henviser til den globale rapport fra Den Mellemstatslige Videnspolitikplatform vedrørende Biodiversitet og Økosystemydelser om vurdering af biodiversitet og økosystemydelser fra maj 2019,</w:t>
      </w:r>
    </w:p>
    <w:p w14:paraId="0F3D2DF4" w14:textId="77777777" w:rsidR="00746EE3" w:rsidRPr="00D7025A" w:rsidRDefault="00746EE3" w:rsidP="00746EE3">
      <w:pPr>
        <w:pStyle w:val="NormalHanging12a"/>
      </w:pPr>
      <w:r w:rsidRPr="00D7025A">
        <w:t>–</w:t>
      </w:r>
      <w:r w:rsidRPr="00D7025A">
        <w:tab/>
        <w:t>der henviser til den aftale, som blev vedtaget på den 21. partskonference under FN's rammekonvention om klimaændringer (COP21) i Paris den 12. december 2015, og som trådte i kraft den 4. november 2016, herunder efterfølgende COP-beslutninger,</w:t>
      </w:r>
    </w:p>
    <w:p w14:paraId="3918ACED" w14:textId="77777777" w:rsidR="00746EE3" w:rsidRPr="00D7025A" w:rsidRDefault="00746EE3" w:rsidP="00746EE3">
      <w:pPr>
        <w:pStyle w:val="NormalHanging12a"/>
      </w:pPr>
      <w:r w:rsidRPr="00D7025A">
        <w:t>–</w:t>
      </w:r>
      <w:r w:rsidRPr="00D7025A">
        <w:tab/>
        <w:t>der henviser til særrapporten af 24. september 2019 fra Det Mellemstatslige Panel om Klimaændringer (IPCC) om havet og kryosfæren i et klima i forandring,</w:t>
      </w:r>
    </w:p>
    <w:p w14:paraId="02AEDE49" w14:textId="77777777" w:rsidR="00746EE3" w:rsidRPr="00D7025A" w:rsidRDefault="00746EE3" w:rsidP="00746EE3">
      <w:pPr>
        <w:pStyle w:val="NormalHanging12a"/>
      </w:pPr>
      <w:r w:rsidRPr="00D7025A">
        <w:t>–</w:t>
      </w:r>
      <w:r w:rsidRPr="00D7025A">
        <w:tab/>
        <w:t>der henviser til forretningsordenens artikel 132, stk. 2,</w:t>
      </w:r>
    </w:p>
    <w:p w14:paraId="0992565D" w14:textId="77777777" w:rsidR="00746EE3" w:rsidRPr="00D7025A" w:rsidRDefault="00746EE3" w:rsidP="00746EE3">
      <w:pPr>
        <w:pStyle w:val="NormalHanging12a"/>
      </w:pPr>
      <w:r w:rsidRPr="00D7025A">
        <w:t>A.</w:t>
      </w:r>
      <w:r w:rsidRPr="00D7025A">
        <w:tab/>
        <w:t>der henviser til, at det norske parlament Stortinget den 9. januar 2024 godkendte en afgørelse om at åbne mulighed for udforskning af et område på 281 200 km² i Arktis med henblik på potentiel havminedrift; der henviser til, at processen er tidsubegrænset, og at yderligere afgørelser om udvindingsplaner eller minedriftstilladelser afhænger af, at der træffes yderligere demokratiske afgørelser af den norske regering i overensstemmelse med den norske lov om dybhavsmineraler; der henviser til, at de første udvindingsplaner ifølge afgørelsen skal godkendes af Stortinget;</w:t>
      </w:r>
    </w:p>
    <w:p w14:paraId="4E07D7F9" w14:textId="77777777" w:rsidR="00746EE3" w:rsidRPr="00D7025A" w:rsidRDefault="00746EE3" w:rsidP="00746EE3">
      <w:pPr>
        <w:pStyle w:val="NormalHanging12a"/>
      </w:pPr>
      <w:r w:rsidRPr="00D7025A">
        <w:t>B.</w:t>
      </w:r>
      <w:r w:rsidRPr="00D7025A">
        <w:tab/>
        <w:t>der henviser til, at den norske miljøstyrelse mener, at miljøkonsekvensvurderingen indeholder betydelige videnhuller vedrørende natur, teknologi og de potentielle miljøvirkninger, og at den derfor ikke tilvejebringer et tilstrækkeligt grundlag for mineraludvinding;</w:t>
      </w:r>
    </w:p>
    <w:p w14:paraId="1DF5400B" w14:textId="77777777" w:rsidR="00746EE3" w:rsidRPr="00D7025A" w:rsidRDefault="00746EE3" w:rsidP="00746EE3">
      <w:pPr>
        <w:pStyle w:val="NormalHanging12a"/>
      </w:pPr>
      <w:r w:rsidRPr="00D7025A">
        <w:t>C.</w:t>
      </w:r>
      <w:r w:rsidRPr="00D7025A">
        <w:tab/>
        <w:t>der henviser til, at Norge og EU har dybtgående og mangeårige forbindelser som naboer og partnere, deler fælles politiske mål og grundlæggende værdier og udgør en del af det indre marked gennem Det Europæiske Økonomiske Samarbejdsområde;</w:t>
      </w:r>
    </w:p>
    <w:p w14:paraId="64A6B352" w14:textId="77777777" w:rsidR="00746EE3" w:rsidRPr="00D7025A" w:rsidRDefault="00746EE3" w:rsidP="00746EE3">
      <w:pPr>
        <w:pStyle w:val="NormalHanging12a"/>
      </w:pPr>
      <w:r w:rsidRPr="00D7025A">
        <w:t>D.</w:t>
      </w:r>
      <w:r w:rsidRPr="00D7025A">
        <w:tab/>
        <w:t xml:space="preserve">der henviser til, at en stor del af det foreslåede udforskningsområde ligger på Norges udvidede kontinentalsokkel, og at en stor del af området over den udvidede </w:t>
      </w:r>
      <w:r w:rsidRPr="00D7025A">
        <w:lastRenderedPageBreak/>
        <w:t>kontinentalsokkel betragtes som åbent hav og områder for internationalt fiskeri; der henviser til, at denne kontinentalsokkel er omfattet af bestemmelserne i Svalbardtraktaten fra 1920; der henviser til, at området hører under Svalbards fiskeribeskyttelseszone, hvilket giver deltagerstaterne, herunder 22 EU-medlemsstater og 23 andre stater, lige mulighed for at etablere fiskeri;</w:t>
      </w:r>
    </w:p>
    <w:p w14:paraId="6A3A3C02" w14:textId="77777777" w:rsidR="00746EE3" w:rsidRPr="00D7025A" w:rsidRDefault="00746EE3" w:rsidP="00746EE3">
      <w:pPr>
        <w:pStyle w:val="NormalHanging12a"/>
      </w:pPr>
      <w:r w:rsidRPr="00D7025A">
        <w:t>E.</w:t>
      </w:r>
      <w:r w:rsidRPr="00D7025A">
        <w:tab/>
        <w:t>der henviser til, at EU i oktober 2023 sendte en verbalnote til Norge, hvori det gav udtryk for sin bekymring over de betydelige negative virkninger af den bebudede dybhavsminedrift for fiskebestandene, fiskeriet og adgangen til fiskepladser, herunder på Svalbard-øgruppens kontinentalsokkel;</w:t>
      </w:r>
    </w:p>
    <w:p w14:paraId="571D1628" w14:textId="77777777" w:rsidR="00746EE3" w:rsidRPr="00D7025A" w:rsidRDefault="00746EE3" w:rsidP="00746EE3">
      <w:pPr>
        <w:pStyle w:val="NormalHanging12a"/>
      </w:pPr>
      <w:r w:rsidRPr="00D7025A">
        <w:t>F.</w:t>
      </w:r>
      <w:r w:rsidRPr="00D7025A">
        <w:tab/>
        <w:t>der henviser til, at Norge har undertegnet Esbokonventionen og SMV-protokollen, hvilket betyder, at Norge har en retlig forpligtelse til at undgå betydelige grænseoverskridende virkninger; der henviser til, at Norge også har en retlig forpligtelse til at beskytte havmiljøet i henhold til Osparkonventionen;</w:t>
      </w:r>
    </w:p>
    <w:p w14:paraId="11E7D8EC" w14:textId="77777777" w:rsidR="00746EE3" w:rsidRPr="00D7025A" w:rsidRDefault="00746EE3" w:rsidP="00746EE3">
      <w:pPr>
        <w:pStyle w:val="NormalHanging12a"/>
      </w:pPr>
      <w:r w:rsidRPr="00D7025A">
        <w:t>G.</w:t>
      </w:r>
      <w:r w:rsidRPr="00D7025A">
        <w:tab/>
        <w:t>der henviser til, at økosystemerne i Arktis er blevet udpeget som værende af central miljømæssig betydning for biodiversiteten, fiskebestandene og klimareguleringen; der henviser til, at disse særligt sårbare økosystemer allerede er udsat for pres som følge af klimaforandringerne, der resulterer i, at havene får en højere surhedsgrad og bliver varmere, hvilket sandsynligvis vil påvirke migrationsmønstrene for vigtige fiskebestande; der henviser til, at mineraludvinding på den arktiske havbund risikerer at frigive metan, der er bundet i subglaciale økosystemer og arktisk permafrostjord; der henviser til, at de arktiske økosystemer er meget følsomme over for forurening og anden menneskelige indvirkning; der henviser til, at nødvendige udbedrings- eller oprensningsprocesser er meget vanskelige at gennemføre på grund af de barske naturforhold og de lange afstande til havne;</w:t>
      </w:r>
    </w:p>
    <w:p w14:paraId="067987CA" w14:textId="77777777" w:rsidR="00746EE3" w:rsidRPr="00D7025A" w:rsidRDefault="00746EE3" w:rsidP="00746EE3">
      <w:pPr>
        <w:pStyle w:val="NormalHanging12a"/>
      </w:pPr>
      <w:r w:rsidRPr="00D7025A">
        <w:t>H.</w:t>
      </w:r>
      <w:r w:rsidRPr="00D7025A">
        <w:tab/>
        <w:t>der henviser til, at dybhavet er det ældste biom på planeten og er den del af planeten, som menneskeheden har mindst kendskab til; der henviser til, at dybhavet menes at have den højeste biodiversitet på jorden, leverer kritiske miljøtjenester, herunder langvarig kulstofbinding, og er sårbart over for menneskelige forstyrrelser; der henviser til, at havet absorberer omkring 90 % af overskudsvarmen og 25 % af de globale CO</w:t>
      </w:r>
      <w:r w:rsidRPr="00D7025A">
        <w:rPr>
          <w:vertAlign w:val="subscript"/>
        </w:rPr>
        <w:t>2</w:t>
      </w:r>
      <w:r w:rsidRPr="00D7025A">
        <w:t>-emissioner; der henviser til, at der er givet udtryk for alvorlig bekymring over konsekvenserne af dybhavsminedrift for tabet af biodiversitet og for økosystemets funktion, og at følgerne heraf vil blive fastlåst i mange generationer fremover; der henviser til, at havet bør anerkendes på internationalt plan som et globalt fælles gode og bør beskyttes i lyset af dets unikke karakter og indbyrdes forbundethed og de yderst vigtige økosystemtjenester, det leverer; der henviser til, at nuværende og fremtidige generationer er afhængige af disse tjenester for deres overlevelse og trivsel;</w:t>
      </w:r>
    </w:p>
    <w:p w14:paraId="7F5B10BE" w14:textId="77777777" w:rsidR="00746EE3" w:rsidRPr="00D7025A" w:rsidRDefault="00746EE3" w:rsidP="00746EE3">
      <w:pPr>
        <w:pStyle w:val="NormalHanging12a"/>
      </w:pPr>
      <w:r w:rsidRPr="00D7025A">
        <w:t>I.</w:t>
      </w:r>
      <w:r w:rsidRPr="00D7025A">
        <w:tab/>
        <w:t>der henviser til, at BBNJ-aftalen blev indgået i juni 2023; der henviser til, at EU og Norge var blandt traktatens første signatarer; der henviser til, at BBNJ-aftalen var en prioritet for EU, der førte forhandlinger på globalt plan gennem koalitionen med høje ambitioner for BBNJ – en koalition, som blev lanceret på One Ocean-topmødet i Brest i februar 2022, og som Norge også tilsluttede sig; der henviser til, at BBNJ-aftalen kræver, at der foretages vurderinger af økonomiske aktiviteters indvirkning på biodiversiteten på det åbne hav;</w:t>
      </w:r>
    </w:p>
    <w:p w14:paraId="639E4A59" w14:textId="77777777" w:rsidR="00746EE3" w:rsidRPr="00D7025A" w:rsidRDefault="00746EE3" w:rsidP="00746EE3">
      <w:pPr>
        <w:pStyle w:val="NormalHanging12a"/>
      </w:pPr>
      <w:r w:rsidRPr="00D7025A">
        <w:t>J.</w:t>
      </w:r>
      <w:r w:rsidRPr="00D7025A">
        <w:tab/>
        <w:t xml:space="preserve">der henviser til, at den nuværende videnskabelige viden ikke gør det muligt at foretage en nøjagtig vurdering af de miljømæssige virkninger af havminedrift, og at der stadig er </w:t>
      </w:r>
      <w:r w:rsidRPr="00D7025A">
        <w:lastRenderedPageBreak/>
        <w:t>behov for en international forskningsindsats for at nå frem til en videnskabelig konsensus om dette emne; der henviser til, at Kommissionen har understreget, at der er behov for forskning over en lang periode for reelt at kunne vurdere virkningerne af dybhavsminedrift; der henviser til, at for tidlig udforskning og minedrift måske kan forårsage permanent og uoprettelig skade på økosystemerne; der henviser til, at der er behov for mere videnskabelig forskning for fuldt ud at forstå de potentielle virkninger af dybhavsminedrift på havmiljøet og biodiversiteten;</w:t>
      </w:r>
    </w:p>
    <w:p w14:paraId="4A9725F4" w14:textId="77777777" w:rsidR="00746EE3" w:rsidRPr="00D7025A" w:rsidRDefault="00746EE3" w:rsidP="00746EE3">
      <w:pPr>
        <w:pStyle w:val="NormalHanging12a"/>
      </w:pPr>
      <w:r w:rsidRPr="00D7025A">
        <w:t>K.</w:t>
      </w:r>
      <w:r w:rsidRPr="00D7025A">
        <w:tab/>
        <w:t>der henviser til, at åbningen af dette område for dybhavsminedrift kan være skadelig for fiskebestandene og fiskeriet og kan påvirke EU-medlemsstaternes fartøjers adgang til fiskepladserne i området; der henviser til, at internationale fiskeriinteresser, herunder EU-fiskeri, ikke blev taget i betragtning i den konsekvensvurdering, der ligger til grund for denne beslutning; der henviser til, at de europæiske rådgivende råd for langdistancefiskeri, pelagiske arter og de nordvestlige farvande i november 2021 kom med en opfordring til et moratorium for dybhavsminedrift, som fulgte efter lignende henstillinger i 2020 og 2019; der henviser til, at Norges Fiskeriforening også har været meget kritisk over for afgørelsen;</w:t>
      </w:r>
    </w:p>
    <w:p w14:paraId="2397D184" w14:textId="77777777" w:rsidR="00746EE3" w:rsidRPr="00D7025A" w:rsidRDefault="00746EE3" w:rsidP="00746EE3">
      <w:pPr>
        <w:pStyle w:val="NormalHanging12a"/>
      </w:pPr>
      <w:r w:rsidRPr="00D7025A">
        <w:t>L.</w:t>
      </w:r>
      <w:r w:rsidRPr="00D7025A">
        <w:tab/>
        <w:t>der henviser til, at et stigende antal stater, herunder syv EU-medlemsstater (Finland, Frankrig, Irland, Portugal, Spanien, Sverige og Tyskland), på internationalt plan har bakket op om et moratorium, en pause af forsigtighedsgrunde eller et totalt forbud mod dybhavsminedrift; der henviser til, at IUCN's verdenskongres om bevarelse i september 2021 med overvældende flertal vedtog et forslag om et moratorium for dybhavsminedrift, som bl.a. var fremlagt af Den Internationale Havbundsmyndighed, med støtte fra bl.a. Portugal, Rumænien, Spanien, Sverige, Tyskland og  Østrig;</w:t>
      </w:r>
    </w:p>
    <w:p w14:paraId="124D808F" w14:textId="77777777" w:rsidR="00746EE3" w:rsidRPr="00D7025A" w:rsidRDefault="00746EE3" w:rsidP="00746EE3">
      <w:pPr>
        <w:pStyle w:val="NormalHanging12a"/>
      </w:pPr>
      <w:r w:rsidRPr="00D7025A">
        <w:t>M.</w:t>
      </w:r>
      <w:r w:rsidRPr="00D7025A">
        <w:tab/>
        <w:t>der henviser til, at 37 finansielle institutioner, der tegner sig for 3,3 billioner EUR i kombinerede aktiver, gav udtryk for bekymring over havminedrift over for de stater, der er medlem af Den Internationale Havbundsmyndighed; der henviser til, at internationale virksomheder som Volvo, BMW, Google, Samsung, Philips, Northvolt og Volkswagen har givet udtryk for deres støtte til et moratorium for dybhavsminedrift og har forpligtet sig til ikke at købe eller finansiere dybhavsmineraler; der henviser til, at Equinor, Norges største virksomhed, har understreget, at det er nødvendigt at indhente mere viden om dybhavsminedrift ud for Norges kyst, og har konkluderet, at den endnu ikke er bæredygtig på grund af miljørisikoen; der henviser til, at FN's miljøprograms finansieringsinitiativ har advaret finansverdenen om, at der i den nuværende form ikke er nogen tænkelig måde, hvorpå finansieringen af dybhavsminedrift kan være i overensstemmelse med finansieringsprincipperne for en bæredygtig blå økonomi;</w:t>
      </w:r>
    </w:p>
    <w:p w14:paraId="4249ABFD" w14:textId="77777777" w:rsidR="00746EE3" w:rsidRPr="00D7025A" w:rsidRDefault="00746EE3" w:rsidP="00746EE3">
      <w:pPr>
        <w:pStyle w:val="NormalHanging12a"/>
      </w:pPr>
      <w:r w:rsidRPr="00D7025A">
        <w:t>N.</w:t>
      </w:r>
      <w:r w:rsidRPr="00D7025A">
        <w:tab/>
        <w:t>der henviser til, at en stor del af efterspørgslen efter råstoffer kan og bør dækkes gennem brug af genanvendelse og foranstaltninger vedrørende cirkulær økonomi, udvikling af erstatningsmaterialer og politikker til reduktion af efterspørgslen;</w:t>
      </w:r>
    </w:p>
    <w:p w14:paraId="1F57F209" w14:textId="77777777" w:rsidR="00746EE3" w:rsidRPr="00D7025A" w:rsidRDefault="00746EE3" w:rsidP="00746EE3">
      <w:pPr>
        <w:pStyle w:val="NormalHanging12a"/>
      </w:pPr>
      <w:r w:rsidRPr="00D7025A">
        <w:t>1.</w:t>
      </w:r>
      <w:r w:rsidRPr="00D7025A">
        <w:tab/>
        <w:t>giver udtryk for sin bekymring over Stortingets afgørelse af 9. januar 2024 om at åbne områder for dybhavsaktiviteter;</w:t>
      </w:r>
    </w:p>
    <w:p w14:paraId="0BED170B" w14:textId="77777777" w:rsidR="00746EE3" w:rsidRPr="00D7025A" w:rsidRDefault="00746EE3" w:rsidP="00746EE3">
      <w:pPr>
        <w:pStyle w:val="NormalHanging12a"/>
      </w:pPr>
      <w:r w:rsidRPr="00D7025A">
        <w:t>2.</w:t>
      </w:r>
      <w:r w:rsidRPr="00D7025A">
        <w:tab/>
        <w:t>bemærker, at Stortingets afgørelse omfatter en proces for fortsat kortlægning, indhentning af viden og vurdering af de miljømæssige konsekvenser af potentielle mineaktiviteter og ikke automatisk giver tilladelse til udvindingsaktiviteter, da de første udvindingsplaner ifølge afgørelsen skal godkendes af Stortinget;</w:t>
      </w:r>
    </w:p>
    <w:p w14:paraId="2199B752" w14:textId="77777777" w:rsidR="00746EE3" w:rsidRPr="00D7025A" w:rsidRDefault="00746EE3" w:rsidP="00746EE3">
      <w:pPr>
        <w:pStyle w:val="NormalHanging12a"/>
      </w:pPr>
      <w:r w:rsidRPr="00D7025A">
        <w:lastRenderedPageBreak/>
        <w:t>3.</w:t>
      </w:r>
      <w:r w:rsidRPr="00D7025A">
        <w:tab/>
        <w:t>opfordrer derfor atter Kommissionen og medlemsstaterne til at slå til lyd for et internationalt moratorium for dybhavsminedrift, også over for Den Internationale Havbundsmyndighed, indtil virkningerne af dybhavsminedrift for havmiljøet, biodiversiteten og menneskelige aktiviteter til havs er blevet undersøgt og udforsket tilstrækkeligt, og dybhavsminedrift kan forvaltes på en måde, der sikrer, at der ikke sker tab af havets biodiversitet eller ødelæggelse af marine økosystemer; opfordrer alle lande til at anvende forsigtighedsprincippet og bakke op om et internationalt moratorium for dybhavsminedrift;</w:t>
      </w:r>
    </w:p>
    <w:p w14:paraId="211A92B7" w14:textId="77777777" w:rsidR="00746EE3" w:rsidRPr="00D7025A" w:rsidRDefault="00746EE3" w:rsidP="00746EE3">
      <w:pPr>
        <w:pStyle w:val="NormalHanging12a"/>
      </w:pPr>
      <w:r w:rsidRPr="00D7025A">
        <w:t>4.</w:t>
      </w:r>
      <w:r w:rsidRPr="00D7025A">
        <w:tab/>
        <w:t>minder om Norges forpligtelser som part i flere traktater, navnlig Svalbardtraktaten, i forskellige aftaler vedrørende forvaltningen af fiskebestandene i dette område, i Osparkonventionen om beskyttelse af havmiljøet i det nordøstlige Atlanterhav, herunder de arktiske farvande, mod de negative virkninger af menneskelige aktiviteter og i Esbokonventionen; understreger, at BBNJ-aftalen er blevet undertegnet af både EU og Norge, og opfordrer alle andre parter i UNCLOS, herunder Norge, til at undertegne og ratificere den hurtigst muligt;</w:t>
      </w:r>
    </w:p>
    <w:p w14:paraId="137B4CBA" w14:textId="77777777" w:rsidR="00746EE3" w:rsidRPr="00D7025A" w:rsidRDefault="00746EE3" w:rsidP="00746EE3">
      <w:pPr>
        <w:pStyle w:val="NormalHanging12a"/>
      </w:pPr>
      <w:r w:rsidRPr="00D7025A">
        <w:t>5.</w:t>
      </w:r>
      <w:r w:rsidRPr="00D7025A">
        <w:tab/>
        <w:t>opfordrer Norge til fortsat at samarbejde med EU i en ånd af gensidigt partnerskab og den grønne alliance, der blev indgået i april 2023, med henblik på at søge at løse alle problemer og sikre beskyttelsen af havmiljøet og de arktiske økosystemer; opfordrer Kommissionen og Norge til at indgå i en løbende dialog og udveksle videnskabelig forskning og viden om havbunden og om bæredygtig forvaltning af havet; understreger, at Norge og EU gennem deres respektive strategier følger en ensartet tilgang med hensyn til en afbalanceret råstofpolitik baseret på reduktion af efterspørgsel, genbrug, effektivitet, genanvendelse, brug af affaldsstrømme og erstatning;</w:t>
      </w:r>
    </w:p>
    <w:p w14:paraId="7C3B31AA" w14:textId="77777777" w:rsidR="00E365E1" w:rsidRPr="00D7025A" w:rsidRDefault="00746EE3" w:rsidP="008037BD">
      <w:pPr>
        <w:pStyle w:val="NormalHanging12a"/>
      </w:pPr>
      <w:r w:rsidRPr="00D7025A">
        <w:t>6.</w:t>
      </w:r>
      <w:r w:rsidRPr="00D7025A">
        <w:tab/>
        <w:t>pålægger sin formand at sende denne beslutning til Rådet, Kommissionen, Stortinget og Norges regering.</w:t>
      </w:r>
      <w:bookmarkStart w:id="7" w:name="TextBodyEnd"/>
      <w:bookmarkEnd w:id="7"/>
    </w:p>
    <w:sectPr w:rsidR="00E365E1" w:rsidRPr="00D7025A" w:rsidSect="00D7025A">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140BC5" w14:textId="77777777" w:rsidR="009510E4" w:rsidRPr="00D7025A" w:rsidRDefault="009510E4">
      <w:r w:rsidRPr="00D7025A">
        <w:separator/>
      </w:r>
    </w:p>
  </w:endnote>
  <w:endnote w:type="continuationSeparator" w:id="0">
    <w:p w14:paraId="7CE65163" w14:textId="77777777" w:rsidR="009510E4" w:rsidRPr="00D7025A" w:rsidRDefault="009510E4">
      <w:r w:rsidRPr="00D7025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0EB286" w14:textId="77777777" w:rsidR="00064002" w:rsidRPr="00D7025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20DCDA6" w14:textId="77777777" w:rsidR="00064002" w:rsidRPr="00D7025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1E64D0" w14:textId="77777777" w:rsidR="00064002" w:rsidRPr="00D7025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F877D31" w14:textId="77777777" w:rsidR="009510E4" w:rsidRPr="00D7025A" w:rsidRDefault="009510E4">
      <w:r w:rsidRPr="00D7025A">
        <w:separator/>
      </w:r>
    </w:p>
  </w:footnote>
  <w:footnote w:type="continuationSeparator" w:id="0">
    <w:p w14:paraId="1DE9A60D" w14:textId="77777777" w:rsidR="009510E4" w:rsidRPr="00D7025A" w:rsidRDefault="009510E4">
      <w:r w:rsidRPr="00D7025A">
        <w:continuationSeparator/>
      </w:r>
    </w:p>
  </w:footnote>
  <w:footnote w:id="1">
    <w:p w14:paraId="4F776C92" w14:textId="77777777" w:rsidR="00746EE3" w:rsidRPr="00D7025A" w:rsidRDefault="00746EE3" w:rsidP="00D7025A">
      <w:pPr>
        <w:pStyle w:val="FootnoteText"/>
        <w:ind w:left="567" w:hanging="567"/>
        <w:rPr>
          <w:sz w:val="24"/>
          <w:lang w:val="da-DK"/>
        </w:rPr>
      </w:pPr>
      <w:r w:rsidRPr="00D7025A">
        <w:rPr>
          <w:rStyle w:val="FootnoteReference"/>
          <w:sz w:val="24"/>
          <w:lang w:val="da-DK"/>
        </w:rPr>
        <w:footnoteRef/>
      </w:r>
      <w:r w:rsidR="00D7025A" w:rsidRPr="00D7025A">
        <w:rPr>
          <w:sz w:val="24"/>
          <w:lang w:val="da-DK"/>
        </w:rPr>
        <w:t xml:space="preserve"> </w:t>
      </w:r>
      <w:r w:rsidR="00D7025A" w:rsidRPr="00D7025A">
        <w:rPr>
          <w:sz w:val="24"/>
          <w:lang w:val="da-DK"/>
        </w:rPr>
        <w:tab/>
      </w:r>
      <w:r w:rsidRPr="00D7025A">
        <w:rPr>
          <w:sz w:val="24"/>
          <w:lang w:val="da-DK"/>
        </w:rPr>
        <w:t>EUT C 67 af 8.2.2022, s. 25.</w:t>
      </w:r>
    </w:p>
  </w:footnote>
  <w:footnote w:id="2">
    <w:p w14:paraId="338CF7A1" w14:textId="77777777" w:rsidR="00746EE3" w:rsidRPr="00D7025A" w:rsidRDefault="00746EE3" w:rsidP="00D7025A">
      <w:pPr>
        <w:pStyle w:val="FootnoteText"/>
        <w:ind w:left="567" w:hanging="567"/>
        <w:rPr>
          <w:sz w:val="24"/>
          <w:lang w:val="da-DK"/>
        </w:rPr>
      </w:pPr>
      <w:r w:rsidRPr="00D7025A">
        <w:rPr>
          <w:rStyle w:val="FootnoteReference"/>
          <w:sz w:val="24"/>
          <w:lang w:val="da-DK"/>
        </w:rPr>
        <w:footnoteRef/>
      </w:r>
      <w:r w:rsidR="00D7025A" w:rsidRPr="00D7025A">
        <w:rPr>
          <w:sz w:val="24"/>
          <w:lang w:val="da-DK"/>
        </w:rPr>
        <w:t xml:space="preserve"> </w:t>
      </w:r>
      <w:r w:rsidR="00D7025A" w:rsidRPr="00D7025A">
        <w:rPr>
          <w:sz w:val="24"/>
          <w:lang w:val="da-DK"/>
        </w:rPr>
        <w:tab/>
      </w:r>
      <w:r w:rsidRPr="00D7025A">
        <w:rPr>
          <w:sz w:val="24"/>
          <w:lang w:val="da-DK"/>
        </w:rPr>
        <w:t>EUT C 465 af 6.12.2022, s. 2.</w:t>
      </w:r>
    </w:p>
  </w:footnote>
  <w:footnote w:id="3">
    <w:p w14:paraId="4204A61E" w14:textId="77777777" w:rsidR="00746EE3" w:rsidRPr="00D7025A" w:rsidRDefault="00746EE3" w:rsidP="00D7025A">
      <w:pPr>
        <w:pStyle w:val="FootnoteText"/>
        <w:ind w:left="567" w:hanging="567"/>
        <w:rPr>
          <w:sz w:val="24"/>
          <w:lang w:val="da-DK"/>
        </w:rPr>
      </w:pPr>
      <w:r w:rsidRPr="00D7025A">
        <w:rPr>
          <w:rStyle w:val="FootnoteReference"/>
          <w:sz w:val="24"/>
          <w:lang w:val="da-DK"/>
        </w:rPr>
        <w:footnoteRef/>
      </w:r>
      <w:r w:rsidR="00D7025A" w:rsidRPr="00D7025A">
        <w:rPr>
          <w:sz w:val="24"/>
          <w:lang w:val="da-DK"/>
        </w:rPr>
        <w:t xml:space="preserve"> </w:t>
      </w:r>
      <w:r w:rsidR="00D7025A" w:rsidRPr="00D7025A">
        <w:rPr>
          <w:sz w:val="24"/>
          <w:lang w:val="da-DK"/>
        </w:rPr>
        <w:tab/>
      </w:r>
      <w:r w:rsidRPr="00D7025A">
        <w:rPr>
          <w:sz w:val="24"/>
          <w:lang w:val="da-DK"/>
        </w:rPr>
        <w:t>EUT C 132 af 24.3.2022, s. 113.</w:t>
      </w:r>
    </w:p>
  </w:footnote>
  <w:footnote w:id="4">
    <w:p w14:paraId="4765A371" w14:textId="77777777" w:rsidR="00746EE3" w:rsidRPr="00D7025A" w:rsidRDefault="00746EE3" w:rsidP="00D7025A">
      <w:pPr>
        <w:pStyle w:val="FootnoteText"/>
        <w:ind w:left="567" w:hanging="567"/>
        <w:rPr>
          <w:sz w:val="24"/>
          <w:lang w:val="da-DK"/>
        </w:rPr>
      </w:pPr>
      <w:r w:rsidRPr="00D7025A">
        <w:rPr>
          <w:rStyle w:val="FootnoteReference"/>
          <w:sz w:val="24"/>
          <w:lang w:val="da-DK"/>
        </w:rPr>
        <w:footnoteRef/>
      </w:r>
      <w:r w:rsidR="00D7025A" w:rsidRPr="00D7025A">
        <w:rPr>
          <w:sz w:val="24"/>
          <w:lang w:val="da-DK"/>
        </w:rPr>
        <w:t xml:space="preserve"> </w:t>
      </w:r>
      <w:r w:rsidR="00D7025A" w:rsidRPr="00D7025A">
        <w:rPr>
          <w:sz w:val="24"/>
          <w:lang w:val="da-DK"/>
        </w:rPr>
        <w:tab/>
      </w:r>
      <w:r w:rsidRPr="00D7025A">
        <w:rPr>
          <w:sz w:val="24"/>
          <w:lang w:val="da-DK"/>
        </w:rPr>
        <w:t>EUT C 458 af 19.12.2018, s. 9.</w:t>
      </w:r>
    </w:p>
  </w:footnote>
  <w:footnote w:id="5">
    <w:p w14:paraId="213BF806" w14:textId="77777777" w:rsidR="00746EE3" w:rsidRPr="00D7025A" w:rsidRDefault="00746EE3" w:rsidP="00D7025A">
      <w:pPr>
        <w:pStyle w:val="FootnoteText"/>
        <w:ind w:left="567" w:hanging="567"/>
        <w:rPr>
          <w:sz w:val="24"/>
          <w:lang w:val="da-DK"/>
        </w:rPr>
      </w:pPr>
      <w:r w:rsidRPr="00D7025A">
        <w:rPr>
          <w:rStyle w:val="FootnoteReference"/>
          <w:sz w:val="24"/>
          <w:lang w:val="da-DK"/>
        </w:rPr>
        <w:footnoteRef/>
      </w:r>
      <w:r w:rsidR="00D7025A" w:rsidRPr="00D7025A">
        <w:rPr>
          <w:sz w:val="24"/>
          <w:lang w:val="da-DK"/>
        </w:rPr>
        <w:t xml:space="preserve"> </w:t>
      </w:r>
      <w:r w:rsidR="00D7025A" w:rsidRPr="00D7025A">
        <w:rPr>
          <w:sz w:val="24"/>
          <w:lang w:val="da-DK"/>
        </w:rPr>
        <w:tab/>
      </w:r>
      <w:r w:rsidRPr="00D7025A">
        <w:rPr>
          <w:sz w:val="24"/>
          <w:lang w:val="da-DK"/>
        </w:rPr>
        <w:t>EUT C 132 af 14.4.2023, s. 106.</w:t>
      </w:r>
    </w:p>
  </w:footnote>
  <w:footnote w:id="6">
    <w:p w14:paraId="14A6CD15" w14:textId="77777777" w:rsidR="00746EE3" w:rsidRPr="00D7025A" w:rsidRDefault="00746EE3" w:rsidP="00D7025A">
      <w:pPr>
        <w:pStyle w:val="FootnoteText"/>
        <w:ind w:left="567" w:hanging="567"/>
        <w:rPr>
          <w:sz w:val="24"/>
          <w:lang w:val="da-DK"/>
        </w:rPr>
      </w:pPr>
      <w:r w:rsidRPr="00D7025A">
        <w:rPr>
          <w:rStyle w:val="FootnoteReference"/>
          <w:sz w:val="24"/>
          <w:lang w:val="da-DK"/>
        </w:rPr>
        <w:footnoteRef/>
      </w:r>
      <w:r w:rsidR="00D7025A" w:rsidRPr="00D7025A">
        <w:rPr>
          <w:sz w:val="24"/>
          <w:lang w:val="da-DK"/>
        </w:rPr>
        <w:t xml:space="preserve"> </w:t>
      </w:r>
      <w:r w:rsidR="00D7025A" w:rsidRPr="00D7025A">
        <w:rPr>
          <w:sz w:val="24"/>
          <w:lang w:val="da-DK"/>
        </w:rPr>
        <w:tab/>
      </w:r>
      <w:r w:rsidRPr="00D7025A">
        <w:rPr>
          <w:sz w:val="24"/>
          <w:lang w:val="da-DK"/>
        </w:rPr>
        <w:t>EFT C 104 af 24.4.1992, s. 7.</w:t>
      </w:r>
    </w:p>
  </w:footnote>
  <w:footnote w:id="7">
    <w:p w14:paraId="5E165C5E" w14:textId="77777777" w:rsidR="00746EE3" w:rsidRPr="00D7025A" w:rsidRDefault="00746EE3" w:rsidP="00D7025A">
      <w:pPr>
        <w:pStyle w:val="FootnoteText"/>
        <w:ind w:left="567" w:hanging="567"/>
        <w:rPr>
          <w:sz w:val="24"/>
          <w:lang w:val="da-DK"/>
        </w:rPr>
      </w:pPr>
      <w:r w:rsidRPr="00D7025A">
        <w:rPr>
          <w:rStyle w:val="FootnoteReference"/>
          <w:sz w:val="24"/>
          <w:lang w:val="da-DK"/>
        </w:rPr>
        <w:footnoteRef/>
      </w:r>
      <w:r w:rsidR="00D7025A" w:rsidRPr="00D7025A">
        <w:rPr>
          <w:sz w:val="24"/>
          <w:lang w:val="da-DK"/>
        </w:rPr>
        <w:t xml:space="preserve"> </w:t>
      </w:r>
      <w:r w:rsidR="00D7025A" w:rsidRPr="00D7025A">
        <w:rPr>
          <w:sz w:val="24"/>
          <w:lang w:val="da-DK"/>
        </w:rPr>
        <w:tab/>
      </w:r>
      <w:r w:rsidRPr="00D7025A">
        <w:rPr>
          <w:sz w:val="24"/>
          <w:lang w:val="da-DK"/>
        </w:rPr>
        <w:t>EUT L 308 af 19.11.2008, s. 35.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BF2F94" w14:textId="77777777" w:rsidR="00064002" w:rsidRPr="00D7025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A7D2C14" w14:textId="77777777" w:rsidR="00064002" w:rsidRPr="00D7025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734A98" w14:textId="77777777" w:rsidR="00064002" w:rsidRPr="00D7025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95/2024"/>
    <w:docVar w:name="dvlangue" w:val="DA"/>
    <w:docVar w:name="dvnumam" w:val="0"/>
    <w:docVar w:name="dvpe" w:val="756.838"/>
    <w:docVar w:name="dvtitre" w:val="Europa-Parlamentets beslutning af xx.xx 2024 om Norges nylige afgørelse om at gå videre med havminedrift i Arktis(2024/2520(RSP))"/>
  </w:docVars>
  <w:rsids>
    <w:rsidRoot w:val="009510E4"/>
    <w:rsid w:val="00002272"/>
    <w:rsid w:val="00064002"/>
    <w:rsid w:val="000677B9"/>
    <w:rsid w:val="000831BA"/>
    <w:rsid w:val="000A42CC"/>
    <w:rsid w:val="000E7DD9"/>
    <w:rsid w:val="0010095E"/>
    <w:rsid w:val="00125B37"/>
    <w:rsid w:val="00187494"/>
    <w:rsid w:val="001D7C4E"/>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6EE3"/>
    <w:rsid w:val="00747932"/>
    <w:rsid w:val="00751A4A"/>
    <w:rsid w:val="00756632"/>
    <w:rsid w:val="00762C74"/>
    <w:rsid w:val="00786EC0"/>
    <w:rsid w:val="007D1690"/>
    <w:rsid w:val="007E22AD"/>
    <w:rsid w:val="008037BD"/>
    <w:rsid w:val="00817416"/>
    <w:rsid w:val="00842779"/>
    <w:rsid w:val="00865F67"/>
    <w:rsid w:val="00881A7B"/>
    <w:rsid w:val="008840E5"/>
    <w:rsid w:val="00887B3E"/>
    <w:rsid w:val="008C2AC6"/>
    <w:rsid w:val="00930C23"/>
    <w:rsid w:val="0093193B"/>
    <w:rsid w:val="009509D8"/>
    <w:rsid w:val="00950B64"/>
    <w:rsid w:val="009510E4"/>
    <w:rsid w:val="00981893"/>
    <w:rsid w:val="00A1687D"/>
    <w:rsid w:val="00A43E52"/>
    <w:rsid w:val="00A4678D"/>
    <w:rsid w:val="00A778C7"/>
    <w:rsid w:val="00AB441E"/>
    <w:rsid w:val="00AB6293"/>
    <w:rsid w:val="00AE0928"/>
    <w:rsid w:val="00AF3B82"/>
    <w:rsid w:val="00B12E95"/>
    <w:rsid w:val="00B22876"/>
    <w:rsid w:val="00B558F0"/>
    <w:rsid w:val="00B57E23"/>
    <w:rsid w:val="00BD48FE"/>
    <w:rsid w:val="00BD7BD8"/>
    <w:rsid w:val="00BE6ADC"/>
    <w:rsid w:val="00C05BFE"/>
    <w:rsid w:val="00C23CD4"/>
    <w:rsid w:val="00C61C0C"/>
    <w:rsid w:val="00C941CB"/>
    <w:rsid w:val="00CC2357"/>
    <w:rsid w:val="00CF071A"/>
    <w:rsid w:val="00D058B8"/>
    <w:rsid w:val="00D2493A"/>
    <w:rsid w:val="00D56C11"/>
    <w:rsid w:val="00D7025A"/>
    <w:rsid w:val="00D834A0"/>
    <w:rsid w:val="00D872DF"/>
    <w:rsid w:val="00D91E21"/>
    <w:rsid w:val="00DA7FCD"/>
    <w:rsid w:val="00E260A3"/>
    <w:rsid w:val="00E365E1"/>
    <w:rsid w:val="00E735EE"/>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D9D9E8"/>
  <w15:chartTrackingRefBased/>
  <w15:docId w15:val="{1F2EEFCB-04D2-4610-AC92-B46BF01C2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46EE3"/>
    <w:pPr>
      <w:spacing w:before="480" w:after="240"/>
    </w:pPr>
  </w:style>
  <w:style w:type="paragraph" w:customStyle="1" w:styleId="NormalHanging12a">
    <w:name w:val="NormalHanging12a"/>
    <w:basedOn w:val="Normal"/>
    <w:rsid w:val="00746EE3"/>
    <w:pPr>
      <w:spacing w:after="240"/>
      <w:ind w:left="567" w:hanging="567"/>
    </w:pPr>
  </w:style>
  <w:style w:type="character" w:styleId="CommentReference">
    <w:name w:val="annotation reference"/>
    <w:basedOn w:val="DefaultParagraphFont"/>
    <w:rsid w:val="001D7C4E"/>
    <w:rPr>
      <w:sz w:val="16"/>
      <w:szCs w:val="16"/>
    </w:rPr>
  </w:style>
  <w:style w:type="paragraph" w:styleId="CommentText">
    <w:name w:val="annotation text"/>
    <w:basedOn w:val="Normal"/>
    <w:link w:val="CommentTextChar"/>
    <w:rsid w:val="001D7C4E"/>
    <w:rPr>
      <w:sz w:val="20"/>
    </w:rPr>
  </w:style>
  <w:style w:type="character" w:customStyle="1" w:styleId="CommentTextChar">
    <w:name w:val="Comment Text Char"/>
    <w:basedOn w:val="DefaultParagraphFont"/>
    <w:link w:val="CommentText"/>
    <w:rsid w:val="001D7C4E"/>
    <w:rPr>
      <w:lang w:val="da-DK"/>
    </w:rPr>
  </w:style>
  <w:style w:type="paragraph" w:styleId="CommentSubject">
    <w:name w:val="annotation subject"/>
    <w:basedOn w:val="CommentText"/>
    <w:next w:val="CommentText"/>
    <w:link w:val="CommentSubjectChar"/>
    <w:rsid w:val="001D7C4E"/>
    <w:rPr>
      <w:b/>
      <w:bCs/>
    </w:rPr>
  </w:style>
  <w:style w:type="character" w:customStyle="1" w:styleId="CommentSubjectChar">
    <w:name w:val="Comment Subject Char"/>
    <w:basedOn w:val="CommentTextChar"/>
    <w:link w:val="CommentSubject"/>
    <w:rsid w:val="001D7C4E"/>
    <w:rPr>
      <w:b/>
      <w:bCs/>
      <w:lang w:val="da-DK"/>
    </w:rPr>
  </w:style>
  <w:style w:type="paragraph" w:styleId="BalloonText">
    <w:name w:val="Balloon Text"/>
    <w:basedOn w:val="Normal"/>
    <w:link w:val="BalloonTextChar"/>
    <w:rsid w:val="001D7C4E"/>
    <w:rPr>
      <w:rFonts w:ascii="Segoe UI" w:hAnsi="Segoe UI" w:cs="Segoe UI"/>
      <w:sz w:val="18"/>
      <w:szCs w:val="18"/>
    </w:rPr>
  </w:style>
  <w:style w:type="character" w:customStyle="1" w:styleId="BalloonTextChar">
    <w:name w:val="Balloon Text Char"/>
    <w:basedOn w:val="DefaultParagraphFont"/>
    <w:link w:val="BalloonText"/>
    <w:rsid w:val="001D7C4E"/>
    <w:rPr>
      <w:rFonts w:ascii="Segoe UI" w:hAnsi="Segoe UI" w:cs="Segoe UI"/>
      <w:sz w:val="18"/>
      <w:szCs w:val="18"/>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2F9E10-2C44-4000-AC3B-D47F4E58F4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2207</Words>
  <Characters>13626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15802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2024-02-07T13:24:00Z</dcterms:created>
  <dcterms:modified xsi:type="dcterms:W3CDTF">2024-02-07T13:24:00Z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B9-0095/2024</vt:lpwstr>
  </property>
  <property fmtid="{D5CDD505-2E9C-101B-9397-08002B2CF9AE}" pid="4" name="&lt;Type&gt;">
    <vt:lpwstr>RR</vt:lpwstr>
  </property>
</Properties>
</file>