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168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1680" w:rsidRDefault="00D578E4" w:rsidP="00385705">
            <w:pPr>
              <w:pStyle w:val="EPName"/>
              <w:widowControl/>
            </w:pPr>
            <w:r w:rsidRPr="000D1680">
              <w:t>Euroopan parlamentti</w:t>
            </w:r>
          </w:p>
          <w:p w:rsidR="00751A4A" w:rsidRPr="000D1680" w:rsidRDefault="00817416" w:rsidP="00385705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0D168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D1680" w:rsidRDefault="00187494" w:rsidP="00385705">
            <w:pPr>
              <w:pStyle w:val="EPLogo"/>
              <w:widowControl/>
            </w:pPr>
            <w:r w:rsidRPr="000D168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1680" w:rsidRDefault="00D058B8" w:rsidP="00385705">
      <w:pPr>
        <w:pStyle w:val="LineTop"/>
        <w:widowControl/>
      </w:pPr>
    </w:p>
    <w:p w:rsidR="00680577" w:rsidRPr="000D1680" w:rsidRDefault="00D578E4" w:rsidP="00385705">
      <w:pPr>
        <w:pStyle w:val="EPBodyTA1"/>
        <w:widowControl/>
      </w:pPr>
      <w:r w:rsidRPr="000D1680">
        <w:t>HYVÄKSYTYT TEKSTIT</w:t>
      </w:r>
    </w:p>
    <w:p w:rsidR="00D058B8" w:rsidRPr="000D1680" w:rsidRDefault="00D058B8" w:rsidP="00385705">
      <w:pPr>
        <w:pStyle w:val="LineBottom"/>
        <w:widowControl/>
      </w:pPr>
    </w:p>
    <w:p w:rsidR="00D578E4" w:rsidRPr="000D1680" w:rsidRDefault="00D578E4" w:rsidP="00385705">
      <w:pPr>
        <w:pStyle w:val="ATHeading1"/>
      </w:pPr>
      <w:bookmarkStart w:id="0" w:name="TANumber"/>
      <w:r w:rsidRPr="000D1680">
        <w:t>P9_</w:t>
      </w:r>
      <w:proofErr w:type="gramStart"/>
      <w:r w:rsidRPr="000D1680">
        <w:t>TA(</w:t>
      </w:r>
      <w:proofErr w:type="gramEnd"/>
      <w:r w:rsidRPr="000D1680">
        <w:t>2024)00</w:t>
      </w:r>
      <w:r w:rsidR="0047586D">
        <w:t>68</w:t>
      </w:r>
      <w:bookmarkEnd w:id="0"/>
    </w:p>
    <w:p w:rsidR="00D578E4" w:rsidRPr="000D1680" w:rsidRDefault="00D578E4" w:rsidP="00385705">
      <w:pPr>
        <w:pStyle w:val="ATHeading2"/>
      </w:pPr>
      <w:bookmarkStart w:id="1" w:name="title"/>
      <w:r w:rsidRPr="000D1680">
        <w:t>Norjan hiljattain tekemä päätös edistää merenpohjan kaivostoimintaa arktisella alueella</w:t>
      </w:r>
      <w:bookmarkEnd w:id="1"/>
    </w:p>
    <w:p w:rsidR="00D578E4" w:rsidRPr="000D1680" w:rsidRDefault="00D578E4" w:rsidP="00385705">
      <w:pPr>
        <w:widowControl/>
        <w:rPr>
          <w:i/>
          <w:vanish/>
        </w:rPr>
      </w:pPr>
      <w:r w:rsidRPr="000D1680">
        <w:rPr>
          <w:i/>
        </w:rPr>
        <w:fldChar w:fldCharType="begin"/>
      </w:r>
      <w:r w:rsidRPr="000D1680">
        <w:rPr>
          <w:i/>
        </w:rPr>
        <w:instrText xml:space="preserve"> TC"(</w:instrText>
      </w:r>
      <w:bookmarkStart w:id="2" w:name="DocNumber"/>
      <w:r w:rsidRPr="000D1680">
        <w:rPr>
          <w:i/>
        </w:rPr>
        <w:instrText>B9-0095/2024</w:instrText>
      </w:r>
      <w:bookmarkEnd w:id="2"/>
      <w:r w:rsidRPr="000D1680">
        <w:rPr>
          <w:i/>
        </w:rPr>
        <w:instrText xml:space="preserve">)"\l3 \n&gt; \* MERGEFORMAT </w:instrText>
      </w:r>
      <w:r w:rsidRPr="000D1680">
        <w:rPr>
          <w:i/>
        </w:rPr>
        <w:fldChar w:fldCharType="end"/>
      </w:r>
    </w:p>
    <w:p w:rsidR="00D578E4" w:rsidRPr="000D1680" w:rsidRDefault="00D578E4" w:rsidP="00385705">
      <w:pPr>
        <w:widowControl/>
        <w:rPr>
          <w:vanish/>
        </w:rPr>
      </w:pPr>
      <w:bookmarkStart w:id="3" w:name="PE"/>
      <w:r w:rsidRPr="000D1680">
        <w:rPr>
          <w:vanish/>
        </w:rPr>
        <w:t>PE756.838</w:t>
      </w:r>
      <w:bookmarkEnd w:id="3"/>
    </w:p>
    <w:p w:rsidR="00D578E4" w:rsidRPr="000D1680" w:rsidRDefault="00D578E4" w:rsidP="00385705">
      <w:pPr>
        <w:pStyle w:val="ATHeading3"/>
      </w:pPr>
      <w:bookmarkStart w:id="4" w:name="Sujet"/>
      <w:r w:rsidRPr="000D1680">
        <w:t xml:space="preserve">Euroopan parlamentin päätöslauselma </w:t>
      </w:r>
      <w:r w:rsidR="00385705">
        <w:t>7</w:t>
      </w:r>
      <w:r w:rsidRPr="000D1680">
        <w:t>. helmikuuta 2024 Norjan hiljattain tekemästä päätöksestä edistää merenpohjan kaivostoimintaa arktisella alueella</w:t>
      </w:r>
      <w:bookmarkEnd w:id="4"/>
      <w:r w:rsidRPr="000D1680">
        <w:t xml:space="preserve"> </w:t>
      </w:r>
      <w:bookmarkStart w:id="5" w:name="References"/>
      <w:r w:rsidRPr="000D1680">
        <w:t>(2024/2520(RSP))</w:t>
      </w:r>
      <w:bookmarkEnd w:id="5"/>
    </w:p>
    <w:p w:rsidR="00391258" w:rsidRPr="000D1680" w:rsidRDefault="00391258" w:rsidP="00385705">
      <w:pPr>
        <w:pStyle w:val="EPComma"/>
        <w:widowControl/>
      </w:pPr>
      <w:bookmarkStart w:id="6" w:name="TextBodyBegin"/>
      <w:bookmarkEnd w:id="6"/>
      <w:r w:rsidRPr="000D1680">
        <w:rPr>
          <w:i/>
          <w:iCs/>
        </w:rPr>
        <w:t>Euroopan parlamentti</w:t>
      </w:r>
      <w:r w:rsidRPr="000D1680">
        <w:t>, joka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Norjan parlamentin 9. tammikuuta 2024 tekemän päätöksen kaivostoiminnasta Norjan mannerjalustalla, alueen avaamisesta ja luonnonvarojen hallintastrategiasta,</w:t>
      </w:r>
      <w:bookmarkStart w:id="7" w:name="_GoBack"/>
      <w:bookmarkEnd w:id="7"/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Norjan energiaministeriön 27. lokakuuta 2022 tekemän strategisen ympäristövaikutusten arvioinnin merenpohjan mineraaleista Norjan mannerjalustalla,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20. kesäkuuta 2023 annetun Norjan hallituksen raportin mineraalivaroihin kohdistuvasta toiminnasta Norjan mannerjalustalla, alueiden avaamisesta ja luonnonvarojen hallinnointistrategiasta,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Norjan ympäristöviraston 27. tammikuuta 2023 antaman lausunnon Norjan mannerjalustalla harjoitettavaa mineraalivaroihin kohdistuvaa toimintaa koskevasta kuulemisesta ja vaikutustenarvioinnista,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11. joulukuuta 2019 annetun komission tiedonannon ”Euroopan vihreän kehityksen ohjelma” (</w:t>
      </w:r>
      <w:proofErr w:type="gramStart"/>
      <w:r w:rsidRPr="000D1680">
        <w:t>COM(</w:t>
      </w:r>
      <w:proofErr w:type="gramEnd"/>
      <w:r w:rsidRPr="000D1680">
        <w:t>2019)0640),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 xml:space="preserve">ottaa huomioon 20. toukokuuta 2020 annetun komission tiedonannon ”Vuoteen 2030 ulottuva EU:n </w:t>
      </w:r>
      <w:proofErr w:type="spellStart"/>
      <w:r w:rsidRPr="000D1680">
        <w:t>biodiversiteettistrategia</w:t>
      </w:r>
      <w:proofErr w:type="spellEnd"/>
      <w:r w:rsidRPr="000D1680">
        <w:t xml:space="preserve"> – Luonto takaisin osaksi elämäämme” (COM(2020)0380), siitä 9. kesäkuuta 2021 antamansa päätöslauselman</w:t>
      </w:r>
      <w:r w:rsidRPr="000D1680">
        <w:rPr>
          <w:rStyle w:val="FootnoteReference"/>
        </w:rPr>
        <w:footnoteReference w:id="1"/>
      </w:r>
      <w:r w:rsidRPr="000D1680">
        <w:t xml:space="preserve"> ja siitä 23. lokakuuta 2020 annetut neuvoston päätelmät,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17. toukokuuta 2021 annetun komission tiedonannon uudesta lähestymistavasta kestävään siniseen talouteen EU:ssa – EU:n sinisen talouden muuttaminen kestävän tulevaisuuden varmistamiseksi (</w:t>
      </w:r>
      <w:proofErr w:type="gramStart"/>
      <w:r w:rsidRPr="000D1680">
        <w:t>COM(</w:t>
      </w:r>
      <w:proofErr w:type="gramEnd"/>
      <w:r w:rsidRPr="000D1680">
        <w:t>2021)0240),</w:t>
      </w:r>
    </w:p>
    <w:p w:rsidR="00391258" w:rsidRPr="000D1680" w:rsidRDefault="00391258" w:rsidP="00385705">
      <w:pPr>
        <w:pStyle w:val="NormalHanging12a"/>
        <w:widowControl/>
      </w:pPr>
      <w:r w:rsidRPr="000D1680">
        <w:lastRenderedPageBreak/>
        <w:t>–</w:t>
      </w:r>
      <w:r w:rsidRPr="000D1680">
        <w:tab/>
        <w:t>ottaa huomioon 3. toukokuuta 2022 antamansa päätöslauselman aiheesta ”Kohti kestävää sinistä taloutta EU:ssa: kalastuksen ja vesiviljelyn merkitys”</w:t>
      </w:r>
      <w:r w:rsidRPr="000D1680">
        <w:rPr>
          <w:rStyle w:val="FootnoteReference"/>
        </w:rPr>
        <w:footnoteReference w:id="2"/>
      </w:r>
      <w:r w:rsidRPr="000D1680">
        <w:t>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7. lokakuuta 2021 antamansa päätöslauselman arktisesta alueesta: mahdollisuudet, huolenaiheet ja turvallisuushaasteet</w:t>
      </w:r>
      <w:r w:rsidRPr="000D1680">
        <w:rPr>
          <w:rStyle w:val="FootnoteReference"/>
        </w:rPr>
        <w:footnoteReference w:id="3"/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16. tammikuuta 2018 antamansa päätöslauselman kansainvälisestä valtamerten hallinnoinnista: valtamerten tulevaisuusohjelma vuoden 2030 kestävän kehityksen tavoitteiden yhteydessä</w:t>
      </w:r>
      <w:r w:rsidRPr="000D1680">
        <w:rPr>
          <w:rStyle w:val="FootnoteReference"/>
        </w:rPr>
        <w:footnoteReference w:id="4"/>
      </w:r>
      <w:r w:rsidRPr="000D1680">
        <w:t>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 xml:space="preserve">ottaa huomioon 6. lokakuuta 2022 antamansa päätöslauselman uudesta ponnesta valtamerten hallinnointiin ja </w:t>
      </w:r>
      <w:proofErr w:type="spellStart"/>
      <w:r w:rsidRPr="000D1680">
        <w:t>biodiversiteetin</w:t>
      </w:r>
      <w:proofErr w:type="spellEnd"/>
      <w:r w:rsidRPr="000D1680">
        <w:t xml:space="preserve"> vahvistamiseen</w:t>
      </w:r>
      <w:r w:rsidRPr="000D1680">
        <w:rPr>
          <w:rStyle w:val="FootnoteReference"/>
        </w:rPr>
        <w:footnoteReference w:id="5"/>
      </w:r>
      <w:r w:rsidRPr="000D1680">
        <w:t>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komission ja unionin ulkoasioiden ja turvallisuuspolitiikan korkean edustajan 24. kesäkuuta 2022 antaman yhteisen tiedonannon ”Kestävä tulevaisuus siniselle planeetalle – Yhteinen tiedonanto EU:n kansainvälisen valtamerten hallinnoinnin ohjelmasta” (</w:t>
      </w:r>
      <w:proofErr w:type="gramStart"/>
      <w:r w:rsidRPr="000D1680">
        <w:t>JOIN(</w:t>
      </w:r>
      <w:proofErr w:type="gramEnd"/>
      <w:r w:rsidRPr="000D1680">
        <w:t>2022)0028),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10. marraskuuta 2016 annetun komission ja unionin ulkoasioiden ja turvallisuuspolitiikan korkean edustajan yhteisen tiedonannon ”Kansainvälinen valtamerten hallinnointi: EU:n panos vastuulliseen valtamerten hoitoon” (</w:t>
      </w:r>
      <w:proofErr w:type="gramStart"/>
      <w:r w:rsidRPr="000D1680">
        <w:t>JOIN(</w:t>
      </w:r>
      <w:proofErr w:type="gramEnd"/>
      <w:r w:rsidRPr="000D1680">
        <w:t>2016)0049),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lokakuussa 2023 päivätyn komission verbaalinootin nro 21/13 Norjan kuningaskunnan ulkoministeriölle,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 xml:space="preserve">ottaa huomioon 29. joulukuuta 1993 voimaan tulleen biologista monimuotoisuutta koskevan yleissopimuksen, maailmanlaajuisen </w:t>
      </w:r>
      <w:proofErr w:type="spellStart"/>
      <w:r w:rsidRPr="000D1680">
        <w:t>biodiversiteettikehyksen</w:t>
      </w:r>
      <w:proofErr w:type="spellEnd"/>
      <w:r w:rsidRPr="000D1680">
        <w:t xml:space="preserve"> vuoden 2020 jälkeiselle ajalle sekä biologista monimuotoisuutta koskevan yleissopimuksen osapuolten 15. konferenssin tekemän päätöksen nro 15/24 merten ja rannikkoalueiden biologisen monimuotoisuuden säilyttämisestä ja kestävästä käytöstä,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YK:n merioikeusyleissopimuksen (UNCLOS) ja erityisesti sen meriympäristön suojelua koskevan 145 artiklan,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merioikeusyleissopimuksen nojalla tehdyn sopimuksen merten biologisen monimuotoisuuden suojelusta ja kestävästä käytöstä kansallisen lainkäyttövallan ulkopuolisilla alueilla (BBNJ-sopimus),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merioikeusyleissopimuksella perustetun Kansainvälisen merenpohjajärjestön toimeksiannon ja vuonna 1994 tehdyn sopimuksen merioikeusyleissopimuksen XI osan täytäntöönpanosta,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 xml:space="preserve">ottaa huomioon </w:t>
      </w:r>
      <w:proofErr w:type="spellStart"/>
      <w:r w:rsidRPr="000D1680">
        <w:t>Koillis</w:t>
      </w:r>
      <w:proofErr w:type="spellEnd"/>
      <w:r w:rsidRPr="000D1680">
        <w:t>-Atlantin merellisen ympäristön suojelua koskevan yleissopimuksen (OSPAR-yleissopimus), joka kattaa arktiset vesialueet,</w:t>
      </w:r>
    </w:p>
    <w:p w:rsidR="00391258" w:rsidRPr="000D1680" w:rsidRDefault="00391258" w:rsidP="00385705">
      <w:pPr>
        <w:pStyle w:val="NormalHanging12a"/>
        <w:widowControl/>
      </w:pPr>
      <w:r w:rsidRPr="000D1680">
        <w:lastRenderedPageBreak/>
        <w:t>–</w:t>
      </w:r>
      <w:r w:rsidRPr="000D1680">
        <w:tab/>
        <w:t>ottaa huomioon Pariisissa 9. helmikuuta 1920 allekirjoitetun Huippuvuoria koskevan kansainvälisen sopimuksen,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Espoossa 25. helmikuuta 1991 allekirjoitetun yleissopimuksen valtioiden rajat ylittävien ympäristövaikutusten arvioinnista</w:t>
      </w:r>
      <w:r w:rsidRPr="000D1680">
        <w:rPr>
          <w:rStyle w:val="FootnoteReference"/>
        </w:rPr>
        <w:footnoteReference w:id="6"/>
      </w:r>
      <w:r w:rsidRPr="000D1680">
        <w:t xml:space="preserve"> (Espoon yleissopimus) ja sen pöytäkirjan strategisesta ympäristöarvioinnista</w:t>
      </w:r>
      <w:r w:rsidRPr="000D1680">
        <w:rPr>
          <w:rStyle w:val="FootnoteReference"/>
        </w:rPr>
        <w:footnoteReference w:id="7"/>
      </w:r>
      <w:r w:rsidRPr="000D1680">
        <w:t>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kestävää valtameritaloutta käsittelevän korkean tason paneelin, jonka perustajajäsen Norja on,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Kansainvälisen luonnonsuojeluliiton (IUCN) päätöslauselman nro 122 syvänmeren ekosysteemien ja biologisen monimuotoisuuden suojelusta merenpohjan kaivostoiminnan moratorion avulla,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YK:n kestävän kehityksen huippukokouksessa New Yorkissa 25. syyskuuta 2015 hyväksytyn YK:n yleiskokouksen päätöslauselman kestävän kehityksen Agenda 2030 -toimintaohjelmasta ”</w:t>
      </w:r>
      <w:proofErr w:type="spellStart"/>
      <w:r w:rsidRPr="000D1680">
        <w:t>Transforming</w:t>
      </w:r>
      <w:proofErr w:type="spellEnd"/>
      <w:r w:rsidRPr="000D1680">
        <w:t xml:space="preserve"> </w:t>
      </w:r>
      <w:proofErr w:type="spellStart"/>
      <w:r w:rsidRPr="000D1680">
        <w:t>our</w:t>
      </w:r>
      <w:proofErr w:type="spellEnd"/>
      <w:r w:rsidRPr="000D1680">
        <w:t xml:space="preserve"> </w:t>
      </w:r>
      <w:proofErr w:type="spellStart"/>
      <w:r w:rsidRPr="000D1680">
        <w:t>world</w:t>
      </w:r>
      <w:proofErr w:type="spellEnd"/>
      <w:r w:rsidRPr="000D1680">
        <w:t xml:space="preserve">: </w:t>
      </w:r>
      <w:proofErr w:type="spellStart"/>
      <w:r w:rsidRPr="000D1680">
        <w:t>the</w:t>
      </w:r>
      <w:proofErr w:type="spellEnd"/>
      <w:r w:rsidRPr="000D1680">
        <w:t xml:space="preserve"> 2030 Agenda for </w:t>
      </w:r>
      <w:proofErr w:type="spellStart"/>
      <w:r w:rsidRPr="000D1680">
        <w:t>Sustainable</w:t>
      </w:r>
      <w:proofErr w:type="spellEnd"/>
      <w:r w:rsidRPr="000D1680">
        <w:t xml:space="preserve"> </w:t>
      </w:r>
      <w:proofErr w:type="spellStart"/>
      <w:r w:rsidRPr="000D1680">
        <w:t>Development</w:t>
      </w:r>
      <w:proofErr w:type="spellEnd"/>
      <w:r w:rsidRPr="000D1680">
        <w:t>” ja erityisesti YK:n kestävän kehityksen Agenda 2030 -toimintaohjelman tavoitteen 14, jossa kannustetaan merten ja merten tarjoamien luonnonvarojen säilyttämiseen ja kestävän käytön edistämiseen,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 xml:space="preserve">ottaa huomioon toukokuussa 2019 julkaistun </w:t>
      </w:r>
      <w:proofErr w:type="spellStart"/>
      <w:r w:rsidRPr="000D1680">
        <w:t>biodiversiteettiä</w:t>
      </w:r>
      <w:proofErr w:type="spellEnd"/>
      <w:r w:rsidRPr="000D1680">
        <w:t xml:space="preserve"> ja ekosysteemipalveluja käsittelevän hallitustenvälisen tiede- ja politiikkafoorumin maailmanlaajuisen arviointiraportin </w:t>
      </w:r>
      <w:proofErr w:type="spellStart"/>
      <w:r w:rsidRPr="000D1680">
        <w:t>biodiversiteetistä</w:t>
      </w:r>
      <w:proofErr w:type="spellEnd"/>
      <w:r w:rsidRPr="000D1680">
        <w:t xml:space="preserve"> ja ekosysteemipalveluista,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ilmastonmuutosta koskevan YK:n puitesopimuksen osapuolten 21. konferenssissa (COP 21) Pariisissa 12. joulukuuta 2015 hyväksytyn sopimuksen (Pariisin sopimus), joka tuli voimaan 4. marraskuuta 2016, ja sitä seuranneet osapuolten konferenssin päätökset,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 xml:space="preserve">ottaa huomioon 24. syyskuuta 2019 julkaistun hallitustenvälisen ilmastonmuutospaneelin erityisraportin valtameristä ja </w:t>
      </w:r>
      <w:proofErr w:type="spellStart"/>
      <w:r w:rsidRPr="000D1680">
        <w:t>kryosfääristä</w:t>
      </w:r>
      <w:proofErr w:type="spellEnd"/>
      <w:r w:rsidRPr="000D1680">
        <w:t xml:space="preserve"> muuttuvassa ilmastossa,</w:t>
      </w:r>
    </w:p>
    <w:p w:rsidR="00391258" w:rsidRPr="000D1680" w:rsidRDefault="00391258" w:rsidP="00385705">
      <w:pPr>
        <w:pStyle w:val="NormalHanging12a"/>
        <w:widowControl/>
      </w:pPr>
      <w:r w:rsidRPr="000D1680">
        <w:t>–</w:t>
      </w:r>
      <w:r w:rsidRPr="000D1680">
        <w:tab/>
        <w:t>ottaa huomioon työjärjestyksen 132 artiklan 2 kohdan,</w:t>
      </w:r>
    </w:p>
    <w:p w:rsidR="00391258" w:rsidRPr="000D1680" w:rsidRDefault="00391258" w:rsidP="00385705">
      <w:pPr>
        <w:pStyle w:val="NormalHanging12a"/>
        <w:widowControl/>
      </w:pPr>
      <w:r w:rsidRPr="000D1680">
        <w:t>A.</w:t>
      </w:r>
      <w:r w:rsidRPr="000D1680">
        <w:tab/>
        <w:t xml:space="preserve">ottaa huomioon, että </w:t>
      </w:r>
      <w:proofErr w:type="spellStart"/>
      <w:r w:rsidRPr="000D1680">
        <w:t>Stortinget</w:t>
      </w:r>
      <w:proofErr w:type="spellEnd"/>
      <w:r w:rsidRPr="000D1680">
        <w:t xml:space="preserve"> (Norjan suurkäräjät) hyväksyi 9. tammikuuta 2024 päätöksen, jonka mukaan arktisella alueella voidaan etsiä mineraaliesiintymiä 281 200 neliökilometrin alueelta mahdollista merenpohjan kaivostoimintaa varten; ottaa huomioon, että prosessi on avoin ja että louhintasuunnitelmia tai kaivoslupia koskevat lisäpäätökset riippuvat Norjan hallituksen tulevista demokraattisista päätöksistä Norjan merenpohjan mineraaleja koskevan lain mukaisesti; ottaa huomioon, että päätöksen mukaan </w:t>
      </w:r>
      <w:proofErr w:type="spellStart"/>
      <w:r w:rsidRPr="000D1680">
        <w:t>Stortingetin</w:t>
      </w:r>
      <w:proofErr w:type="spellEnd"/>
      <w:r w:rsidRPr="000D1680">
        <w:t xml:space="preserve"> on hyväksyttävä ensimmäiset louhintasuunnitelmat;</w:t>
      </w:r>
    </w:p>
    <w:p w:rsidR="00391258" w:rsidRPr="000D1680" w:rsidRDefault="00391258" w:rsidP="00385705">
      <w:pPr>
        <w:pStyle w:val="NormalHanging12a"/>
        <w:widowControl/>
      </w:pPr>
      <w:r w:rsidRPr="000D1680">
        <w:t>B.</w:t>
      </w:r>
      <w:r w:rsidRPr="000D1680">
        <w:tab/>
        <w:t>ottaa huomioon Norjan ympäristöviraston katsovan, että ympäristövaikutusten arvioinnissa on luonnon, teknologian ja mahdollisten ympäristövaikutusten osalta merkittäviä tietopuutteita, minkä vuoksi se ei tarjoa riittävää perustaa mineraalien louhinnalle;</w:t>
      </w:r>
    </w:p>
    <w:p w:rsidR="00391258" w:rsidRPr="000D1680" w:rsidRDefault="00391258" w:rsidP="00385705">
      <w:pPr>
        <w:pStyle w:val="NormalHanging12a"/>
        <w:widowControl/>
      </w:pPr>
      <w:r w:rsidRPr="000D1680">
        <w:lastRenderedPageBreak/>
        <w:t>C.</w:t>
      </w:r>
      <w:r w:rsidRPr="000D1680">
        <w:tab/>
        <w:t>ottaa huomioon, että Norjalla ja EU:lla on tiiviit ja pitkäaikaiset suhteet naapureina ja kumppaneina, niillä on yhteiset poliittiset tavoitteet ja perusarvot ja ne osallistuvat Euroopan talousalueen myötä samoille sisämarkkinoille;</w:t>
      </w:r>
    </w:p>
    <w:p w:rsidR="00391258" w:rsidRPr="000D1680" w:rsidRDefault="00391258" w:rsidP="00385705">
      <w:pPr>
        <w:pStyle w:val="NormalHanging12a"/>
        <w:widowControl/>
      </w:pPr>
      <w:r w:rsidRPr="000D1680">
        <w:t>D.</w:t>
      </w:r>
      <w:r w:rsidRPr="000D1680">
        <w:tab/>
        <w:t>ottaa huomioon, että suuri osa ehdotuksen mukaisesta etsintäalueesta sijaitsee Norjan laajennetulla mannerjalustalla ja että suurta osaa laajennetun mannerjalustan merialueesta pidetään avomerenä ja kansainvälisinä kalastusalueina; ottaa huomioon, että mannerjalustaan sovelletaan vuoden 1920 Huippuvuoria koskevan sopimuksen määräyksiä; ottaa huomioon, että alue kuuluu Huippuvuorten alueen kalastuksen suojeluvyöhykkeen piiriin, mikä antaa sopimusvaltioille, mukaan lukien 22 EU:n jäsenvaltiota ja 23 muuta valtiota, yhtäläiset mahdollisuudet aloittaa kalastustoiminta;</w:t>
      </w:r>
    </w:p>
    <w:p w:rsidR="00391258" w:rsidRPr="000D1680" w:rsidRDefault="00391258" w:rsidP="00385705">
      <w:pPr>
        <w:pStyle w:val="NormalHanging12a"/>
        <w:widowControl/>
      </w:pPr>
      <w:r w:rsidRPr="000D1680">
        <w:t>E.</w:t>
      </w:r>
      <w:r w:rsidRPr="000D1680">
        <w:tab/>
        <w:t>ottaa huomioon, että EU lähetti Norjalle lokakuussa 2023 verbaalinootin, jossa se ilmaisi huolensa syvänmeren kaivostoiminnan merkittävistä kielteisistä vaikutuksista kalakantoihin, kalastukseen ja kalastusalueille pääsyyn, myös Huippuvuorten mannerjalustalla;</w:t>
      </w:r>
    </w:p>
    <w:p w:rsidR="00391258" w:rsidRPr="000D1680" w:rsidRDefault="00391258" w:rsidP="00385705">
      <w:pPr>
        <w:pStyle w:val="NormalHanging12a"/>
        <w:widowControl/>
      </w:pPr>
      <w:r w:rsidRPr="000D1680">
        <w:t>F.</w:t>
      </w:r>
      <w:r w:rsidRPr="000D1680">
        <w:tab/>
        <w:t xml:space="preserve">ottaa huomioon, että Norja on allekirjoittanut Espoon yleissopimuksen ja sen strategista ympäristöarviointia koskevan pöytäkirjan, mikä tarkoittaa, että Norjalla on oikeudellinen velvoite välttää merkittävien </w:t>
      </w:r>
      <w:proofErr w:type="spellStart"/>
      <w:r w:rsidRPr="000D1680">
        <w:t>rajatylittävien</w:t>
      </w:r>
      <w:proofErr w:type="spellEnd"/>
      <w:r w:rsidRPr="000D1680">
        <w:t xml:space="preserve"> vaikutusten aiheuttamista; ottaa huomioon, että Norjalla on myös oikeudellinen velvoite suojella meriympäristöä OSPAR-yleissopimuksen nojalla;</w:t>
      </w:r>
    </w:p>
    <w:p w:rsidR="00391258" w:rsidRPr="000D1680" w:rsidRDefault="00391258" w:rsidP="00385705">
      <w:pPr>
        <w:pStyle w:val="NormalHanging12a"/>
        <w:widowControl/>
      </w:pPr>
      <w:r w:rsidRPr="000D1680">
        <w:t>G.</w:t>
      </w:r>
      <w:r w:rsidRPr="000D1680">
        <w:tab/>
        <w:t xml:space="preserve">ottaa huomioon, että arktisen alueen ekosysteemeillä on todettu olevan ympäristön kannalta keskeinen merkitys biologiselle monimuotoisuudelle, kalakannoille ja ilmaston sääntelylle; ottaa huomioon, että näihin erityisen haavoittuviin ekosysteemeihin kohdistuu jo ilmastonmuutoksen aiheuttamia paineita, minkä seurauksena valtameret happamoituvat ja lämpenevät, mikä todennäköisesti vaikuttaa tärkeiden kalakantojen vaelluskäyttäytymiseen; ottaa huomioon, että mineraalien louhintaan arktisessa merenpohjassa liittyy metaanipäästöjen riski, sillä metaania on varastoitunut </w:t>
      </w:r>
      <w:proofErr w:type="spellStart"/>
      <w:r w:rsidRPr="000D1680">
        <w:t>subglasiaalisiin</w:t>
      </w:r>
      <w:proofErr w:type="spellEnd"/>
      <w:r w:rsidRPr="000D1680">
        <w:t xml:space="preserve"> ekosysteemeihin ja arktiseen ikiroutaan; ottaa huomioon, että arktisen alueen ekosysteemit ovat erittäin herkkiä saasteille ja muille ihmisen toiminnan vaikutuksille; ottaa huomioon, että tarvittavia korjaus- tai puhdistusprosesseja on erittäin vaikea toteuttaa ankarien luonnonolojen ja pitkien välimatkojen vuoksi kohdealueelta satamiin;</w:t>
      </w:r>
    </w:p>
    <w:p w:rsidR="00391258" w:rsidRPr="000D1680" w:rsidRDefault="00391258" w:rsidP="00385705">
      <w:pPr>
        <w:pStyle w:val="NormalHanging12a"/>
        <w:widowControl/>
      </w:pPr>
      <w:r w:rsidRPr="000D1680">
        <w:t>H.</w:t>
      </w:r>
      <w:r w:rsidRPr="000D1680">
        <w:tab/>
        <w:t>ottaa huomioon, että syvämeri on maapallon vanhin suurekosysteemi ja maapallon vähiten tunnettu alue; ottaa huomioon, että syvänmeren biologisen monimuotoisuuden uskotaan olevan suurinta maailmassa ja että syvämeri tarjoaa elintärkeitä ekosysteemipalveluja, muun muassa sitomalla hiiltä pitkäkestoisesti, ja että se on altis ihmisen toiminnan aiheuttamille häiriöille; ottaa huomioon, että noin 90 prosenttia hukkalämmöstä ja 25 prosenttia maailmanlaajuisista hiilidioksidipäästöistä sitoutuu valtameriin; ottaa huomioon, että syvänmeren kaivostoiminnan vaikutukset biologisen monimuotoisuuden köyhtymiseen ja ekosysteemin toimintaan ovat herättäneet vakavaa huolta, ja toteaa, että sen vaikutukset koskevat useita tulevia sukupolvia; katsoo, että valtameret olisi tunnustettava kansainvälisellä tasolla maailman yhteiseksi omaisuudeksi ja niitä olisi suojeltava ottaen huomioon niiden ainutlaatuisuus ja keskinäiset yhteydet toisiinsa sekä niiden tarjoamat olennaiset ekosysteemipalvelut; ottaa huomioon, että nykyisten ja tulevien sukupolvien selviytyminen ja hyvinvointi ovat riippuvaisia näistä palveluista;</w:t>
      </w:r>
    </w:p>
    <w:p w:rsidR="00391258" w:rsidRPr="000D1680" w:rsidRDefault="00391258" w:rsidP="00385705">
      <w:pPr>
        <w:pStyle w:val="NormalHanging12a"/>
        <w:widowControl/>
      </w:pPr>
      <w:r w:rsidRPr="000D1680">
        <w:lastRenderedPageBreak/>
        <w:t>I.</w:t>
      </w:r>
      <w:r w:rsidRPr="000D1680">
        <w:tab/>
        <w:t xml:space="preserve">ottaa huomioon, että BBNJ-sopimus tehtiin kesäkuussa 2023; ottaa huomioon, että EU ja Norja olivat sopimuksen ensimmäisiä allekirjoittajia; ottaa huomioon, että BBNJ-sopimus oli yksi EU:n prioriteeteista ja että se johti maailmanlaajuisia neuvotteluja </w:t>
      </w:r>
      <w:proofErr w:type="spellStart"/>
      <w:r w:rsidRPr="000D1680">
        <w:t>BBNJ:n</w:t>
      </w:r>
      <w:proofErr w:type="spellEnd"/>
      <w:r w:rsidRPr="000D1680">
        <w:t xml:space="preserve"> korkean tavoitetason ryhmässä, joka perustettiin Brestissä helmikuussa 2022 pidetyssä One </w:t>
      </w:r>
      <w:proofErr w:type="spellStart"/>
      <w:r w:rsidRPr="000D1680">
        <w:t>Ocean</w:t>
      </w:r>
      <w:proofErr w:type="spellEnd"/>
      <w:r w:rsidRPr="000D1680">
        <w:t xml:space="preserve"> -huippukokouksessa ja johon myös Norja liittyi; ottaa huomioon, että BBNJ-sopimuksessa edellytetään, että taloudellisen toiminnan vaikutuksia avomeren biologiseen monimuotoisuuteen arvioidaan;</w:t>
      </w:r>
    </w:p>
    <w:p w:rsidR="00391258" w:rsidRPr="000D1680" w:rsidRDefault="00391258" w:rsidP="00385705">
      <w:pPr>
        <w:pStyle w:val="NormalHanging12a"/>
        <w:widowControl/>
      </w:pPr>
      <w:r w:rsidRPr="000D1680">
        <w:t>J.</w:t>
      </w:r>
      <w:r w:rsidRPr="000D1680">
        <w:tab/>
        <w:t>ottaa huomioon, että nykyisen tieteellisen tiedon perusteella ei voida arvioida tarkasti merenpohjan kaivostoiminnan ympäristövaikutuksia ja että tarvitaan lisää kansainvälistä tutkimustyötä, jotta asiasta päästäisiin tieteelliseen yhteisymmärrykseen; ottaa huomioon komission korostaneen, että tarvitaan pitkän aikavälin tutkimusta, jotta syvänmeren kaivostoiminnan vaikutuksia voidaan todella arvioida; ottaa huomioon, että ennenaikaiset koeporaukset ja kaivostoiminta voivat aiheuttaa pysyvää ja peruuttamatonta vahinkoa ekosysteemeille; katsoo, että tarvitaan lisää tieteellistä tutkimusta, jotta voidaan täysin ymmärtää syvänmeren kaivostoiminnan mahdolliset vaikutukset meriympäristöön ja biologiseen monimuotoisuuteen;</w:t>
      </w:r>
    </w:p>
    <w:p w:rsidR="00391258" w:rsidRPr="000D1680" w:rsidRDefault="00391258" w:rsidP="00385705">
      <w:pPr>
        <w:pStyle w:val="NormalHanging12a"/>
        <w:widowControl/>
      </w:pPr>
      <w:r w:rsidRPr="000D1680">
        <w:t>K.</w:t>
      </w:r>
      <w:r w:rsidRPr="000D1680">
        <w:tab/>
        <w:t xml:space="preserve">katsoo, että syvänmerenpohjan kaivostoiminnan aloittaminen tällä alueella voisi olla haitallista sen kalakannoille ja kalastukselle ja vaikuttaa EU:n jäsenvaltioiden alusten pääsyyn alueen kalastusalueille; toteaa, että kansainvälisiä kalastusintressejä, EU:n kalastustoiminta mukaan luettuna, ei ole otettu huomioon päätöstä koskevassa vaikutustenarvioinnissa; ottaa huomioon, että Euroopan aavanmeren ja pitkän matkan laivastojen neuvoa-antava toimikunta, </w:t>
      </w:r>
      <w:proofErr w:type="spellStart"/>
      <w:r w:rsidRPr="000D1680">
        <w:t>pelagisten</w:t>
      </w:r>
      <w:proofErr w:type="spellEnd"/>
      <w:r w:rsidRPr="000D1680">
        <w:t xml:space="preserve"> vesien neuvoa-antava toimikunta ja luoteisten vesien neuvoa-antava toimikunta kehottivat marraskuussa 2021 keskeyttämään syvänmeren kaivostoiminnan vuosina 2020 ja 2019 annettujen vastaavien suositusten mukaisesti; ottaa huomioon, että myös Norjan kalastajayhdistys on suhtautunut päätökseen erittäin kriittisesti;</w:t>
      </w:r>
    </w:p>
    <w:p w:rsidR="00391258" w:rsidRPr="000D1680" w:rsidRDefault="00391258" w:rsidP="00385705">
      <w:pPr>
        <w:pStyle w:val="NormalHanging12a"/>
        <w:widowControl/>
      </w:pPr>
      <w:r w:rsidRPr="000D1680">
        <w:t>L.</w:t>
      </w:r>
      <w:r w:rsidRPr="000D1680">
        <w:tab/>
        <w:t>ottaa huomioon, että yhä useammat valtiot, mukaan lukien seitsemän EU:n jäsenvaltiota (Suomi, Ranska, Saksa, Irlanti, Portugali, Espanja ja Ruotsi), ovat ilmaisseet kannattavansa syvänmeren kaivostoiminnan moratoriota eli keskeyttämistä, varotoimenpiteenä toteutettavaa taukoa tai täydellistä kieltoa; ottaa huomioon, että Kansainvälisen luonnonsuojeluliiton maailmankongressi, mukaan lukien Kansainvälinen merenpohjajärjestö, hyväksyi syyskuussa 2021 ylivoimaisesti esityksen syvänmeren kaivostoiminnan keskeyttämisestä muun muassa Itävallan, Saksan, Portugalin, Romanian, Espanjan ja Ruotsin tuella;</w:t>
      </w:r>
    </w:p>
    <w:p w:rsidR="00391258" w:rsidRPr="000D1680" w:rsidRDefault="00391258" w:rsidP="00385705">
      <w:pPr>
        <w:pStyle w:val="NormalHanging12a"/>
        <w:widowControl/>
      </w:pPr>
      <w:r w:rsidRPr="000D1680">
        <w:t>M.</w:t>
      </w:r>
      <w:r w:rsidRPr="000D1680">
        <w:tab/>
        <w:t xml:space="preserve">ottaa huomioon, että 37 rahoituslaitosta, joiden varojen arvo on yhteensä 3,3 biljoonaa euroa, on esittänyt huolenaiheitaan merenpohjan kaivostoiminnasta Kansainvälisen merenpohjajärjestön jäsenvaltioille; ottaa huomioon, että kansainväliset yritykset, kuten Volvo, BMW, Google, Samsung, </w:t>
      </w:r>
      <w:proofErr w:type="spellStart"/>
      <w:r w:rsidRPr="000D1680">
        <w:t>Phillips</w:t>
      </w:r>
      <w:proofErr w:type="spellEnd"/>
      <w:r w:rsidRPr="000D1680">
        <w:t xml:space="preserve">, </w:t>
      </w:r>
      <w:proofErr w:type="spellStart"/>
      <w:r w:rsidRPr="000D1680">
        <w:t>Northvolt</w:t>
      </w:r>
      <w:proofErr w:type="spellEnd"/>
      <w:r w:rsidRPr="000D1680">
        <w:t xml:space="preserve"> ja Volkswagen, ovat ilmaisseet tukensa syvänmerenpohjan kaivostoiminnan keskeyttämiselle ja ovat sitoutuneet olemaan hankkimatta syvänmerenpohjasta peräisin olevia mineraaleja tai rahoittamatta niiden louhintaa; ottaa huomioon, että Norjan suurin yritys </w:t>
      </w:r>
      <w:proofErr w:type="spellStart"/>
      <w:r w:rsidRPr="000D1680">
        <w:t>Equinor</w:t>
      </w:r>
      <w:proofErr w:type="spellEnd"/>
      <w:r w:rsidRPr="000D1680">
        <w:t xml:space="preserve"> on korostanut tarvetta hankkia enemmän tietoa Norjan rannikon edustalla harjoitettavasta syvänmeren kaivostoiminnasta ja todennut, että se ei ole ympäristöriskien vuoksi vielä toteuttamiskelpoista; ottaa huomioon, että YK:n ympäristöohjelman rahoitusaloite on varoittanut rahoitusyhteisöä siitä, että ei vaikuta todennäköiseltä, että syvänmeren nykymuotoisen kaivostoiminnan rahoitus olisi kestävän sinisen talouden rahoitusperiaatteiden mukaista;</w:t>
      </w:r>
    </w:p>
    <w:p w:rsidR="00391258" w:rsidRPr="000D1680" w:rsidRDefault="00391258" w:rsidP="00385705">
      <w:pPr>
        <w:pStyle w:val="NormalHanging12a"/>
        <w:widowControl/>
      </w:pPr>
      <w:r w:rsidRPr="000D1680">
        <w:lastRenderedPageBreak/>
        <w:t>N.</w:t>
      </w:r>
      <w:r w:rsidRPr="000D1680">
        <w:tab/>
        <w:t>katsoo, että suureen osaan raaka-aineiden kysynnästä voidaan ja pitäisi vastata kierrätys- ja kiertotalouden toimenpiteillä, korvaavien materiaalien kehittämisellä ja kysynnän vähentämiseen tähtäävillä politiikoilla;</w:t>
      </w:r>
    </w:p>
    <w:p w:rsidR="00391258" w:rsidRPr="000D1680" w:rsidRDefault="00391258" w:rsidP="00385705">
      <w:pPr>
        <w:pStyle w:val="NormalHanging12a"/>
        <w:widowControl/>
      </w:pPr>
      <w:r w:rsidRPr="000D1680">
        <w:t>1.</w:t>
      </w:r>
      <w:r w:rsidRPr="000D1680">
        <w:tab/>
        <w:t xml:space="preserve">ilmaisee huolensa </w:t>
      </w:r>
      <w:proofErr w:type="spellStart"/>
      <w:r w:rsidRPr="000D1680">
        <w:t>Stortingetin</w:t>
      </w:r>
      <w:proofErr w:type="spellEnd"/>
      <w:r w:rsidRPr="000D1680">
        <w:t xml:space="preserve"> 9. tammikuuta 2024 tekemästä päätöksestä avata alueita syvänmerenpohjan kaivostoiminnalle;</w:t>
      </w:r>
    </w:p>
    <w:p w:rsidR="00391258" w:rsidRPr="000D1680" w:rsidRDefault="00391258" w:rsidP="00385705">
      <w:pPr>
        <w:pStyle w:val="NormalHanging12a"/>
        <w:widowControl/>
      </w:pPr>
      <w:r w:rsidRPr="000D1680">
        <w:t>2.</w:t>
      </w:r>
      <w:r w:rsidRPr="000D1680">
        <w:tab/>
        <w:t xml:space="preserve">panee merkille, että </w:t>
      </w:r>
      <w:proofErr w:type="spellStart"/>
      <w:r w:rsidRPr="000D1680">
        <w:t>Stortingetin</w:t>
      </w:r>
      <w:proofErr w:type="spellEnd"/>
      <w:r w:rsidRPr="000D1680">
        <w:t xml:space="preserve"> päätökseen sisältyy prosessi, joka kattaa mahdollisen kaivostoiminnan ympäristövaikutusten jatkuvan kartoituksen, tiedonkeruun ja arvioinnin, eikä louhintatoimille myönnetä lupaa automaattisesti, koska päätöksen mukaan </w:t>
      </w:r>
      <w:proofErr w:type="spellStart"/>
      <w:r w:rsidRPr="000D1680">
        <w:t>Stortingetin</w:t>
      </w:r>
      <w:proofErr w:type="spellEnd"/>
      <w:r w:rsidRPr="000D1680">
        <w:t xml:space="preserve"> on hyväksyttävä ensimmäiset louhintasuunnitelmat;</w:t>
      </w:r>
    </w:p>
    <w:p w:rsidR="00391258" w:rsidRPr="000D1680" w:rsidRDefault="00391258" w:rsidP="00385705">
      <w:pPr>
        <w:pStyle w:val="NormalHanging12a"/>
        <w:widowControl/>
      </w:pPr>
      <w:r w:rsidRPr="000D1680">
        <w:t>3.</w:t>
      </w:r>
      <w:r w:rsidRPr="000D1680">
        <w:tab/>
        <w:t xml:space="preserve">toistaa komissiolle ja jäsenvaltioille esittämänsä kehotukset tukea syvänmeren kaivostoiminnan kansainvälistä moratoriota, myös Kansainvälisessä merenpohjajärjestössä, kunnes syvänmeren kaivostoiminnan vaikutuksia meriympäristöön, </w:t>
      </w:r>
      <w:proofErr w:type="spellStart"/>
      <w:r w:rsidRPr="000D1680">
        <w:t>biodiversiteettiin</w:t>
      </w:r>
      <w:proofErr w:type="spellEnd"/>
      <w:r w:rsidRPr="000D1680">
        <w:t xml:space="preserve"> ja ihmisen toimintaan merellä on tutkittu riittävästi ja kunnes syvänmeren kaivostoimintaa voidaan hallita niin, ettei merten </w:t>
      </w:r>
      <w:proofErr w:type="spellStart"/>
      <w:r w:rsidRPr="000D1680">
        <w:t>biodiversiteetti</w:t>
      </w:r>
      <w:proofErr w:type="spellEnd"/>
      <w:r w:rsidRPr="000D1680">
        <w:t xml:space="preserve"> köyhdy eikä merten ekosysteemien tila heikenny; kehottaa kaikkia maita soveltamaan varovaisuusperiaatetta ja tukemaan syvänmeren kaivostoiminnan kansainvälistä moratoriota;</w:t>
      </w:r>
    </w:p>
    <w:p w:rsidR="00391258" w:rsidRPr="000D1680" w:rsidRDefault="00391258" w:rsidP="00385705">
      <w:pPr>
        <w:pStyle w:val="NormalHanging12a"/>
        <w:widowControl/>
      </w:pPr>
      <w:r w:rsidRPr="000D1680">
        <w:t>4.</w:t>
      </w:r>
      <w:r w:rsidRPr="000D1680">
        <w:tab/>
        <w:t xml:space="preserve">palauttaa mieliin Norjan velvoitteet osapuolena useissa sopimuksissa, erityisesti Huippuvuoria koskevassa sopimuksessa, kyseisen alueen kalakantojen hoitoa koskevissa sopimuksissa, OSPAR-yleissopimuksessa </w:t>
      </w:r>
      <w:proofErr w:type="spellStart"/>
      <w:r w:rsidRPr="000D1680">
        <w:t>Koillis</w:t>
      </w:r>
      <w:proofErr w:type="spellEnd"/>
      <w:r w:rsidRPr="000D1680">
        <w:t>-Atlantin merellisen ympäristön, myös arktisten vesien, suojelemisesta ihmisen toiminnan haitallisilta vaikutuksilta sekä Espoon yleissopimuksessa; korostaa, että sekä EU että Norja ovat allekirjoittaneet BBNJ-sopimuksen, ja kehottaa kaikkia YK:n merioikeusyleissopimuksen osapuolia, myös Norjaa, allekirjoittamaan ja ratifioimaan BBNJ-sopimuksen viipymättä;</w:t>
      </w:r>
    </w:p>
    <w:p w:rsidR="00391258" w:rsidRPr="000D1680" w:rsidRDefault="00391258" w:rsidP="00385705">
      <w:pPr>
        <w:pStyle w:val="NormalHanging12a"/>
        <w:widowControl/>
      </w:pPr>
      <w:r w:rsidRPr="000D1680">
        <w:t>5.</w:t>
      </w:r>
      <w:r w:rsidRPr="000D1680">
        <w:tab/>
        <w:t>kehottaa Norjaa jatkamaan yhteistyötä EU:n kanssa keskinäisen kumppanuuden ja huhtikuussa 2023 allekirjoitetun vihreän allianssin hengessä, jotta voidaan puuttua kaikkiin huolenaiheisiin ja varmistaa meriympäristön ja arktisen alueen ekosysteemien suojelu; kehottaa komissiota ja Norjaa käymään jatkuvaa vuoropuhelua ja vaihtamaan tietoja tieteellisestä tutkimuksesta sekä tietämystä merenpohjasta ja valtamerten kestävästä hoidosta; korostaa, että Norja ja EU noudattavat strategioidensa kautta samanlaista tasapainoisen raaka-ainepolitiikan lähestymistapaa, joka perustuu kysynnän vähentämiseen, tehokkuuteen, jätevirtojen käyttöön sekä materiaalien uudelleenkäyttöön, kierrätykseen ja korvaamiseen;</w:t>
      </w:r>
    </w:p>
    <w:p w:rsidR="00E365E1" w:rsidRPr="000D1680" w:rsidRDefault="00391258" w:rsidP="00385705">
      <w:pPr>
        <w:pStyle w:val="NormalHanging12a"/>
        <w:widowControl/>
      </w:pPr>
      <w:r w:rsidRPr="000D1680">
        <w:t>6.</w:t>
      </w:r>
      <w:r w:rsidRPr="000D1680">
        <w:tab/>
        <w:t xml:space="preserve">kehottaa puhemiestä välittämään tämän päätöslauselman neuvostolle, komissiolle, </w:t>
      </w:r>
      <w:proofErr w:type="spellStart"/>
      <w:r w:rsidRPr="000D1680">
        <w:t>Stortingetille</w:t>
      </w:r>
      <w:proofErr w:type="spellEnd"/>
      <w:r w:rsidRPr="000D1680">
        <w:t xml:space="preserve"> ja Norjan hallitukselle.</w:t>
      </w:r>
      <w:bookmarkStart w:id="8" w:name="TextBodyEnd"/>
      <w:bookmarkEnd w:id="8"/>
    </w:p>
    <w:sectPr w:rsidR="00E365E1" w:rsidRPr="000D1680" w:rsidSect="000D168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8E4" w:rsidRPr="000D1680" w:rsidRDefault="00D578E4">
      <w:r w:rsidRPr="000D1680">
        <w:separator/>
      </w:r>
    </w:p>
  </w:endnote>
  <w:endnote w:type="continuationSeparator" w:id="0">
    <w:p w:rsidR="00D578E4" w:rsidRPr="000D1680" w:rsidRDefault="00D578E4">
      <w:r w:rsidRPr="000D16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8E4" w:rsidRPr="000D1680" w:rsidRDefault="00D578E4">
      <w:r w:rsidRPr="000D1680">
        <w:separator/>
      </w:r>
    </w:p>
  </w:footnote>
  <w:footnote w:type="continuationSeparator" w:id="0">
    <w:p w:rsidR="00D578E4" w:rsidRPr="000D1680" w:rsidRDefault="00D578E4">
      <w:r w:rsidRPr="000D1680">
        <w:continuationSeparator/>
      </w:r>
    </w:p>
  </w:footnote>
  <w:footnote w:id="1">
    <w:p w:rsidR="00391258" w:rsidRPr="000D1680" w:rsidRDefault="00391258" w:rsidP="000D1680">
      <w:pPr>
        <w:pStyle w:val="FootnoteText"/>
        <w:ind w:left="567" w:hanging="567"/>
        <w:rPr>
          <w:sz w:val="24"/>
          <w:lang w:val="fi-FI"/>
        </w:rPr>
      </w:pPr>
      <w:r w:rsidRPr="000D1680">
        <w:rPr>
          <w:rStyle w:val="FootnoteReference"/>
          <w:sz w:val="24"/>
          <w:lang w:val="fi-FI"/>
        </w:rPr>
        <w:footnoteRef/>
      </w:r>
      <w:r w:rsidR="000D1680" w:rsidRPr="000D1680">
        <w:rPr>
          <w:sz w:val="24"/>
          <w:lang w:val="fi-FI"/>
        </w:rPr>
        <w:t xml:space="preserve"> </w:t>
      </w:r>
      <w:r w:rsidR="000D1680" w:rsidRPr="000D1680">
        <w:rPr>
          <w:sz w:val="24"/>
          <w:lang w:val="fi-FI"/>
        </w:rPr>
        <w:tab/>
      </w:r>
      <w:r w:rsidRPr="000D1680">
        <w:rPr>
          <w:sz w:val="24"/>
          <w:lang w:val="fi-FI"/>
        </w:rPr>
        <w:t>EUVL C 67, 8.2.2022, s. 25.</w:t>
      </w:r>
    </w:p>
  </w:footnote>
  <w:footnote w:id="2">
    <w:p w:rsidR="00391258" w:rsidRPr="000D1680" w:rsidRDefault="00391258" w:rsidP="000D1680">
      <w:pPr>
        <w:pStyle w:val="FootnoteText"/>
        <w:ind w:left="567" w:hanging="567"/>
        <w:rPr>
          <w:sz w:val="24"/>
          <w:lang w:val="fi-FI"/>
        </w:rPr>
      </w:pPr>
      <w:r w:rsidRPr="000D1680">
        <w:rPr>
          <w:rStyle w:val="FootnoteReference"/>
          <w:sz w:val="24"/>
          <w:lang w:val="fi-FI"/>
        </w:rPr>
        <w:footnoteRef/>
      </w:r>
      <w:r w:rsidR="000D1680" w:rsidRPr="000D1680">
        <w:rPr>
          <w:sz w:val="24"/>
          <w:lang w:val="fi-FI"/>
        </w:rPr>
        <w:t xml:space="preserve"> </w:t>
      </w:r>
      <w:r w:rsidR="000D1680" w:rsidRPr="000D1680">
        <w:rPr>
          <w:sz w:val="24"/>
          <w:lang w:val="fi-FI"/>
        </w:rPr>
        <w:tab/>
      </w:r>
      <w:r w:rsidRPr="000D1680">
        <w:rPr>
          <w:sz w:val="24"/>
          <w:lang w:val="fi-FI"/>
        </w:rPr>
        <w:t>EUVL C 465, 6.12.2022, s. 2.</w:t>
      </w:r>
    </w:p>
  </w:footnote>
  <w:footnote w:id="3">
    <w:p w:rsidR="00391258" w:rsidRPr="000D1680" w:rsidRDefault="00391258" w:rsidP="000D1680">
      <w:pPr>
        <w:pStyle w:val="FootnoteText"/>
        <w:ind w:left="567" w:hanging="567"/>
        <w:rPr>
          <w:sz w:val="24"/>
          <w:lang w:val="fi-FI"/>
        </w:rPr>
      </w:pPr>
      <w:r w:rsidRPr="000D1680">
        <w:rPr>
          <w:rStyle w:val="FootnoteReference"/>
          <w:sz w:val="24"/>
          <w:lang w:val="fi-FI"/>
        </w:rPr>
        <w:footnoteRef/>
      </w:r>
      <w:r w:rsidR="000D1680" w:rsidRPr="000D1680">
        <w:rPr>
          <w:sz w:val="24"/>
          <w:lang w:val="fi-FI"/>
        </w:rPr>
        <w:t xml:space="preserve"> </w:t>
      </w:r>
      <w:r w:rsidR="000D1680" w:rsidRPr="000D1680">
        <w:rPr>
          <w:sz w:val="24"/>
          <w:lang w:val="fi-FI"/>
        </w:rPr>
        <w:tab/>
      </w:r>
      <w:r w:rsidRPr="000D1680">
        <w:rPr>
          <w:sz w:val="24"/>
          <w:lang w:val="fi-FI"/>
        </w:rPr>
        <w:t>EUVL C 132, 24.3.2022, s. 113.</w:t>
      </w:r>
    </w:p>
  </w:footnote>
  <w:footnote w:id="4">
    <w:p w:rsidR="00391258" w:rsidRPr="000D1680" w:rsidRDefault="00391258" w:rsidP="000D1680">
      <w:pPr>
        <w:pStyle w:val="FootnoteText"/>
        <w:ind w:left="567" w:hanging="567"/>
        <w:rPr>
          <w:sz w:val="24"/>
          <w:lang w:val="fi-FI"/>
        </w:rPr>
      </w:pPr>
      <w:r w:rsidRPr="000D1680">
        <w:rPr>
          <w:rStyle w:val="FootnoteReference"/>
          <w:sz w:val="24"/>
          <w:lang w:val="fi-FI"/>
        </w:rPr>
        <w:footnoteRef/>
      </w:r>
      <w:r w:rsidR="000D1680" w:rsidRPr="000D1680">
        <w:rPr>
          <w:sz w:val="24"/>
          <w:lang w:val="fi-FI"/>
        </w:rPr>
        <w:t xml:space="preserve"> </w:t>
      </w:r>
      <w:r w:rsidR="000D1680" w:rsidRPr="000D1680">
        <w:rPr>
          <w:sz w:val="24"/>
          <w:lang w:val="fi-FI"/>
        </w:rPr>
        <w:tab/>
      </w:r>
      <w:r w:rsidRPr="000D1680">
        <w:rPr>
          <w:sz w:val="24"/>
          <w:lang w:val="fi-FI"/>
        </w:rPr>
        <w:t>EUVL C 458, 19.12.2018, s. 9.</w:t>
      </w:r>
    </w:p>
  </w:footnote>
  <w:footnote w:id="5">
    <w:p w:rsidR="00391258" w:rsidRPr="000D1680" w:rsidRDefault="00391258" w:rsidP="000D1680">
      <w:pPr>
        <w:pStyle w:val="FootnoteText"/>
        <w:ind w:left="567" w:hanging="567"/>
        <w:rPr>
          <w:sz w:val="24"/>
          <w:lang w:val="fi-FI"/>
        </w:rPr>
      </w:pPr>
      <w:r w:rsidRPr="000D1680">
        <w:rPr>
          <w:rStyle w:val="FootnoteReference"/>
          <w:sz w:val="24"/>
          <w:lang w:val="fi-FI"/>
        </w:rPr>
        <w:footnoteRef/>
      </w:r>
      <w:r w:rsidR="000D1680" w:rsidRPr="000D1680">
        <w:rPr>
          <w:sz w:val="24"/>
          <w:lang w:val="fi-FI"/>
        </w:rPr>
        <w:t xml:space="preserve"> </w:t>
      </w:r>
      <w:r w:rsidR="000D1680" w:rsidRPr="000D1680">
        <w:rPr>
          <w:sz w:val="24"/>
          <w:lang w:val="fi-FI"/>
        </w:rPr>
        <w:tab/>
      </w:r>
      <w:r w:rsidRPr="000D1680">
        <w:rPr>
          <w:sz w:val="24"/>
          <w:lang w:val="fi-FI"/>
        </w:rPr>
        <w:t>EUVL C 132, 14.4.2023, s. 106.</w:t>
      </w:r>
    </w:p>
  </w:footnote>
  <w:footnote w:id="6">
    <w:p w:rsidR="00391258" w:rsidRPr="000D1680" w:rsidRDefault="00391258" w:rsidP="000D1680">
      <w:pPr>
        <w:pStyle w:val="FootnoteText"/>
        <w:ind w:left="567" w:hanging="567"/>
        <w:rPr>
          <w:sz w:val="24"/>
          <w:lang w:val="fi-FI"/>
        </w:rPr>
      </w:pPr>
      <w:r w:rsidRPr="000D1680">
        <w:rPr>
          <w:rStyle w:val="FootnoteReference"/>
          <w:sz w:val="24"/>
          <w:lang w:val="fi-FI"/>
        </w:rPr>
        <w:footnoteRef/>
      </w:r>
      <w:r w:rsidR="000D1680" w:rsidRPr="000D1680">
        <w:rPr>
          <w:sz w:val="24"/>
          <w:lang w:val="fi-FI"/>
        </w:rPr>
        <w:t xml:space="preserve"> </w:t>
      </w:r>
      <w:r w:rsidR="000D1680" w:rsidRPr="000D1680">
        <w:rPr>
          <w:sz w:val="24"/>
          <w:lang w:val="fi-FI"/>
        </w:rPr>
        <w:tab/>
      </w:r>
      <w:r w:rsidRPr="000D1680">
        <w:rPr>
          <w:sz w:val="24"/>
          <w:lang w:val="fi-FI"/>
        </w:rPr>
        <w:t>EYVL C 104, 24.4.1992, s. 7.</w:t>
      </w:r>
    </w:p>
  </w:footnote>
  <w:footnote w:id="7">
    <w:p w:rsidR="00391258" w:rsidRPr="000D1680" w:rsidRDefault="00391258" w:rsidP="000D1680">
      <w:pPr>
        <w:pStyle w:val="FootnoteText"/>
        <w:ind w:left="567" w:hanging="567"/>
        <w:rPr>
          <w:sz w:val="24"/>
          <w:lang w:val="fi-FI"/>
        </w:rPr>
      </w:pPr>
      <w:r w:rsidRPr="000D1680">
        <w:rPr>
          <w:rStyle w:val="FootnoteReference"/>
          <w:sz w:val="24"/>
          <w:lang w:val="fi-FI"/>
        </w:rPr>
        <w:footnoteRef/>
      </w:r>
      <w:r w:rsidR="000D1680" w:rsidRPr="000D1680">
        <w:rPr>
          <w:sz w:val="24"/>
          <w:lang w:val="fi-FI"/>
        </w:rPr>
        <w:t xml:space="preserve"> </w:t>
      </w:r>
      <w:r w:rsidR="000D1680" w:rsidRPr="000D1680">
        <w:rPr>
          <w:sz w:val="24"/>
          <w:lang w:val="fi-FI"/>
        </w:rPr>
        <w:tab/>
      </w:r>
      <w:r w:rsidRPr="000D1680">
        <w:rPr>
          <w:sz w:val="24"/>
          <w:lang w:val="fi-FI"/>
        </w:rPr>
        <w:t>EUVL L 308, 19.11.2008, s. 35.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5/2024"/>
    <w:docVar w:name="dvlangue" w:val="FI"/>
    <w:docVar w:name="dvnumam" w:val="0"/>
    <w:docVar w:name="dvpe" w:val="756.838"/>
    <w:docVar w:name="dvtitre" w:val="Euroopan parlamentin päätöslauselma xx. helmikuuta 2024 Norjan hiljattain tekemästä päätöksestä edistää merenpohjan kaivostoimintaa arktisella alueella(2024/2520(RSP))"/>
  </w:docVars>
  <w:rsids>
    <w:rsidRoot w:val="00D578E4"/>
    <w:rsid w:val="00002272"/>
    <w:rsid w:val="00064002"/>
    <w:rsid w:val="000677B9"/>
    <w:rsid w:val="000831BA"/>
    <w:rsid w:val="000A42CC"/>
    <w:rsid w:val="000D168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5705"/>
    <w:rsid w:val="00391258"/>
    <w:rsid w:val="00395FA1"/>
    <w:rsid w:val="003E15D4"/>
    <w:rsid w:val="00411CCE"/>
    <w:rsid w:val="0041666E"/>
    <w:rsid w:val="00421060"/>
    <w:rsid w:val="00471C19"/>
    <w:rsid w:val="0047586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8E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D1E9FC"/>
  <w15:chartTrackingRefBased/>
  <w15:docId w15:val="{960335EF-CC6C-4DF6-8666-DE0967CB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91258"/>
    <w:pPr>
      <w:spacing w:before="480" w:after="240"/>
    </w:pPr>
  </w:style>
  <w:style w:type="paragraph" w:customStyle="1" w:styleId="NormalHanging12a">
    <w:name w:val="NormalHanging12a"/>
    <w:basedOn w:val="Normal"/>
    <w:rsid w:val="00391258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3857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85705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73148-1011-4AC9-A35A-7BB4E7815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1710</Words>
  <Characters>14885</Characters>
  <Application>Microsoft Office Word</Application>
  <DocSecurity>0</DocSecurity>
  <Lines>124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2024-02-07T08:30:00Z</dcterms:created>
  <dcterms:modified xsi:type="dcterms:W3CDTF">2024-02-07T08:30:00Z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B9-0095/2024</vt:lpwstr>
  </property>
  <property fmtid="{D5CDD505-2E9C-101B-9397-08002B2CF9AE}" pid="4" name="&lt;Type&gt;">
    <vt:lpwstr>RR</vt:lpwstr>
  </property>
</Properties>
</file>