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3546D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3546D" w:rsidRDefault="00B0047B" w:rsidP="0010095E">
            <w:pPr>
              <w:pStyle w:val="EPName"/>
            </w:pPr>
            <w:r w:rsidRPr="0073546D">
              <w:t>Parlament Europejski</w:t>
            </w:r>
          </w:p>
          <w:p w:rsidR="00751A4A" w:rsidRPr="0073546D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3546D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73546D" w:rsidRDefault="00187494" w:rsidP="0010095E">
            <w:pPr>
              <w:pStyle w:val="EPLogo"/>
            </w:pPr>
            <w:r w:rsidRPr="0073546D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3546D" w:rsidRDefault="00D058B8" w:rsidP="004C5D52">
      <w:pPr>
        <w:pStyle w:val="LineTop"/>
      </w:pPr>
    </w:p>
    <w:p w:rsidR="00680577" w:rsidRPr="0073546D" w:rsidRDefault="00B0047B" w:rsidP="00680577">
      <w:pPr>
        <w:pStyle w:val="EPBodyTA1"/>
      </w:pPr>
      <w:r w:rsidRPr="0073546D">
        <w:t>TEKSTY PRZYJĘTE</w:t>
      </w:r>
    </w:p>
    <w:p w:rsidR="00D058B8" w:rsidRPr="0073546D" w:rsidRDefault="00D058B8" w:rsidP="00D058B8">
      <w:pPr>
        <w:pStyle w:val="LineBottom"/>
      </w:pPr>
    </w:p>
    <w:p w:rsidR="00B0047B" w:rsidRPr="0073546D" w:rsidRDefault="00B0047B" w:rsidP="00B0047B">
      <w:pPr>
        <w:pStyle w:val="ATHeading1"/>
      </w:pPr>
      <w:bookmarkStart w:id="0" w:name="TANumber"/>
      <w:r w:rsidRPr="0073546D">
        <w:t>P9_TA(2024)00</w:t>
      </w:r>
      <w:bookmarkEnd w:id="0"/>
      <w:r w:rsidR="00ED24C4">
        <w:t>68</w:t>
      </w:r>
    </w:p>
    <w:p w:rsidR="00B0047B" w:rsidRPr="0073546D" w:rsidRDefault="00B0047B" w:rsidP="00B0047B">
      <w:pPr>
        <w:pStyle w:val="ATHeading2"/>
      </w:pPr>
      <w:bookmarkStart w:id="1" w:name="title"/>
      <w:r w:rsidRPr="0073546D">
        <w:t>Niedawna decyzja Norwegii o rozpoczęciu górnictwa głębokomorskiego w Arktyce</w:t>
      </w:r>
      <w:bookmarkEnd w:id="1"/>
    </w:p>
    <w:p w:rsidR="00B0047B" w:rsidRPr="0073546D" w:rsidRDefault="00B0047B" w:rsidP="00B0047B">
      <w:pPr>
        <w:rPr>
          <w:i/>
          <w:vanish/>
        </w:rPr>
      </w:pPr>
      <w:r w:rsidRPr="0073546D">
        <w:rPr>
          <w:i/>
        </w:rPr>
        <w:fldChar w:fldCharType="begin"/>
      </w:r>
      <w:r w:rsidRPr="0073546D">
        <w:rPr>
          <w:i/>
        </w:rPr>
        <w:instrText xml:space="preserve"> TC"(</w:instrText>
      </w:r>
      <w:bookmarkStart w:id="2" w:name="DocNumber"/>
      <w:r w:rsidRPr="0073546D">
        <w:rPr>
          <w:i/>
        </w:rPr>
        <w:instrText>B</w:instrText>
      </w:r>
      <w:proofErr w:type="gramStart"/>
      <w:r w:rsidRPr="0073546D">
        <w:rPr>
          <w:i/>
        </w:rPr>
        <w:instrText>9-0095/2024</w:instrText>
      </w:r>
      <w:bookmarkEnd w:id="2"/>
      <w:r w:rsidRPr="0073546D">
        <w:rPr>
          <w:i/>
        </w:rPr>
        <w:instrText>)"\l</w:instrText>
      </w:r>
      <w:proofErr w:type="gramEnd"/>
      <w:r w:rsidRPr="0073546D">
        <w:rPr>
          <w:i/>
        </w:rPr>
        <w:instrText xml:space="preserve">3 \n&gt; \* MERGEFORMAT </w:instrText>
      </w:r>
      <w:r w:rsidRPr="0073546D">
        <w:rPr>
          <w:i/>
        </w:rPr>
        <w:fldChar w:fldCharType="end"/>
      </w:r>
    </w:p>
    <w:p w:rsidR="00B0047B" w:rsidRPr="0073546D" w:rsidRDefault="00B0047B" w:rsidP="00B0047B">
      <w:pPr>
        <w:rPr>
          <w:vanish/>
        </w:rPr>
      </w:pPr>
      <w:bookmarkStart w:id="3" w:name="PE"/>
      <w:r w:rsidRPr="0073546D">
        <w:rPr>
          <w:vanish/>
        </w:rPr>
        <w:t>PE756.838</w:t>
      </w:r>
      <w:bookmarkEnd w:id="3"/>
    </w:p>
    <w:p w:rsidR="00B0047B" w:rsidRPr="0073546D" w:rsidRDefault="00B0047B" w:rsidP="00B0047B">
      <w:pPr>
        <w:pStyle w:val="ATHeading3"/>
      </w:pPr>
      <w:bookmarkStart w:id="4" w:name="Sujet"/>
      <w:r w:rsidRPr="0073546D">
        <w:t xml:space="preserve">Rezolucja Parlamentu Europejskiego z dnia </w:t>
      </w:r>
      <w:r w:rsidR="001E763B">
        <w:t>7 lutego</w:t>
      </w:r>
      <w:r w:rsidRPr="0073546D">
        <w:t xml:space="preserve"> 2024 r. w sprawie niedawnej decyzji Norwegii o rozpoczęciu górnictwa głębokomorskiego w Arktyce</w:t>
      </w:r>
      <w:bookmarkEnd w:id="4"/>
      <w:r w:rsidRPr="0073546D">
        <w:t xml:space="preserve"> </w:t>
      </w:r>
      <w:bookmarkStart w:id="5" w:name="References"/>
      <w:r w:rsidRPr="0073546D">
        <w:t>(2024/2520(RSP))</w:t>
      </w:r>
      <w:bookmarkEnd w:id="5"/>
    </w:p>
    <w:p w:rsidR="002E2AFE" w:rsidRPr="0073546D" w:rsidRDefault="002E2AFE" w:rsidP="002E2AFE">
      <w:pPr>
        <w:pStyle w:val="EPComma"/>
      </w:pPr>
      <w:bookmarkStart w:id="6" w:name="TextBodyBegin"/>
      <w:bookmarkEnd w:id="6"/>
      <w:r w:rsidRPr="0073546D">
        <w:rPr>
          <w:i/>
        </w:rPr>
        <w:t>Parlament Europejski</w:t>
      </w:r>
      <w:r w:rsidRPr="0073546D">
        <w:t>,</w:t>
      </w:r>
      <w:bookmarkStart w:id="7" w:name="_GoBack"/>
      <w:bookmarkEnd w:id="7"/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decyzję parlamentu norweskiego z 9 stycznia 2024 r. w sprawie działalności wydobywczej na norweskim szelfie kontynentalnym – otwarcie obszaru i strategia zarządzania zasobami,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przeprowadzoną przez norweskie Ministerstwo Energii strategiczną ocenę oddziaływania na środowisko minerałów z dna morskiego na norweskim szelfie kontynentalnym z 27 października 2022 r.,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sprawozdanie rządu norweskiego z 20 czerwca 2023 r. w sprawie działalności wydobywczej na norweskim szelfie kontynentalnym – otwarcie obszaru i strategia zarządzania zasobami,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oświadczenie Norweskiej Agencji Środowiska z 27 stycznia 2023 r. w sprawie wysłuchania i oceny skutków działalności dotyczących wydobycia minerałów na norweskim szelfie kontynentalnym,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komunikat Komisji z 11 grudnia 2019 r. pt. „Europejski Zielony Ład” (COM(2019)0640),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komunikat Komisji z 20 maja 2020 r. pt. „Unijna strategia na rzecz bioróżnorodności 2030: Przywracanie przyrody do naszego życia” (COM</w:t>
      </w:r>
      <w:proofErr w:type="gramStart"/>
      <w:r w:rsidRPr="0073546D">
        <w:t>(2020)0380) oraz</w:t>
      </w:r>
      <w:proofErr w:type="gramEnd"/>
      <w:r w:rsidRPr="0073546D">
        <w:t xml:space="preserve"> rezolucję Parlamentu z 9 czerwca 2021 r. w sprawie tej strategii</w:t>
      </w:r>
      <w:r w:rsidRPr="0073546D">
        <w:rPr>
          <w:rStyle w:val="FootnoteReference"/>
        </w:rPr>
        <w:footnoteReference w:id="1"/>
      </w:r>
      <w:r w:rsidRPr="0073546D">
        <w:t>, a także konkluzje Rady z 23 października 2020 r.,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 xml:space="preserve">uwzględniając komunikat Komisji z 17 maja 2021 r. w sprawie nowego podejścia do zrównoważonej niebieskiej gospodarki w UE – „Przekształcenie niebieskiej gospodarki </w:t>
      </w:r>
      <w:r w:rsidRPr="0073546D">
        <w:lastRenderedPageBreak/>
        <w:t>UE na rzecz zrównoważonej przyszłości” (COM(2021)0240),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swoją rezolucję z 3 maja 2022 r. pt. „W kierunku zrównoważonej niebieskiej gospodarki w UE: rola sektorów rybołówstwa i akwakultury”</w:t>
      </w:r>
      <w:r w:rsidRPr="0073546D">
        <w:rPr>
          <w:rStyle w:val="FootnoteReference"/>
        </w:rPr>
        <w:footnoteReference w:id="2"/>
      </w:r>
      <w:r w:rsidRPr="0073546D">
        <w:t>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swoją rezolucję z 7 października 2021 r. w sprawie Arktyki: możliwości, obawy i wyzwania związane z bezpieczeństwem</w:t>
      </w:r>
      <w:r w:rsidRPr="0073546D">
        <w:rPr>
          <w:rStyle w:val="FootnoteReference"/>
        </w:rPr>
        <w:footnoteReference w:id="3"/>
      </w:r>
      <w:r w:rsidRPr="0073546D">
        <w:t>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swoją rezolucję z 16 stycznia 2018 r. w sprawie międzynarodowego zarządzania oceanami – program działań na rzecz przyszłości oceanów w kontekście celów zrównoważonego rozwoju do roku 2030</w:t>
      </w:r>
      <w:r w:rsidRPr="0073546D">
        <w:rPr>
          <w:rStyle w:val="FootnoteReference"/>
        </w:rPr>
        <w:footnoteReference w:id="4"/>
      </w:r>
      <w:r w:rsidRPr="0073546D">
        <w:t>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swoją rezolucję z 6 października 2022 r. w sprawie impulsu do działań na rzecz oceanów w celu poprawy zarządzania oceanami i różnorodności biologicznej</w:t>
      </w:r>
      <w:r w:rsidRPr="0073546D">
        <w:rPr>
          <w:rStyle w:val="FootnoteReference"/>
        </w:rPr>
        <w:footnoteReference w:id="5"/>
      </w:r>
      <w:r w:rsidRPr="0073546D">
        <w:t>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wspólny komunikat Komisji i wysokiego przedstawiciela Unii do spraw zagranicznych i polityki bezpieczeństwa z 24 czerwca 2022 r. pt. „Wyznaczenie kierunku działań na rzecz zrównoważonej niebieskiej planety – wspólny komunikat w sprawie unijnego programu międzynarodowego zarządzania oceanami” (JOIN(2022)0028),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 xml:space="preserve">uwzględniając wspólny komunikat Komisji i wysokiego przedstawiciela Unii do spraw zagranicznych i polityki bezpieczeństwa z 10 listopada 2016 r. pt. „Międzynarodowe zarządzanie oceanami – program działań na rzecz przyszłości oceanów” (JOIN(2016)0049), 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notę werbalną Komisji nr 21/13 z października 2023 r. wysłaną do Ministerstwa Spraw Zagranicznych Królestwa Norwegii,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Konwencję o różnorodności biologicznej, która weszła w życie 29 grudnia 1993 r., globalne ramy różnorodności biologicznej z Kunming/Montrealu oraz decyzję 15/24 piętnastej Konferencji Stron Konwencji o różnorodności biologicznej w sprawie ochrony i zrównoważonego wykorzystania morskiej i przybrzeżnej różnorodności biologicznej,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 xml:space="preserve">uwzględniając Konwencję Narodów Zjednoczonych o prawie morza (UNCLOS), w szczególności jej art. 145 dotyczący ochrony środowiska morskiego, 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porozumienie w ramach UNCLOS o ochronie i zrównoważonym wykorzystywaniu morskiej różnorodności biologicznej na obszarach znajdujących się poza jurysdykcją krajową (porozumienie BBNJ),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zakres kompetencji Międzynarodowej Organizacji Dna Morskiego ustanowionej na mocy UNCLOS oraz porozumienie z 1994 r. dotyczące wdrożenia części XI UNCLOS,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Konwencję o ochronie środowiska morskiego obszaru północno-</w:t>
      </w:r>
      <w:r w:rsidRPr="0073546D">
        <w:lastRenderedPageBreak/>
        <w:t>wschodniego Atlantyku (konwencja OSPAR), która obejmuje wody Arktyki,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 xml:space="preserve">uwzględniając traktat </w:t>
      </w:r>
      <w:proofErr w:type="spellStart"/>
      <w:r w:rsidRPr="0073546D">
        <w:t>spitsbergeński</w:t>
      </w:r>
      <w:proofErr w:type="spellEnd"/>
      <w:r w:rsidRPr="0073546D">
        <w:t xml:space="preserve"> z 1920 r. podpisany w Paryżu 9 lutego 1920 r.,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Konwencję o ocenach oddziaływania na środowisko w kontekście transgranicznym</w:t>
      </w:r>
      <w:r w:rsidRPr="0073546D">
        <w:rPr>
          <w:rStyle w:val="FootnoteReference"/>
        </w:rPr>
        <w:footnoteReference w:id="6"/>
      </w:r>
      <w:r w:rsidRPr="0073546D">
        <w:t xml:space="preserve"> podpisaną w </w:t>
      </w:r>
      <w:proofErr w:type="spellStart"/>
      <w:r w:rsidRPr="0073546D">
        <w:t>Espoo</w:t>
      </w:r>
      <w:proofErr w:type="spellEnd"/>
      <w:r w:rsidRPr="0073546D">
        <w:t xml:space="preserve"> 25 lutego 1991 r. (konwencja z </w:t>
      </w:r>
      <w:proofErr w:type="spellStart"/>
      <w:r w:rsidRPr="0073546D">
        <w:t>Espoo</w:t>
      </w:r>
      <w:proofErr w:type="spellEnd"/>
      <w:r w:rsidRPr="0073546D">
        <w:t>) oraz protokół do niej w sprawie strategicznej oceny oddziaływania na środowisko</w:t>
      </w:r>
      <w:r w:rsidRPr="0073546D">
        <w:rPr>
          <w:rStyle w:val="FootnoteReference"/>
        </w:rPr>
        <w:footnoteReference w:id="7"/>
      </w:r>
      <w:r w:rsidRPr="0073546D">
        <w:t>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panel wysokiego szczebla ds. zrównoważonej gospodarki oceanicznej, którego członkiem założycielem jest Norwegia,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 xml:space="preserve">uwzględniając rezolucję nr 122 </w:t>
      </w:r>
      <w:r w:rsidRPr="0073546D">
        <w:rPr>
          <w:rStyle w:val="expandableitem"/>
        </w:rPr>
        <w:t>Międzynarodowej Unii Ochrony Przyrody (</w:t>
      </w:r>
      <w:r w:rsidRPr="0073546D">
        <w:t>IUCN) pt. „Ochrona ekosystemów głębinowych i różnorodności biologicznej przez wprowadzenie moratorium na górnictwo głębokomorskie”,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rezolucję Zgromadzenia Ogólnego ONZ pt. „Przekształcamy nasz świat: Agenda na rzecz zrównoważonego rozwoju 2030” przyjętą 25 września 2015 r. na szczycie ONZ w Nowym Jorku poświęconym zrównoważonemu rozwojowi, a w szczególności cel zrównoważonego rozwoju nr 14 określony w tej agendzie, który zakłada ochronę i zrównoważone wykorzystywanie oceanów, mórz i zasobów morskich,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sprawozdanie Międzyrządowej Platformy Naukowo-Politycznej w sprawie Różnorodności Biologicznej i Funkcjonowania Ekosystemów z maja 2019 r. na temat globalnej oceny różnorodności biologicznej i usług ekosystemowych,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porozumienie przyjęte podczas 21. Konferencji Stron Ramowej Konwencji Narodów Zjednoczonych w sprawie Zmian Klimatu (COP 21) w Paryżu 12 grudnia 2015 r., które weszło w życie 4 listopada 2016 r., a także późniejsze decyzje COP,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sprawozdanie specjalne Międzyrządowego Zespołu ds. Zmian Klimatu z 24 września 2019 r. na temat oceanów i kriosfery w warunkach zmiany klimatu,</w:t>
      </w:r>
    </w:p>
    <w:p w:rsidR="002E2AFE" w:rsidRPr="0073546D" w:rsidRDefault="002E2AFE" w:rsidP="002E2AFE">
      <w:pPr>
        <w:pStyle w:val="NormalHanging12a"/>
      </w:pPr>
      <w:r w:rsidRPr="0073546D">
        <w:t>–</w:t>
      </w:r>
      <w:r w:rsidRPr="0073546D">
        <w:tab/>
        <w:t>uwzględniając art.132 ust. 2 Regulaminu,</w:t>
      </w:r>
    </w:p>
    <w:p w:rsidR="002E2AFE" w:rsidRPr="0073546D" w:rsidRDefault="002E2AFE" w:rsidP="002E2AFE">
      <w:pPr>
        <w:pStyle w:val="NormalHanging12a"/>
      </w:pPr>
      <w:r w:rsidRPr="0073546D">
        <w:t>A.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9 stycznia 2024 r. parlament norweski zatwierdził decyzję, by umożliwić zbadanie obszaru o powierzchni 281 200 km² w Arktyce na potrzeby potencjalnego wydobycia z dna morskiego; proces ten ma charakter otwarty, a dalsze decyzje w sprawie planów wydobycia lub pozwoleń na wydobycie zależą od dalszych demokratycznych decyzji rządu norweskiego, zgodnie z norweską ustawą o minerałach dna morskiego; mając na uwadze, że zgodnie ze wspomnianą decyzją pierwsze plany wydobycia musi zatwierdzić parlament;</w:t>
      </w:r>
    </w:p>
    <w:p w:rsidR="002E2AFE" w:rsidRPr="0073546D" w:rsidRDefault="002E2AFE" w:rsidP="002E2AFE">
      <w:pPr>
        <w:pStyle w:val="NormalHanging12a"/>
      </w:pPr>
      <w:r w:rsidRPr="0073546D">
        <w:t>B.</w:t>
      </w:r>
      <w:r w:rsidRPr="0073546D">
        <w:tab/>
        <w:t>mając na uwadze, że Norweska Agencja Środowiska uważa, iż ocena oddziaływania na środowisko zawiera znaczne luki w wiedzy o przyrodzie, technologii i potencjalnych skutkach dla środowiska i dlatego nie zapewnia wystarczającej podstawy do wydobycia minerałów;</w:t>
      </w:r>
    </w:p>
    <w:p w:rsidR="002E2AFE" w:rsidRPr="0073546D" w:rsidRDefault="002E2AFE" w:rsidP="002E2AFE">
      <w:pPr>
        <w:pStyle w:val="NormalHanging12a"/>
      </w:pPr>
      <w:r w:rsidRPr="0073546D">
        <w:lastRenderedPageBreak/>
        <w:t>C.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Norwegia i UE utrzymują głębokie i długoletnie stosunki jako sąsiedzi i partnerzy, podzielają wspólne cele polityczne i podstawowe wartości oraz są częścią jednolitego rynku dzięki Europejskiemu Obszarowi Gospodarczemu;</w:t>
      </w:r>
    </w:p>
    <w:p w:rsidR="002E2AFE" w:rsidRPr="0073546D" w:rsidRDefault="002E2AFE" w:rsidP="002E2AFE">
      <w:pPr>
        <w:pStyle w:val="NormalHanging12a"/>
      </w:pPr>
      <w:r w:rsidRPr="0073546D">
        <w:t>D.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znaczna część proponowanego obszaru badawczego znajduje się na rozszerzonym norweskim szelfie kontynentalnym, a znaczną część obszaru nad nim uznaje się za morze pełne i obszary rybołówstwa międzynarodowego; mając na uwadze, że ten szelf kontynentalny podlega postanowieniom traktatu </w:t>
      </w:r>
      <w:proofErr w:type="spellStart"/>
      <w:r w:rsidRPr="0073546D">
        <w:t>spitsbergeńskiego</w:t>
      </w:r>
      <w:proofErr w:type="spellEnd"/>
      <w:r w:rsidRPr="0073546D">
        <w:t xml:space="preserve"> z 1920 r.; mając na uwadze, że obszar ten znajduje się w strefie ochrony rybołówstwa w rejonie Svalbardu, co daje państwom-stronom, w tym 22 państwom członkowskim UE i 23 innym państwom, równe szanse na rozpoczęcie działalności połowowej;</w:t>
      </w:r>
    </w:p>
    <w:p w:rsidR="002E2AFE" w:rsidRPr="0073546D" w:rsidRDefault="002E2AFE" w:rsidP="002E2AFE">
      <w:pPr>
        <w:pStyle w:val="NormalHanging12a"/>
      </w:pPr>
      <w:r w:rsidRPr="0073546D">
        <w:t>E.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w październiku 2023 r. UE przesłała Norwegii notę werbalną, w której wyraziła zaniepokojenie znaczącym negatywnym wpływem zapowiedzianego górnictwa głębokomorskiego na stada ryb, łowiska i dostęp do łowisk, m.in. na szelf kontynentalny archipelagu Svalbard;</w:t>
      </w:r>
    </w:p>
    <w:p w:rsidR="002E2AFE" w:rsidRPr="0073546D" w:rsidRDefault="002E2AFE" w:rsidP="002E2AFE">
      <w:pPr>
        <w:pStyle w:val="NormalHanging12a"/>
      </w:pPr>
      <w:r w:rsidRPr="0073546D">
        <w:t>F.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Norwegia jest sygnatariuszem konwencji z </w:t>
      </w:r>
      <w:proofErr w:type="spellStart"/>
      <w:r w:rsidRPr="0073546D">
        <w:t>Espoo</w:t>
      </w:r>
      <w:proofErr w:type="spellEnd"/>
      <w:r w:rsidRPr="0073546D">
        <w:t xml:space="preserve"> i protokołu w sprawie strategicznej oceny oddziaływania na środowisko, więc ma prawny obowiązek, by unikać znaczących skutków transgranicznych; mając na uwadze, że Norwegia ma również prawny obowiązek, by chronić środowisko morskie na mocy konwencji OSPAR;</w:t>
      </w:r>
    </w:p>
    <w:p w:rsidR="002E2AFE" w:rsidRPr="0073546D" w:rsidRDefault="002E2AFE" w:rsidP="002E2AFE">
      <w:pPr>
        <w:pStyle w:val="NormalHanging12a"/>
      </w:pPr>
      <w:r w:rsidRPr="0073546D">
        <w:t>G.</w:t>
      </w:r>
      <w:r w:rsidRPr="0073546D">
        <w:tab/>
        <w:t xml:space="preserve">mając na uwadze, że ekosystemy Arktyki uznano za mające kluczowe znaczenie dla środowiska i różnorodności biologicznej, stad ryb i regulacji klimatu; mając na uwadze, że te szczególnie wrażliwe ekosystemy już teraz zmagają się ze zmianą klimatu, której skutkiem są coraz kwaśniejsze i cieplejsze oceany, a to prawdopodobnie wpłynie na modele migracji stad ryb o dużym znaczeniu; mając na uwadze, że wydobycie minerałów z dna morskiego Arktyki grozi uwolnieniem metanu przechowywanego w ekosystemach podlodowcowych i arktycznej wiecznej zmarzlinie; mając na uwadze, że ekosystemy Arktyki są wysoce podatne na zanieczyszczenie i inny wpływ działalności człowieka; mając na uwadze, że ze względu </w:t>
      </w:r>
      <w:proofErr w:type="gramStart"/>
      <w:r w:rsidRPr="0073546D">
        <w:t>na</w:t>
      </w:r>
      <w:proofErr w:type="gramEnd"/>
      <w:r w:rsidRPr="0073546D">
        <w:t xml:space="preserve"> trudne warunki naturalne i duże odległości od portów bardzo ciężko jest przeprowadzić niezbędne procesy naprawy lub oczyszczania;</w:t>
      </w:r>
    </w:p>
    <w:p w:rsidR="002E2AFE" w:rsidRPr="0073546D" w:rsidRDefault="002E2AFE" w:rsidP="002E2AFE">
      <w:pPr>
        <w:pStyle w:val="NormalHanging12a"/>
      </w:pPr>
      <w:r w:rsidRPr="0073546D">
        <w:t>H.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głębiny morskie są najstarszym biomem na naszej planecie i najmniej znanym ludzkości obszarem planety; mając na uwadze, że głębiny morskie uznaje się za miejsca o największej bioróżnorodności na Ziemi i zapewniające kluczowe usługi ekosystemowe, m.in. długoterminową sekwestrację dwutlenku węgla, oraz za podatne na zakłócenia powodowane przez człowieka; mając na uwadze, że ocean pochłania około 90 % nadmiaru ciepła i 25 % światowych emisji CO</w:t>
      </w:r>
      <w:r w:rsidRPr="0073546D">
        <w:rPr>
          <w:vertAlign w:val="subscript"/>
        </w:rPr>
        <w:t>2</w:t>
      </w:r>
      <w:r w:rsidRPr="0073546D">
        <w:t xml:space="preserve">; mając na uwadze, że pojawiły się poważne obawy dotyczące wpływu górnictwa głębokomorskiego na utratę różnorodności biologicznej i funkcjonowanie ekosystemu, czego skutki będzie odczuwać wiele pokoleń; mając na uwadze, że oceany należy uznać na szczeblu międzynarodowym </w:t>
      </w:r>
      <w:proofErr w:type="gramStart"/>
      <w:r w:rsidRPr="0073546D">
        <w:t>za</w:t>
      </w:r>
      <w:proofErr w:type="gramEnd"/>
      <w:r w:rsidRPr="0073546D">
        <w:t xml:space="preserve"> światowe dobro wspólne i chronić je ze względu na ich wyjątkowy charakter i wzajemne powiązania oraz podstawowe usługi ekosystemowe, które zapewniają; mając na uwadze, że od tych usług zależy przetrwanie i dobrostan obecnych i przyszłych pokoleń;</w:t>
      </w:r>
    </w:p>
    <w:p w:rsidR="002E2AFE" w:rsidRPr="0073546D" w:rsidRDefault="002E2AFE" w:rsidP="002E2AFE">
      <w:pPr>
        <w:pStyle w:val="NormalHanging12a"/>
      </w:pPr>
      <w:r w:rsidRPr="0073546D">
        <w:t>I.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w czerwcu 2023 r. zawarto porozumienie BBNJ; mając na uwadze, że UE i Norwegia były jednymi z jego pierwszych sygnatariuszy; mając na uwadze, że </w:t>
      </w:r>
      <w:r w:rsidRPr="0073546D">
        <w:lastRenderedPageBreak/>
        <w:t>porozumienie BBNJ było priorytetem UE, która prowadziła negocjacje w ramach globalnej koalicji o wysokim poziomie ambicji BBNJ, zainicjowanej na szczycie „Jeden Ocean” w Breście w lutym 2022 r., do której również przystąpiła Norwegia; mając na uwadze, że porozumienie BBNJ wymaga przeprowadzenia ocen wpływu działalności gospodarczej na różnorodność biologiczną na pełnym morzu;</w:t>
      </w:r>
    </w:p>
    <w:p w:rsidR="002E2AFE" w:rsidRPr="0073546D" w:rsidRDefault="002E2AFE" w:rsidP="002E2AFE">
      <w:pPr>
        <w:pStyle w:val="NormalHanging12a"/>
      </w:pPr>
      <w:r w:rsidRPr="0073546D">
        <w:t>J.</w:t>
      </w:r>
      <w:r w:rsidRPr="0073546D">
        <w:tab/>
        <w:t>mając na uwadze, że obecny stan wiedzy naukowej nie pozwala na dokładną ocenę wpływu górnictwa głębokomorskiego na środowisko, a międzynarodowe działania badawcze są nadal niezbędne, by osiągnąć naukowy konsensus w tej sprawie; mając na uwadze, że Komisja podkreśliła, iż należy prowadzić długoterminowe badania, by właściwie ocenić skutki górnictwa głębokomorskiego; mając na uwadze, że przedwczesne badania i wydobycie mogłyby powodować trwałe i nieodwracalne szkody w ekosystemach; mając na uwadze, że potrzebne są dalsze badania naukowe, aby w pełni zrozumieć potencjalny wpływ górnictwa głębokomorskiego na środowisko morskie i różnorodność biologiczną;</w:t>
      </w:r>
    </w:p>
    <w:p w:rsidR="002E2AFE" w:rsidRPr="0073546D" w:rsidRDefault="002E2AFE" w:rsidP="002E2AFE">
      <w:pPr>
        <w:pStyle w:val="NormalHanging12a"/>
      </w:pPr>
      <w:r w:rsidRPr="0073546D">
        <w:t>K.</w:t>
      </w:r>
      <w:r w:rsidRPr="0073546D">
        <w:tab/>
        <w:t xml:space="preserve">mając na uwadze, że otwarcie tego obszaru na górnictwo głębokomorskie mogłoby być szkodliwe dla stad ryb i rybołówstwa oraz wpłynąć na dostęp statków państw członkowskich UE do łowisk na tym obszarze; mając na uwadze, że w ocenie skutków tej decyzji nie uwzględniono międzynarodowych interesów połowowych, w tym rybołówstwa UE; mając na uwadze, że w listopadzie 2021 r. Komitet Doradczy ds. Rybołówstwa Dalekomorskiego, Komitet Doradczy ds. Zasobów Pelagicznych i Komitet Doradczy ds. Wód Północno-Zachodnich wezwały do wprowadzenia moratorium na górnictwo głębokomorskie, zgodnie z podobnymi zaleceniami z 2020 i 2019 r.; mając na uwadze, że norweskie stowarzyszenie rybaków również bardzo krytycznie odnosiło się do </w:t>
      </w:r>
      <w:proofErr w:type="gramStart"/>
      <w:r w:rsidRPr="0073546D">
        <w:t>tej</w:t>
      </w:r>
      <w:proofErr w:type="gramEnd"/>
      <w:r w:rsidRPr="0073546D">
        <w:t xml:space="preserve"> decyzji;</w:t>
      </w:r>
    </w:p>
    <w:p w:rsidR="002E2AFE" w:rsidRPr="0073546D" w:rsidRDefault="002E2AFE" w:rsidP="002E2AFE">
      <w:pPr>
        <w:pStyle w:val="NormalHanging12a"/>
      </w:pPr>
      <w:r w:rsidRPr="0073546D">
        <w:t>L.</w:t>
      </w:r>
      <w:r w:rsidRPr="0073546D">
        <w:tab/>
      </w:r>
      <w:proofErr w:type="gramStart"/>
      <w:r w:rsidRPr="0073546D">
        <w:t>mając</w:t>
      </w:r>
      <w:proofErr w:type="gramEnd"/>
      <w:r w:rsidRPr="0073546D">
        <w:t xml:space="preserve"> na uwadze, że na arenie międzynarodowej coraz więcej państw, w tym siedem państw członkowskich UE (Finlandia, Francja, Niemcy, Irlandia, Portugalia, Hiszpania i Szwecja), wyraża poparcie dla moratorium, przerwy zapobiegawczej lub całkowitego zakazu górnictwa głębokomorskiego; mając na uwadze, że we wrześniu 2021 r. Światowy Kongres Ochrony Przyrody Międzynarodowej Unii Ochrony Przyrody zdecydowaną większością głosów przyjął wniosek o moratorium na górnictwo głębokomorskie, np. Międzynarodowej Organizacji Dna Morskiego, który poparły m.in. Austria, Niemcy, Portugalia, Rumunia, Hiszpania i Szwecja;</w:t>
      </w:r>
    </w:p>
    <w:p w:rsidR="002E2AFE" w:rsidRPr="0073546D" w:rsidRDefault="002E2AFE" w:rsidP="002E2AFE">
      <w:pPr>
        <w:pStyle w:val="NormalHanging12a"/>
      </w:pPr>
      <w:r w:rsidRPr="0073546D">
        <w:t>M.</w:t>
      </w:r>
      <w:r w:rsidRPr="0073546D">
        <w:tab/>
        <w:t xml:space="preserve">mając na uwadze, że 37 instytucji finansowych o łącznej wartości aktywów przekraczającej 3,3 bln EUR zgłosiło państwom członkowskim Międzynarodowej Organizacji Dna Morskiego obawy dotyczące działalności wydobywczej z dna morskiego; mając na uwadze, że przedsiębiorstwa międzynarodowe, takie jak Volvo, BMW, Google, Samsung, Phillips, </w:t>
      </w:r>
      <w:proofErr w:type="spellStart"/>
      <w:r w:rsidRPr="0073546D">
        <w:t>Northvolt</w:t>
      </w:r>
      <w:proofErr w:type="spellEnd"/>
      <w:r w:rsidRPr="0073546D">
        <w:t xml:space="preserve"> i Volkswagen, wyraziły poparcie dla moratorium na górnictwo głębokomorskie i zobowiązały się nie zaopatrywać się w minerały z dna morskiego ani nie finansować ich; mając na uwadze, że </w:t>
      </w:r>
      <w:proofErr w:type="spellStart"/>
      <w:r w:rsidRPr="0073546D">
        <w:t>Equinor</w:t>
      </w:r>
      <w:proofErr w:type="spellEnd"/>
      <w:r w:rsidRPr="0073546D">
        <w:t xml:space="preserve">, największe norweskie przedsiębiorstwo, podkreślił, iż należy poszerzyć wiedzę o górnictwie głębokomorskim u wybrzeży Norwegii, i stwierdził, że nie jest ono jeszcze możliwe ze względu na ryzyko środowiskowe; mając na </w:t>
      </w:r>
      <w:proofErr w:type="gramStart"/>
      <w:r w:rsidRPr="0073546D">
        <w:t>uwadze</w:t>
      </w:r>
      <w:proofErr w:type="gramEnd"/>
      <w:r w:rsidRPr="0073546D">
        <w:t>, że inicjatywa finansowa Programu Narodów Zjednoczonych ds. Środowiska ostrzegła środowisko finansowe, że obecnie nie da się pogodzić finansowania górnictwa głębokomorskiego z zasadami finansowania zrównoważonej niebieskiej gospodarki;</w:t>
      </w:r>
    </w:p>
    <w:p w:rsidR="002E2AFE" w:rsidRPr="0073546D" w:rsidRDefault="002E2AFE" w:rsidP="002E2AFE">
      <w:pPr>
        <w:pStyle w:val="NormalHanging12a"/>
      </w:pPr>
      <w:r w:rsidRPr="0073546D">
        <w:t>N.</w:t>
      </w:r>
      <w:r w:rsidRPr="0073546D">
        <w:tab/>
        <w:t xml:space="preserve">mając na uwadze, że znaczną część popytu na surowce można i należy zaspokoić przez </w:t>
      </w:r>
      <w:r w:rsidRPr="0073546D">
        <w:lastRenderedPageBreak/>
        <w:t>recykling i gospodarkę o obiegu zamkniętym, opracowanie materiałów zastępczych i politykę ograniczania popytu;</w:t>
      </w:r>
    </w:p>
    <w:p w:rsidR="002E2AFE" w:rsidRPr="0073546D" w:rsidRDefault="002E2AFE" w:rsidP="002E2AFE">
      <w:pPr>
        <w:pStyle w:val="NormalHanging12a"/>
      </w:pPr>
      <w:r w:rsidRPr="0073546D">
        <w:t>1.</w:t>
      </w:r>
      <w:r w:rsidRPr="0073546D">
        <w:tab/>
      </w:r>
      <w:proofErr w:type="gramStart"/>
      <w:r w:rsidRPr="0073546D">
        <w:t>wyraża</w:t>
      </w:r>
      <w:proofErr w:type="gramEnd"/>
      <w:r w:rsidRPr="0073546D">
        <w:t xml:space="preserve"> zaniepokojenie decyzją parlamentu Norwegii z 9 stycznia 2024 r. o otwarciu obszarów dla działalności głębokomorskiej;</w:t>
      </w:r>
    </w:p>
    <w:p w:rsidR="002E2AFE" w:rsidRPr="0073546D" w:rsidRDefault="002E2AFE" w:rsidP="002E2AFE">
      <w:pPr>
        <w:pStyle w:val="NormalHanging12a"/>
      </w:pPr>
      <w:r w:rsidRPr="0073546D">
        <w:t>2.</w:t>
      </w:r>
      <w:r w:rsidRPr="0073546D">
        <w:tab/>
      </w:r>
      <w:proofErr w:type="gramStart"/>
      <w:r w:rsidRPr="0073546D">
        <w:t>zauważa</w:t>
      </w:r>
      <w:proofErr w:type="gramEnd"/>
      <w:r w:rsidRPr="0073546D">
        <w:t>, że decyzja parlamentu Norwegii obejmuje proces ciągłego mapowania, zdobywania wiedzy i oceny wpływu potencjalnej działalności wydobywczej na środowisko i nie zatwierdza automatycznie działalności wydobywczej, ponieważ zgodnie z tą decyzją pierwsze plany wydobycia musi zatwierdzić parlament;</w:t>
      </w:r>
    </w:p>
    <w:p w:rsidR="002E2AFE" w:rsidRPr="0073546D" w:rsidRDefault="002E2AFE" w:rsidP="002E2AFE">
      <w:pPr>
        <w:pStyle w:val="NormalHanging12a"/>
      </w:pPr>
      <w:r w:rsidRPr="0073546D">
        <w:t>3.</w:t>
      </w:r>
      <w:r w:rsidRPr="0073546D">
        <w:tab/>
      </w:r>
      <w:proofErr w:type="gramStart"/>
      <w:r w:rsidRPr="0073546D">
        <w:t>ponawia</w:t>
      </w:r>
      <w:proofErr w:type="gramEnd"/>
      <w:r w:rsidRPr="0073546D">
        <w:t xml:space="preserve"> apele do Komisji i państw członkowskich, aby wspierały międzynarodowe moratorium na górnictwo głębokomorskie, m.in. w Międzynarodowej Organizacji Dna Morskiego, do czasu przeprowadzenia wystarczających badań i analiz wpływu górnictwa głębokomorskiego na środowisko morskie, różnorodność biologiczną i działalność człowieka na morzu oraz do czasu wprowadzenia takich metod zarządzania górnictwem głębokomorskim, które pozwolą zapobiec utracie różnorodności biologicznej mórz i degradacji ekosystemów morskich; wzywa wszystkie kraje, by stosowały zasady ostrożności i poparły międzynarodowe moratorium na górnictwo głębokomorskie;</w:t>
      </w:r>
    </w:p>
    <w:p w:rsidR="002E2AFE" w:rsidRPr="0073546D" w:rsidRDefault="002E2AFE" w:rsidP="002E2AFE">
      <w:pPr>
        <w:pStyle w:val="NormalHanging12a"/>
      </w:pPr>
      <w:r w:rsidRPr="0073546D">
        <w:t>4.</w:t>
      </w:r>
      <w:r w:rsidRPr="0073546D">
        <w:tab/>
      </w:r>
      <w:proofErr w:type="gramStart"/>
      <w:r w:rsidRPr="0073546D">
        <w:t>przypomina</w:t>
      </w:r>
      <w:proofErr w:type="gramEnd"/>
      <w:r w:rsidRPr="0073546D">
        <w:t xml:space="preserve"> o zobowiązaniach Norwegii jako strony szeregu traktatów, w szczególności traktatu </w:t>
      </w:r>
      <w:proofErr w:type="spellStart"/>
      <w:r w:rsidRPr="0073546D">
        <w:t>spitsbergeńskiego</w:t>
      </w:r>
      <w:proofErr w:type="spellEnd"/>
      <w:r w:rsidRPr="0073546D">
        <w:t xml:space="preserve">, w odniesieniu do różnych umów dotyczących zarządzania stadami ryb na tym obszarze, konwencji OSPAR o ochronie środowiska morskiego obszaru północno-wschodniego Atlantyku, w tym wód arktycznych, przed negatywnymi skutkami działalności człowieka oraz konwencji z </w:t>
      </w:r>
      <w:proofErr w:type="spellStart"/>
      <w:r w:rsidRPr="0073546D">
        <w:t>Espoo</w:t>
      </w:r>
      <w:proofErr w:type="spellEnd"/>
      <w:r w:rsidRPr="0073546D">
        <w:t>; podkreśla, że porozumienie BBNJ podpisały zarówno UE, jak i Norwegia, i wzywa wszystkie pozostałe strony UNCLOS, w tym Norwegię, by niezwłocznie ją podpisały i ratyfikowały;</w:t>
      </w:r>
    </w:p>
    <w:p w:rsidR="002E2AFE" w:rsidRPr="0073546D" w:rsidRDefault="002E2AFE" w:rsidP="002E2AFE">
      <w:pPr>
        <w:pStyle w:val="NormalHanging12a"/>
      </w:pPr>
      <w:r w:rsidRPr="0073546D">
        <w:t>5.</w:t>
      </w:r>
      <w:r w:rsidRPr="0073546D">
        <w:tab/>
      </w:r>
      <w:proofErr w:type="gramStart"/>
      <w:r w:rsidRPr="0073546D">
        <w:t>wzywa</w:t>
      </w:r>
      <w:proofErr w:type="gramEnd"/>
      <w:r w:rsidRPr="0073546D">
        <w:t xml:space="preserve"> Norwegię do dalszej współpracy z UE w duchu wzajemnego partnerstwa i zielonego sojuszu podpisanego w kwietniu 2023 r., by rozwiązać wszystkie problemy i zapewnić ochronę środowiska morskiego i ekosystemów arktycznych; wzywa Komisję i Norwegię, by zaangażowały się w stały dialog oraz wymieniały się badaniami naukowymi i wiedzą o dnie morskim i zrównoważonym zarządzaniu oceanami; podkreśla, że Norwegia i UE, za pośrednictwem swoich odpowiednich strategii, stosują podobne podejście do wyważonej polityki w zakresie surowców opartej na łagodzeniu popytu, ponownym wykorzystaniu, wydajności, recyklingu, wykorzystaniu strumieni odpadów i zastępowaniu;</w:t>
      </w:r>
    </w:p>
    <w:p w:rsidR="002E2AFE" w:rsidRPr="0073546D" w:rsidRDefault="002E2AFE" w:rsidP="002E2AFE">
      <w:pPr>
        <w:pStyle w:val="NormalHanging12a"/>
      </w:pPr>
      <w:r w:rsidRPr="0073546D">
        <w:t>6.</w:t>
      </w:r>
      <w:r w:rsidRPr="0073546D">
        <w:tab/>
      </w:r>
      <w:proofErr w:type="gramStart"/>
      <w:r w:rsidRPr="0073546D">
        <w:t>zobowiązuje</w:t>
      </w:r>
      <w:proofErr w:type="gramEnd"/>
      <w:r w:rsidRPr="0073546D">
        <w:t xml:space="preserve"> swoją przewodniczącą do przekazania niniejszej rezolucji Radzie, Komisji, parlamentowi i rządowi Norwegii.</w:t>
      </w:r>
    </w:p>
    <w:sectPr w:rsidR="002E2AFE" w:rsidRPr="0073546D" w:rsidSect="0073546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047B" w:rsidRPr="0073546D" w:rsidRDefault="00B0047B">
      <w:r w:rsidRPr="0073546D">
        <w:separator/>
      </w:r>
    </w:p>
  </w:endnote>
  <w:endnote w:type="continuationSeparator" w:id="0">
    <w:p w:rsidR="00B0047B" w:rsidRPr="0073546D" w:rsidRDefault="00B0047B">
      <w:r w:rsidRPr="0073546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46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46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46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047B" w:rsidRPr="0073546D" w:rsidRDefault="00B0047B">
      <w:r w:rsidRPr="0073546D">
        <w:separator/>
      </w:r>
    </w:p>
  </w:footnote>
  <w:footnote w:type="continuationSeparator" w:id="0">
    <w:p w:rsidR="00B0047B" w:rsidRPr="0073546D" w:rsidRDefault="00B0047B">
      <w:r w:rsidRPr="0073546D">
        <w:continuationSeparator/>
      </w:r>
    </w:p>
  </w:footnote>
  <w:footnote w:id="1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C 67 z 8.2.2022,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25.</w:t>
      </w:r>
    </w:p>
  </w:footnote>
  <w:footnote w:id="2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C 465 z 6.12.2022,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2.</w:t>
      </w:r>
    </w:p>
  </w:footnote>
  <w:footnote w:id="3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C 132 z 24.3.2022,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113.</w:t>
      </w:r>
    </w:p>
  </w:footnote>
  <w:footnote w:id="4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C 458 z 19.12.2018,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9.</w:t>
      </w:r>
    </w:p>
  </w:footnote>
  <w:footnote w:id="5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C 132 z 14.4.2023,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106.</w:t>
      </w:r>
    </w:p>
  </w:footnote>
  <w:footnote w:id="6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C 104 z 24.4.1992,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7.</w:t>
      </w:r>
    </w:p>
  </w:footnote>
  <w:footnote w:id="7">
    <w:p w:rsidR="002E2AFE" w:rsidRPr="0073546D" w:rsidRDefault="002E2AFE" w:rsidP="0073546D">
      <w:pPr>
        <w:pStyle w:val="FootnoteText"/>
        <w:ind w:left="567" w:hanging="567"/>
        <w:rPr>
          <w:sz w:val="24"/>
          <w:lang w:val="pl-PL"/>
        </w:rPr>
      </w:pPr>
      <w:r w:rsidRPr="0073546D">
        <w:rPr>
          <w:rStyle w:val="FootnoteReference"/>
          <w:sz w:val="24"/>
          <w:lang w:val="pl-PL"/>
        </w:rPr>
        <w:footnoteRef/>
      </w:r>
      <w:r w:rsidR="0073546D" w:rsidRPr="0073546D">
        <w:rPr>
          <w:sz w:val="24"/>
          <w:lang w:val="pl-PL"/>
        </w:rPr>
        <w:t xml:space="preserve"> </w:t>
      </w:r>
      <w:r w:rsidR="0073546D" w:rsidRPr="0073546D">
        <w:rPr>
          <w:sz w:val="24"/>
          <w:lang w:val="pl-PL"/>
        </w:rPr>
        <w:tab/>
      </w:r>
      <w:r w:rsidRPr="0073546D">
        <w:rPr>
          <w:sz w:val="24"/>
          <w:lang w:val="pl-PL"/>
        </w:rPr>
        <w:t xml:space="preserve">Dz.U. L 308 z 19.11.2008, </w:t>
      </w:r>
      <w:proofErr w:type="gramStart"/>
      <w:r w:rsidRPr="0073546D">
        <w:rPr>
          <w:sz w:val="24"/>
          <w:lang w:val="pl-PL"/>
        </w:rPr>
        <w:t>s</w:t>
      </w:r>
      <w:proofErr w:type="gramEnd"/>
      <w:r w:rsidRPr="0073546D">
        <w:rPr>
          <w:sz w:val="24"/>
          <w:lang w:val="pl-PL"/>
        </w:rPr>
        <w:t>. 35.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46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46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3546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095/2024"/>
    <w:docVar w:name="dvlangue" w:val="PL"/>
    <w:docVar w:name="dvnumam" w:val="0"/>
    <w:docVar w:name="dvpe" w:val="756.838"/>
    <w:docVar w:name="dvtitre" w:val="Rezolucja Parlamentu Europejskiego z dnia  2024 r. w sprawie niedawnej decyzji Norwegii o rozpoczęciu górnictwa głębokomorskiego w Arktyce(2024/2520(RSP))"/>
  </w:docVars>
  <w:rsids>
    <w:rsidRoot w:val="00B0047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E763B"/>
    <w:rsid w:val="001F32AE"/>
    <w:rsid w:val="002767FF"/>
    <w:rsid w:val="002B18FE"/>
    <w:rsid w:val="002B5493"/>
    <w:rsid w:val="002E2AFE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3546D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047B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24C4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C9634E6"/>
  <w15:chartTrackingRefBased/>
  <w15:docId w15:val="{CE190FDD-B74B-4125-BE87-597C86AC5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2E2AFE"/>
    <w:pPr>
      <w:spacing w:before="480" w:after="240"/>
    </w:pPr>
  </w:style>
  <w:style w:type="paragraph" w:customStyle="1" w:styleId="NormalHanging12a">
    <w:name w:val="NormalHanging12a"/>
    <w:basedOn w:val="Normal"/>
    <w:rsid w:val="002E2AFE"/>
    <w:pPr>
      <w:spacing w:after="240"/>
      <w:ind w:left="567" w:hanging="567"/>
    </w:pPr>
  </w:style>
  <w:style w:type="character" w:customStyle="1" w:styleId="expandableitem">
    <w:name w:val="expandableitem"/>
    <w:basedOn w:val="DefaultParagraphFont"/>
    <w:rsid w:val="002E2AF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6B5D7-DFFC-450E-A267-69225516AB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2108</Words>
  <Characters>13959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2024-02-07T13:20:00Z</dcterms:created>
  <dcterms:modified xsi:type="dcterms:W3CDTF">2024-02-07T13:20:00Z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B9-0095/2024</vt:lpwstr>
  </property>
  <property fmtid="{D5CDD505-2E9C-101B-9397-08002B2CF9AE}" pid="4" name="&lt;Type&gt;">
    <vt:lpwstr>RR</vt:lpwstr>
  </property>
</Properties>
</file>