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7478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7478E" w:rsidRDefault="00806DB0" w:rsidP="0010095E">
            <w:pPr>
              <w:pStyle w:val="EPName"/>
            </w:pPr>
            <w:bookmarkStart w:id="0" w:name="_GoBack"/>
            <w:bookmarkEnd w:id="0"/>
            <w:r w:rsidRPr="00F7478E">
              <w:t>Parlamento Europeu</w:t>
            </w:r>
          </w:p>
          <w:p w:rsidR="00751A4A" w:rsidRPr="00F7478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7478E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F7478E" w:rsidRDefault="00187494" w:rsidP="0010095E">
            <w:pPr>
              <w:pStyle w:val="EPLogo"/>
            </w:pPr>
            <w:r w:rsidRPr="00F7478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7478E" w:rsidRDefault="00D058B8" w:rsidP="004C5D52">
      <w:pPr>
        <w:pStyle w:val="LineTop"/>
      </w:pPr>
    </w:p>
    <w:p w:rsidR="00680577" w:rsidRPr="00F7478E" w:rsidRDefault="00806DB0" w:rsidP="00680577">
      <w:pPr>
        <w:pStyle w:val="EPBodyTA1"/>
      </w:pPr>
      <w:r w:rsidRPr="00F7478E">
        <w:t>TEXTOS APROVADOS</w:t>
      </w:r>
    </w:p>
    <w:p w:rsidR="00D058B8" w:rsidRPr="00F7478E" w:rsidRDefault="00D058B8" w:rsidP="00D058B8">
      <w:pPr>
        <w:pStyle w:val="LineBottom"/>
      </w:pPr>
    </w:p>
    <w:p w:rsidR="00806DB0" w:rsidRPr="00F7478E" w:rsidRDefault="00806DB0" w:rsidP="00806DB0">
      <w:pPr>
        <w:pStyle w:val="ATHeading1"/>
      </w:pPr>
      <w:bookmarkStart w:id="1" w:name="TANumber"/>
      <w:r w:rsidRPr="00F7478E">
        <w:t>P9_</w:t>
      </w:r>
      <w:proofErr w:type="gramStart"/>
      <w:r w:rsidRPr="00F7478E">
        <w:t>TA(</w:t>
      </w:r>
      <w:proofErr w:type="gramEnd"/>
      <w:r w:rsidRPr="00F7478E">
        <w:t>2024)00</w:t>
      </w:r>
      <w:bookmarkEnd w:id="1"/>
      <w:r w:rsidR="00FC4900" w:rsidRPr="00F7478E">
        <w:t>68</w:t>
      </w:r>
    </w:p>
    <w:p w:rsidR="00806DB0" w:rsidRPr="00F7478E" w:rsidRDefault="00806DB0" w:rsidP="00806DB0">
      <w:pPr>
        <w:pStyle w:val="ATHeading2"/>
      </w:pPr>
      <w:bookmarkStart w:id="2" w:name="title"/>
      <w:r w:rsidRPr="00F7478E">
        <w:t>A recente decisão da Noruega de fazer avançar a exploração mineira dos fundos marinhos no Ártico</w:t>
      </w:r>
      <w:bookmarkEnd w:id="2"/>
    </w:p>
    <w:p w:rsidR="00806DB0" w:rsidRPr="00F7478E" w:rsidRDefault="00806DB0" w:rsidP="00806DB0">
      <w:pPr>
        <w:rPr>
          <w:i/>
          <w:vanish/>
        </w:rPr>
      </w:pPr>
      <w:r w:rsidRPr="00F7478E">
        <w:rPr>
          <w:i/>
        </w:rPr>
        <w:fldChar w:fldCharType="begin"/>
      </w:r>
      <w:r w:rsidRPr="00F7478E">
        <w:rPr>
          <w:i/>
        </w:rPr>
        <w:instrText xml:space="preserve"> TC"(</w:instrText>
      </w:r>
      <w:bookmarkStart w:id="3" w:name="DocNumber"/>
      <w:r w:rsidRPr="00F7478E">
        <w:rPr>
          <w:i/>
        </w:rPr>
        <w:instrText>B9-0095/2024</w:instrText>
      </w:r>
      <w:bookmarkEnd w:id="3"/>
      <w:r w:rsidRPr="00F7478E">
        <w:rPr>
          <w:i/>
        </w:rPr>
        <w:instrText xml:space="preserve">)"\l3 \n&gt; \* MERGEFORMAT </w:instrText>
      </w:r>
      <w:r w:rsidRPr="00F7478E">
        <w:rPr>
          <w:i/>
        </w:rPr>
        <w:fldChar w:fldCharType="end"/>
      </w:r>
    </w:p>
    <w:p w:rsidR="00806DB0" w:rsidRPr="00F7478E" w:rsidRDefault="00806DB0" w:rsidP="00806DB0">
      <w:pPr>
        <w:rPr>
          <w:vanish/>
        </w:rPr>
      </w:pPr>
      <w:bookmarkStart w:id="4" w:name="PE"/>
      <w:r w:rsidRPr="00F7478E">
        <w:rPr>
          <w:vanish/>
        </w:rPr>
        <w:t>PE756.838</w:t>
      </w:r>
      <w:bookmarkEnd w:id="4"/>
    </w:p>
    <w:p w:rsidR="00806DB0" w:rsidRPr="00F7478E" w:rsidRDefault="00806DB0" w:rsidP="00806DB0">
      <w:pPr>
        <w:pStyle w:val="ATHeading3"/>
      </w:pPr>
      <w:bookmarkStart w:id="5" w:name="Sujet"/>
      <w:r w:rsidRPr="00F7478E">
        <w:t xml:space="preserve">Resolução do Parlamento Europeu, de </w:t>
      </w:r>
      <w:r w:rsidR="009503F2" w:rsidRPr="00F7478E">
        <w:t>7</w:t>
      </w:r>
      <w:r w:rsidRPr="00F7478E">
        <w:t xml:space="preserve"> de </w:t>
      </w:r>
      <w:r w:rsidR="009503F2" w:rsidRPr="00F7478E">
        <w:t>fevereiro</w:t>
      </w:r>
      <w:r w:rsidRPr="00F7478E">
        <w:t xml:space="preserve"> de 2024, sobre a recente decisão da Noruega de fazer avançar a exploração mineira dos fundos marinhos no Ártico</w:t>
      </w:r>
      <w:bookmarkEnd w:id="5"/>
      <w:r w:rsidRPr="00F7478E">
        <w:t xml:space="preserve"> </w:t>
      </w:r>
      <w:bookmarkStart w:id="6" w:name="References"/>
      <w:r w:rsidRPr="00F7478E">
        <w:t>(2024/2520(RSP))</w:t>
      </w:r>
      <w:bookmarkEnd w:id="6"/>
    </w:p>
    <w:p w:rsidR="00394A80" w:rsidRPr="00F7478E" w:rsidRDefault="00394A80" w:rsidP="00394A80">
      <w:pPr>
        <w:pStyle w:val="EPComma"/>
      </w:pPr>
      <w:bookmarkStart w:id="7" w:name="TextBodyBegin"/>
      <w:bookmarkEnd w:id="7"/>
      <w:r w:rsidRPr="00F7478E">
        <w:rPr>
          <w:i/>
          <w:iCs/>
        </w:rPr>
        <w:t>O Parlamento Europeu</w:t>
      </w:r>
      <w:r w:rsidRPr="00F7478E">
        <w:t>,</w:t>
      </w:r>
    </w:p>
    <w:p w:rsidR="00394A80" w:rsidRPr="00F7478E" w:rsidRDefault="00394A80" w:rsidP="00394A80">
      <w:pPr>
        <w:pStyle w:val="NormalHanging12a"/>
      </w:pPr>
      <w:r w:rsidRPr="00F7478E">
        <w:t>–</w:t>
      </w:r>
      <w:r w:rsidRPr="00F7478E">
        <w:tab/>
        <w:t>Tendo em conta a decisão do Parlamento norueguês, de 9 de janeiro de 2024, sobre as atividades mineiras na plataforma continental norueguesa – abertura de zona e estratégia de gestão dos recursos,</w:t>
      </w:r>
    </w:p>
    <w:p w:rsidR="00394A80" w:rsidRPr="00F7478E" w:rsidRDefault="00394A80" w:rsidP="00394A80">
      <w:pPr>
        <w:pStyle w:val="NormalHanging12a"/>
      </w:pPr>
      <w:r w:rsidRPr="00F7478E">
        <w:t>–</w:t>
      </w:r>
      <w:r w:rsidRPr="00F7478E">
        <w:tab/>
        <w:t>Tendo em conta a avaliação estratégica de impacto ambiental dos minerais dos fundos marinhos na plataforma continental norueguesa, de 27 de outubro de 2022, realizada pelo Ministério da Energia norueguês,</w:t>
      </w:r>
    </w:p>
    <w:p w:rsidR="00394A80" w:rsidRPr="00F7478E" w:rsidRDefault="00394A80" w:rsidP="00394A80">
      <w:pPr>
        <w:pStyle w:val="NormalHanging12a"/>
      </w:pPr>
      <w:r w:rsidRPr="00F7478E">
        <w:t>–</w:t>
      </w:r>
      <w:r w:rsidRPr="00F7478E">
        <w:tab/>
        <w:t>Tendo em conta o relatório do Governo norueguês, de 20 de junho de 2023, sobre as atividades mineiras na plataforma continental norueguesa – abertura de zonas e estratégia de gestão dos recursos,</w:t>
      </w:r>
    </w:p>
    <w:p w:rsidR="00394A80" w:rsidRPr="00F7478E" w:rsidRDefault="00394A80" w:rsidP="00394A80">
      <w:pPr>
        <w:pStyle w:val="NormalHanging12a"/>
      </w:pPr>
      <w:r w:rsidRPr="00F7478E">
        <w:t>–</w:t>
      </w:r>
      <w:r w:rsidRPr="00F7478E">
        <w:tab/>
        <w:t>Tendo em conta a declaração da Agência norueguesa do Ambiente, de 27 de janeiro de 2023, sobre a audição e a avaliação de impacto das atividades mineiras na plataforma continental norueguesa,</w:t>
      </w:r>
    </w:p>
    <w:p w:rsidR="00394A80" w:rsidRPr="00F7478E" w:rsidRDefault="00394A80" w:rsidP="00394A80">
      <w:pPr>
        <w:pStyle w:val="NormalHanging12a"/>
      </w:pPr>
      <w:r w:rsidRPr="00F7478E">
        <w:t>–</w:t>
      </w:r>
      <w:r w:rsidRPr="00F7478E">
        <w:tab/>
        <w:t>Tendo em conta a comunicação da Comissão, de 11 de dezembro de 2019, intitulada «Pacto Ecológico Europeu» (</w:t>
      </w:r>
      <w:proofErr w:type="gramStart"/>
      <w:r w:rsidRPr="00F7478E">
        <w:t>COM(</w:t>
      </w:r>
      <w:proofErr w:type="gramEnd"/>
      <w:r w:rsidRPr="00F7478E">
        <w:t>2019)0640),</w:t>
      </w:r>
    </w:p>
    <w:p w:rsidR="00394A80" w:rsidRPr="00F7478E" w:rsidRDefault="00394A80" w:rsidP="00394A80">
      <w:pPr>
        <w:pStyle w:val="NormalHanging12a"/>
      </w:pPr>
      <w:r w:rsidRPr="00F7478E">
        <w:t>–</w:t>
      </w:r>
      <w:r w:rsidRPr="00F7478E">
        <w:tab/>
        <w:t>Tendo em conta a Comunicação da Comissão, de 20 de maio de 2020, intitulada «Estratégia de Biodiversidade da UE para 2030 – Trazer a natureza de volta às nossas vidas» (COM(2020)0380), a resolução do Parlamento, de 9 de junho de 2021</w:t>
      </w:r>
      <w:r w:rsidRPr="00F7478E">
        <w:rPr>
          <w:rStyle w:val="FootnoteReference"/>
        </w:rPr>
        <w:footnoteReference w:id="1"/>
      </w:r>
      <w:r w:rsidRPr="00F7478E">
        <w:t>, sobre esta estratégia e as resoluções do Conselho, de 23 de outubro de 2020, também sobre a referida estratégia,</w:t>
      </w:r>
    </w:p>
    <w:p w:rsidR="00394A80" w:rsidRPr="00F7478E" w:rsidRDefault="00394A80" w:rsidP="00394A80">
      <w:pPr>
        <w:pStyle w:val="NormalHanging12a"/>
      </w:pPr>
      <w:r w:rsidRPr="00F7478E">
        <w:t>–</w:t>
      </w:r>
      <w:r w:rsidRPr="00F7478E">
        <w:tab/>
        <w:t xml:space="preserve">Tendo em conta a Comunicação da Comissão, de 17 de maio de 2021, relativa a uma </w:t>
      </w:r>
      <w:r w:rsidRPr="00F7478E">
        <w:lastRenderedPageBreak/>
        <w:t>nova abordagem para uma economia azul sustentável na UE – Transformar a economia azul da UE para assegurar um futuro sustentável (</w:t>
      </w:r>
      <w:proofErr w:type="gramStart"/>
      <w:r w:rsidRPr="00F7478E">
        <w:t>COM(</w:t>
      </w:r>
      <w:proofErr w:type="gramEnd"/>
      <w:r w:rsidRPr="00F7478E">
        <w:t>2021)0240),</w:t>
      </w:r>
    </w:p>
    <w:p w:rsidR="00394A80" w:rsidRPr="00F7478E" w:rsidRDefault="00394A80" w:rsidP="00394A80">
      <w:pPr>
        <w:pStyle w:val="NormalHanging12a"/>
      </w:pPr>
      <w:r w:rsidRPr="00F7478E">
        <w:t>–</w:t>
      </w:r>
      <w:r w:rsidRPr="00F7478E">
        <w:tab/>
        <w:t>Tendo em conta a sua Resolução, de 3 de maio de 2022, intitulada «Rumo a uma economia azul sustentável na UE: o papel dos setores das pescas e da aquicultura»</w:t>
      </w:r>
      <w:r w:rsidRPr="00F7478E">
        <w:rPr>
          <w:rStyle w:val="FootnoteReference"/>
        </w:rPr>
        <w:footnoteReference w:id="2"/>
      </w:r>
      <w:r w:rsidRPr="00F7478E">
        <w:t>,</w:t>
      </w:r>
    </w:p>
    <w:p w:rsidR="00394A80" w:rsidRPr="00F7478E" w:rsidRDefault="00394A80" w:rsidP="00394A80">
      <w:pPr>
        <w:pStyle w:val="NormalHanging12a"/>
      </w:pPr>
      <w:r w:rsidRPr="00F7478E">
        <w:t>–</w:t>
      </w:r>
      <w:r w:rsidRPr="00F7478E">
        <w:tab/>
        <w:t>Tendo em conta a sua Resolução, de 7 de outubro de 2021, sobre o Ártico: oportunidades, preocupações e desafios para a segurança</w:t>
      </w:r>
      <w:r w:rsidRPr="00F7478E">
        <w:rPr>
          <w:rStyle w:val="FootnoteReference"/>
        </w:rPr>
        <w:footnoteReference w:id="3"/>
      </w:r>
      <w:r w:rsidRPr="00F7478E">
        <w:t>,</w:t>
      </w:r>
    </w:p>
    <w:p w:rsidR="00394A80" w:rsidRPr="00F7478E" w:rsidRDefault="00394A80" w:rsidP="00394A80">
      <w:pPr>
        <w:pStyle w:val="NormalHanging12a"/>
      </w:pPr>
      <w:r w:rsidRPr="00F7478E">
        <w:t>–</w:t>
      </w:r>
      <w:r w:rsidRPr="00F7478E">
        <w:tab/>
        <w:t>Tendo em conta a sua Resolução, de 16 de janeiro de 2018, sobre a governação internacional dos oceanos: uma agenda para o futuro dos nossos oceanos no contexto dos ODS da Agenda 2030</w:t>
      </w:r>
      <w:r w:rsidRPr="00F7478E">
        <w:rPr>
          <w:rStyle w:val="FootnoteReference"/>
        </w:rPr>
        <w:footnoteReference w:id="4"/>
      </w:r>
      <w:r w:rsidRPr="00F7478E">
        <w:t>,</w:t>
      </w:r>
    </w:p>
    <w:p w:rsidR="00394A80" w:rsidRPr="00F7478E" w:rsidRDefault="00394A80" w:rsidP="00394A80">
      <w:pPr>
        <w:pStyle w:val="NormalHanging12a"/>
      </w:pPr>
      <w:r w:rsidRPr="00F7478E">
        <w:t>–</w:t>
      </w:r>
      <w:r w:rsidRPr="00F7478E">
        <w:tab/>
        <w:t>Tendo em conta a sua Resolução, de 6 de outubro de 2022, sobre o impulso aos oceanos: reforçar a governação e a biodiversidade dos oceanos</w:t>
      </w:r>
      <w:r w:rsidRPr="00F7478E">
        <w:rPr>
          <w:rStyle w:val="FootnoteReference"/>
        </w:rPr>
        <w:footnoteReference w:id="5"/>
      </w:r>
      <w:r w:rsidRPr="00F7478E">
        <w:t>,</w:t>
      </w:r>
    </w:p>
    <w:p w:rsidR="00394A80" w:rsidRPr="00F7478E" w:rsidRDefault="00394A80" w:rsidP="00394A80">
      <w:pPr>
        <w:pStyle w:val="NormalHanging12a"/>
      </w:pPr>
      <w:r w:rsidRPr="00F7478E">
        <w:t>–</w:t>
      </w:r>
      <w:r w:rsidRPr="00F7478E">
        <w:tab/>
        <w:t>Tendo em conta a comunicação conjunta da Comissão e do Alto Representante da União para os Negócios Estrangeiros e a Política de Segurança, de 24 de junho de 2022, intitulada «Definição do rumo para um planeta azul sustentável – Comunicação Conjunta sobre a Agenda de governação internacional dos oceanos da UE» (</w:t>
      </w:r>
      <w:proofErr w:type="gramStart"/>
      <w:r w:rsidRPr="00F7478E">
        <w:t>JOIN(</w:t>
      </w:r>
      <w:proofErr w:type="gramEnd"/>
      <w:r w:rsidRPr="00F7478E">
        <w:t>2022)0028),</w:t>
      </w:r>
    </w:p>
    <w:p w:rsidR="00394A80" w:rsidRPr="00F7478E" w:rsidRDefault="00394A80" w:rsidP="00394A80">
      <w:pPr>
        <w:pStyle w:val="NormalHanging12a"/>
      </w:pPr>
      <w:r w:rsidRPr="00F7478E">
        <w:t>–</w:t>
      </w:r>
      <w:r w:rsidRPr="00F7478E">
        <w:tab/>
        <w:t>Tendo em conta a comunicação conjunta da Comissão e do Alto Representante da União para os Negócios Estrangeiros e a Política de Segurança, de 10 de novembro de 2016, intitulada «Governação internacional dos oceanos: uma agenda para o futuro dos nossos oceanos» (</w:t>
      </w:r>
      <w:proofErr w:type="gramStart"/>
      <w:r w:rsidRPr="00F7478E">
        <w:t>JOIN(</w:t>
      </w:r>
      <w:proofErr w:type="gramEnd"/>
      <w:r w:rsidRPr="00F7478E">
        <w:t xml:space="preserve">2016)0049), </w:t>
      </w:r>
    </w:p>
    <w:p w:rsidR="00394A80" w:rsidRPr="00F7478E" w:rsidRDefault="00394A80" w:rsidP="00394A80">
      <w:pPr>
        <w:pStyle w:val="NormalHanging12a"/>
      </w:pPr>
      <w:r w:rsidRPr="00F7478E">
        <w:t>–</w:t>
      </w:r>
      <w:r w:rsidRPr="00F7478E">
        <w:tab/>
        <w:t>Tendo em conta a nota verbal n.º 21/13, de outubro de 2023, enviada ao Ministério Real dos Negócios Estrangeiros da Noruega,</w:t>
      </w:r>
    </w:p>
    <w:p w:rsidR="00394A80" w:rsidRPr="00F7478E" w:rsidRDefault="00394A80" w:rsidP="00394A80">
      <w:pPr>
        <w:pStyle w:val="NormalHanging12a"/>
      </w:pPr>
      <w:r w:rsidRPr="00F7478E">
        <w:t>–</w:t>
      </w:r>
      <w:r w:rsidRPr="00F7478E">
        <w:tab/>
        <w:t xml:space="preserve">Tendo em conta a Convenção sobre a Diversidade Biológica, que entrou em vigor em 29 de dezembro de 1993, o Quadro Mundial para a Biodiversidade de </w:t>
      </w:r>
      <w:proofErr w:type="spellStart"/>
      <w:r w:rsidRPr="00F7478E">
        <w:t>Kunming</w:t>
      </w:r>
      <w:proofErr w:type="spellEnd"/>
      <w:r w:rsidRPr="00F7478E">
        <w:noBreakHyphen/>
        <w:t>Montreal e a Decisão 15/24 da 15.ª Conferência das Partes na Convenção sobre a Diversidade Biológica sobre a conservação e utilização sustentável da biodiversidade marinha e costeira,</w:t>
      </w:r>
    </w:p>
    <w:p w:rsidR="00394A80" w:rsidRPr="00F7478E" w:rsidRDefault="00394A80" w:rsidP="00394A80">
      <w:pPr>
        <w:pStyle w:val="NormalHanging12a"/>
      </w:pPr>
      <w:r w:rsidRPr="00F7478E">
        <w:t>–</w:t>
      </w:r>
      <w:r w:rsidRPr="00F7478E">
        <w:tab/>
        <w:t xml:space="preserve">Tendo em conta a Convenção das Nações Unidas sobre o Direito do Mar (CNUDM), nomeadamente o artigo 145.º relativo à proteção do meio marinho, </w:t>
      </w:r>
    </w:p>
    <w:p w:rsidR="00394A80" w:rsidRPr="00F7478E" w:rsidRDefault="00394A80" w:rsidP="00394A80">
      <w:pPr>
        <w:pStyle w:val="NormalHanging12a"/>
      </w:pPr>
      <w:r w:rsidRPr="00F7478E">
        <w:t>–</w:t>
      </w:r>
      <w:r w:rsidRPr="00F7478E">
        <w:tab/>
        <w:t>Tendo em conta o Acordo no âmbito da CNUDM relativo à conservação e à utilização sustentável da diversidade biológica marinha das áreas não sujeitas à jurisdição nacional («Acordo BBNJ»),</w:t>
      </w:r>
    </w:p>
    <w:p w:rsidR="00394A80" w:rsidRPr="00F7478E" w:rsidRDefault="00394A80" w:rsidP="00394A80">
      <w:pPr>
        <w:pStyle w:val="NormalHanging12a"/>
      </w:pPr>
      <w:r w:rsidRPr="00F7478E">
        <w:t>–</w:t>
      </w:r>
      <w:r w:rsidRPr="00F7478E">
        <w:tab/>
        <w:t>Tendo em conta o mandato no âmbito da Autoridade Internacional dos Fundos Marinhos, instituída nos termos da CNUDM, e o Acordo de 1994 relativo à aplicação da parte XI da CNUDM,</w:t>
      </w:r>
    </w:p>
    <w:p w:rsidR="00394A80" w:rsidRPr="00F7478E" w:rsidRDefault="00394A80" w:rsidP="00394A80">
      <w:pPr>
        <w:pStyle w:val="NormalHanging12a"/>
      </w:pPr>
      <w:r w:rsidRPr="00F7478E">
        <w:lastRenderedPageBreak/>
        <w:t>–</w:t>
      </w:r>
      <w:r w:rsidRPr="00F7478E">
        <w:tab/>
        <w:t>Tendo em conta a Convenção para a Proteção do Meio Marinho do Atlântico Nordeste (Convenção OSPAR), que abrange as águas do Ártico,</w:t>
      </w:r>
    </w:p>
    <w:p w:rsidR="00394A80" w:rsidRPr="00F7478E" w:rsidRDefault="00394A80" w:rsidP="00394A80">
      <w:pPr>
        <w:pStyle w:val="NormalHanging12a"/>
      </w:pPr>
      <w:r w:rsidRPr="00F7478E">
        <w:t>–</w:t>
      </w:r>
      <w:r w:rsidRPr="00F7478E">
        <w:tab/>
        <w:t>Tendo em conta o Tratado de Svalbard, de 1920, celebrado em 9 de fevereiro de 1920, em Paris,</w:t>
      </w:r>
    </w:p>
    <w:p w:rsidR="00394A80" w:rsidRPr="00F7478E" w:rsidRDefault="00394A80" w:rsidP="00394A80">
      <w:pPr>
        <w:pStyle w:val="NormalHanging12a"/>
      </w:pPr>
      <w:r w:rsidRPr="00F7478E">
        <w:t>–</w:t>
      </w:r>
      <w:r w:rsidRPr="00F7478E">
        <w:tab/>
        <w:t>Tendo em conta a Convenção relativa à avaliação dos impactes ambientais num contexto transfronteiras</w:t>
      </w:r>
      <w:r w:rsidRPr="00F7478E">
        <w:rPr>
          <w:rStyle w:val="FootnoteReference"/>
        </w:rPr>
        <w:footnoteReference w:id="6"/>
      </w:r>
      <w:r w:rsidRPr="00F7478E">
        <w:t>, assinada em Espoo em 25 de fevereiro de 1991 (Convenção de Espoo) e o respetivo protocolo relativo à avaliação ambiental estratégica</w:t>
      </w:r>
      <w:r w:rsidRPr="00F7478E">
        <w:rPr>
          <w:rStyle w:val="FootnoteReference"/>
        </w:rPr>
        <w:footnoteReference w:id="7"/>
      </w:r>
      <w:r w:rsidRPr="00F7478E">
        <w:t xml:space="preserve"> (Protocolo AAE),</w:t>
      </w:r>
    </w:p>
    <w:p w:rsidR="00394A80" w:rsidRPr="00F7478E" w:rsidRDefault="00394A80" w:rsidP="00394A80">
      <w:pPr>
        <w:pStyle w:val="NormalHanging12a"/>
      </w:pPr>
      <w:r w:rsidRPr="00F7478E">
        <w:t>–</w:t>
      </w:r>
      <w:r w:rsidRPr="00F7478E">
        <w:tab/>
        <w:t>Tendo em conta o painel de alto nível para uma economia dos oceanos sustentável, do qual a Noruega é membro fundador,</w:t>
      </w:r>
    </w:p>
    <w:p w:rsidR="00394A80" w:rsidRPr="00F7478E" w:rsidRDefault="00394A80" w:rsidP="00394A80">
      <w:pPr>
        <w:pStyle w:val="NormalHanging12a"/>
      </w:pPr>
      <w:r w:rsidRPr="00F7478E">
        <w:t>–</w:t>
      </w:r>
      <w:r w:rsidRPr="00F7478E">
        <w:tab/>
        <w:t xml:space="preserve">Tendo em conta a Resolução 122 da </w:t>
      </w:r>
      <w:r w:rsidRPr="00F7478E">
        <w:rPr>
          <w:rStyle w:val="expandableitem"/>
        </w:rPr>
        <w:t>União Internacional para a Conservação da Natureza (</w:t>
      </w:r>
      <w:r w:rsidRPr="00F7478E">
        <w:t>UICN) intitulada «</w:t>
      </w:r>
      <w:proofErr w:type="spellStart"/>
      <w:r w:rsidRPr="00F7478E">
        <w:t>Protection</w:t>
      </w:r>
      <w:proofErr w:type="spellEnd"/>
      <w:r w:rsidRPr="00F7478E">
        <w:t xml:space="preserve"> </w:t>
      </w:r>
      <w:proofErr w:type="spellStart"/>
      <w:r w:rsidRPr="00F7478E">
        <w:t>of</w:t>
      </w:r>
      <w:proofErr w:type="spellEnd"/>
      <w:r w:rsidRPr="00F7478E">
        <w:t xml:space="preserve"> </w:t>
      </w:r>
      <w:proofErr w:type="spellStart"/>
      <w:r w:rsidRPr="00F7478E">
        <w:t>deep</w:t>
      </w:r>
      <w:r w:rsidRPr="00F7478E">
        <w:noBreakHyphen/>
        <w:t>ocean</w:t>
      </w:r>
      <w:proofErr w:type="spellEnd"/>
      <w:r w:rsidRPr="00F7478E">
        <w:t xml:space="preserve"> </w:t>
      </w:r>
      <w:proofErr w:type="spellStart"/>
      <w:r w:rsidRPr="00F7478E">
        <w:t>ecosystems</w:t>
      </w:r>
      <w:proofErr w:type="spellEnd"/>
      <w:r w:rsidRPr="00F7478E">
        <w:t xml:space="preserve"> </w:t>
      </w:r>
      <w:proofErr w:type="spellStart"/>
      <w:r w:rsidRPr="00F7478E">
        <w:t>and</w:t>
      </w:r>
      <w:proofErr w:type="spellEnd"/>
      <w:r w:rsidRPr="00F7478E">
        <w:t xml:space="preserve"> </w:t>
      </w:r>
      <w:proofErr w:type="spellStart"/>
      <w:r w:rsidRPr="00F7478E">
        <w:t>biodiversity</w:t>
      </w:r>
      <w:proofErr w:type="spellEnd"/>
      <w:r w:rsidRPr="00F7478E">
        <w:t xml:space="preserve"> </w:t>
      </w:r>
      <w:proofErr w:type="spellStart"/>
      <w:r w:rsidRPr="00F7478E">
        <w:t>through</w:t>
      </w:r>
      <w:proofErr w:type="spellEnd"/>
      <w:r w:rsidRPr="00F7478E">
        <w:t xml:space="preserve"> a </w:t>
      </w:r>
      <w:proofErr w:type="spellStart"/>
      <w:r w:rsidRPr="00F7478E">
        <w:t>moratorium</w:t>
      </w:r>
      <w:proofErr w:type="spellEnd"/>
      <w:r w:rsidRPr="00F7478E">
        <w:t xml:space="preserve"> </w:t>
      </w:r>
      <w:proofErr w:type="spellStart"/>
      <w:r w:rsidRPr="00F7478E">
        <w:t>on</w:t>
      </w:r>
      <w:proofErr w:type="spellEnd"/>
      <w:r w:rsidRPr="00F7478E">
        <w:t xml:space="preserve"> </w:t>
      </w:r>
      <w:proofErr w:type="spellStart"/>
      <w:r w:rsidRPr="00F7478E">
        <w:t>seabed</w:t>
      </w:r>
      <w:proofErr w:type="spellEnd"/>
      <w:r w:rsidRPr="00F7478E">
        <w:t xml:space="preserve"> </w:t>
      </w:r>
      <w:proofErr w:type="spellStart"/>
      <w:r w:rsidRPr="00F7478E">
        <w:t>mining</w:t>
      </w:r>
      <w:proofErr w:type="spellEnd"/>
      <w:r w:rsidRPr="00F7478E">
        <w:t>» [Proteção dos ecossistemas e da biodiversidade das águas oceânicas profundas através de uma moratória à exploração mineira dos fundos marinhos],</w:t>
      </w:r>
    </w:p>
    <w:p w:rsidR="00394A80" w:rsidRPr="00F7478E" w:rsidRDefault="00394A80" w:rsidP="00394A80">
      <w:pPr>
        <w:pStyle w:val="NormalHanging12a"/>
      </w:pPr>
      <w:r w:rsidRPr="00F7478E">
        <w:t>–</w:t>
      </w:r>
      <w:r w:rsidRPr="00F7478E">
        <w:tab/>
        <w:t>Tendo em conta a Resolução da Assembleia Geral das Nações Unidas intitulada «Transformar o nosso mundo: Agenda 2030 de Desenvolvimento Sustentável», adotada na Cimeira das Nações Unidas para o Desenvolvimento Sustentável, realizada em Nova Iorque, em 25 de setembro de 2015, e em particular, o Objetivo de Desenvolvimento Sustentável (ODS) 14 da Agenda 2030 das Nações Unidas para o Desenvolvimento Sustentável, que incentiva a conservação e a utilização sustentável dos oceanos, dos mares e dos recursos marinhos,</w:t>
      </w:r>
    </w:p>
    <w:p w:rsidR="00394A80" w:rsidRPr="00F7478E" w:rsidRDefault="00394A80" w:rsidP="00394A80">
      <w:pPr>
        <w:pStyle w:val="NormalHanging12a"/>
      </w:pPr>
      <w:r w:rsidRPr="00F7478E">
        <w:t>–</w:t>
      </w:r>
      <w:r w:rsidRPr="00F7478E">
        <w:tab/>
        <w:t xml:space="preserve">Tendo em conta o relatório de avaliação mundial da Plataforma Intergovernamental Científica e Política sobre a Biodiversidade e os Serviços </w:t>
      </w:r>
      <w:proofErr w:type="spellStart"/>
      <w:r w:rsidRPr="00F7478E">
        <w:t>Ecossistémicos</w:t>
      </w:r>
      <w:proofErr w:type="spellEnd"/>
      <w:r w:rsidRPr="00F7478E">
        <w:t xml:space="preserve">, de maio de 2019, sobre a biodiversidade e os serviços </w:t>
      </w:r>
      <w:proofErr w:type="spellStart"/>
      <w:r w:rsidRPr="00F7478E">
        <w:t>ecossistémicos</w:t>
      </w:r>
      <w:proofErr w:type="spellEnd"/>
      <w:r w:rsidRPr="00F7478E">
        <w:t>,</w:t>
      </w:r>
    </w:p>
    <w:p w:rsidR="00394A80" w:rsidRPr="00F7478E" w:rsidRDefault="00394A80" w:rsidP="00394A80">
      <w:pPr>
        <w:pStyle w:val="NormalHanging12a"/>
      </w:pPr>
      <w:r w:rsidRPr="00F7478E">
        <w:t>–</w:t>
      </w:r>
      <w:r w:rsidRPr="00F7478E">
        <w:tab/>
        <w:t>Tendo em conta o acordo adotado na 21.ª Conferência das Partes na Convenção</w:t>
      </w:r>
      <w:r w:rsidRPr="00F7478E">
        <w:noBreakHyphen/>
        <w:t>Quadro das Nações Unidas sobre Alterações Climáticas (COP21), realizada em Paris, em 12 de dezembro de 2015, e que entrou em vigor em 4 de novembro de 2016, bem como as subsequentes decisões da Conferência das Partes,</w:t>
      </w:r>
    </w:p>
    <w:p w:rsidR="00394A80" w:rsidRPr="00F7478E" w:rsidRDefault="00394A80" w:rsidP="00394A80">
      <w:pPr>
        <w:pStyle w:val="NormalHanging12a"/>
      </w:pPr>
      <w:r w:rsidRPr="00F7478E">
        <w:t>–</w:t>
      </w:r>
      <w:r w:rsidRPr="00F7478E">
        <w:tab/>
        <w:t>Tendo em conta o Relatório Especial do Painel Intergovernamental sobre as Alterações Climáticas, de 24 de setembro de 2019, sobre o oceano e a criosfera num clima em mudança,</w:t>
      </w:r>
    </w:p>
    <w:p w:rsidR="00394A80" w:rsidRPr="00F7478E" w:rsidRDefault="00394A80" w:rsidP="00394A80">
      <w:pPr>
        <w:pStyle w:val="NormalHanging12a"/>
      </w:pPr>
      <w:r w:rsidRPr="00F7478E">
        <w:t>–</w:t>
      </w:r>
      <w:r w:rsidRPr="00F7478E">
        <w:tab/>
        <w:t>Tendo em conta o artigo 132.º, n.º 2, do seu Regimento,</w:t>
      </w:r>
    </w:p>
    <w:p w:rsidR="00394A80" w:rsidRPr="00F7478E" w:rsidRDefault="00394A80" w:rsidP="00394A80">
      <w:pPr>
        <w:pStyle w:val="NormalHanging12a"/>
      </w:pPr>
      <w:r w:rsidRPr="00F7478E">
        <w:t>A.</w:t>
      </w:r>
      <w:r w:rsidRPr="00F7478E">
        <w:tab/>
        <w:t>Considerando que, em 9 de janeiro de 2024, o Parlamento norueguês (</w:t>
      </w:r>
      <w:proofErr w:type="spellStart"/>
      <w:r w:rsidRPr="00F7478E">
        <w:t>Storting</w:t>
      </w:r>
      <w:proofErr w:type="spellEnd"/>
      <w:r w:rsidRPr="00F7478E">
        <w:t>) aprovou uma decisão que permite explorar uma área de 281 200 quilómetros quadrados no Ártico com vista a uma eventual exploração mineira dos fundos marinhos</w:t>
      </w:r>
      <w:r w:rsidR="00D77B48" w:rsidRPr="00F7478E">
        <w:t>; considerando que</w:t>
      </w:r>
      <w:r w:rsidRPr="00F7478E">
        <w:t xml:space="preserve"> o processo ainda não foi concluído e que as decisões posteriores sobre planos de extração ou licenças de exploração mineira dependem de futuras decisões democráticas do Governo norueguês, em conformidade com a lei norueguesa relativa aos minerais </w:t>
      </w:r>
      <w:r w:rsidRPr="00F7478E">
        <w:lastRenderedPageBreak/>
        <w:t>dos fundos marinhos</w:t>
      </w:r>
      <w:r w:rsidR="00D77B48" w:rsidRPr="00F7478E">
        <w:t>; considerando que</w:t>
      </w:r>
      <w:r w:rsidRPr="00F7478E">
        <w:t xml:space="preserve">, de acordo com a referida decisão, os primeiros planos de extração têm de ser aprovados pelo </w:t>
      </w:r>
      <w:proofErr w:type="spellStart"/>
      <w:r w:rsidRPr="00F7478E">
        <w:t>Storting</w:t>
      </w:r>
      <w:proofErr w:type="spellEnd"/>
      <w:r w:rsidRPr="00F7478E">
        <w:t>;</w:t>
      </w:r>
    </w:p>
    <w:p w:rsidR="00394A80" w:rsidRPr="00F7478E" w:rsidRDefault="00394A80" w:rsidP="00394A80">
      <w:pPr>
        <w:pStyle w:val="NormalHanging12a"/>
      </w:pPr>
      <w:proofErr w:type="gramStart"/>
      <w:r w:rsidRPr="00F7478E">
        <w:t>B.</w:t>
      </w:r>
      <w:r w:rsidRPr="00F7478E">
        <w:tab/>
        <w:t>Considerando</w:t>
      </w:r>
      <w:proofErr w:type="gramEnd"/>
      <w:r w:rsidRPr="00F7478E">
        <w:t xml:space="preserve"> que a Agência norueguesa do Ambiente considera que a avaliação de impacto ambiental apresenta lacunas de conhecimento significativas sobre a natureza, a tecnologia e os potenciais efeitos ambientais e que, por conseguinte, não constitui uma base suficiente para a extração de minerais;</w:t>
      </w:r>
    </w:p>
    <w:p w:rsidR="00394A80" w:rsidRPr="00F7478E" w:rsidRDefault="00394A80" w:rsidP="00394A80">
      <w:pPr>
        <w:pStyle w:val="NormalHanging12a"/>
      </w:pPr>
      <w:proofErr w:type="gramStart"/>
      <w:r w:rsidRPr="00F7478E">
        <w:t>C.</w:t>
      </w:r>
      <w:r w:rsidRPr="00F7478E">
        <w:tab/>
        <w:t>Considerando</w:t>
      </w:r>
      <w:proofErr w:type="gramEnd"/>
      <w:r w:rsidRPr="00F7478E">
        <w:t xml:space="preserve"> que a Noruega e a UE mantêm uma relação profunda e de longa data enquanto vizinhos e parceiros, partilham objetivos políticos e valores fundamentais comuns e fazem parte do mercado único através do Espaço Económico Europeu;</w:t>
      </w:r>
    </w:p>
    <w:p w:rsidR="00394A80" w:rsidRPr="00F7478E" w:rsidRDefault="00394A80" w:rsidP="00394A80">
      <w:pPr>
        <w:pStyle w:val="NormalHanging12a"/>
      </w:pPr>
      <w:r w:rsidRPr="00F7478E">
        <w:t>D.</w:t>
      </w:r>
      <w:r w:rsidRPr="00F7478E">
        <w:tab/>
        <w:t>Considerando que grande parte da zona de exploração proposta está situada na plataforma continental alargada norueguesa e que grande parte da zona situada acima da plataforma continental alargada é considerada alto</w:t>
      </w:r>
      <w:r w:rsidRPr="00F7478E">
        <w:noBreakHyphen/>
        <w:t>mar e zona de pesca internacional</w:t>
      </w:r>
      <w:r w:rsidR="00D77B48" w:rsidRPr="00F7478E">
        <w:t>; considerando que</w:t>
      </w:r>
      <w:r w:rsidRPr="00F7478E">
        <w:t xml:space="preserve"> esta plataforma continental está sujeita às disposições do Tratado de Svalbard de 1920</w:t>
      </w:r>
      <w:r w:rsidR="00D77B48" w:rsidRPr="00F7478E">
        <w:t>; considerando que</w:t>
      </w:r>
      <w:r w:rsidRPr="00F7478E">
        <w:t xml:space="preserve"> a zona faz parte da zona de pesca protegida de Svalbard, o que permite aos Estados partes, nomeadamente 22 Estados</w:t>
      </w:r>
      <w:r w:rsidRPr="00F7478E">
        <w:noBreakHyphen/>
        <w:t>Membros da UE e 23 outros Estados, estabelecer pescarias em igualdade de condições;</w:t>
      </w:r>
    </w:p>
    <w:p w:rsidR="00394A80" w:rsidRPr="00F7478E" w:rsidRDefault="00394A80" w:rsidP="00394A80">
      <w:pPr>
        <w:pStyle w:val="NormalHanging12a"/>
      </w:pPr>
      <w:r w:rsidRPr="00F7478E">
        <w:t>E.</w:t>
      </w:r>
      <w:r w:rsidRPr="00F7478E">
        <w:tab/>
        <w:t xml:space="preserve">Considerando que a </w:t>
      </w:r>
      <w:r w:rsidR="00D77B48" w:rsidRPr="00F7478E">
        <w:t>UE</w:t>
      </w:r>
      <w:r w:rsidRPr="00F7478E">
        <w:t xml:space="preserve"> enviou, em outubro de 2023, uma nota verbal à Noruega manifestando a sua preocupação com os importantes efeitos negativos da anunciada extração mineira marítima nas unidades populacionais de peixes, nas pescarias e no acesso aos pesqueiros, designadamente na plataforma continental do arquipélago de Svalbard;</w:t>
      </w:r>
    </w:p>
    <w:p w:rsidR="00394A80" w:rsidRPr="00F7478E" w:rsidRDefault="00394A80" w:rsidP="00394A80">
      <w:pPr>
        <w:pStyle w:val="NormalHanging12a"/>
      </w:pPr>
      <w:proofErr w:type="gramStart"/>
      <w:r w:rsidRPr="00F7478E">
        <w:t>F.</w:t>
      </w:r>
      <w:r w:rsidRPr="00F7478E">
        <w:tab/>
        <w:t>Considerando</w:t>
      </w:r>
      <w:proofErr w:type="gramEnd"/>
      <w:r w:rsidRPr="00F7478E">
        <w:t xml:space="preserve"> que a Noruega é signatária da Convenção de Espoo e do Protocolo AAE, o que significa que tem a obrigação jurídica de evitar impactos transfronteiriços significativos</w:t>
      </w:r>
      <w:r w:rsidR="00D77B48" w:rsidRPr="00F7478E">
        <w:t>; considerando que</w:t>
      </w:r>
      <w:r w:rsidRPr="00F7478E">
        <w:t xml:space="preserve"> a Noruega também tem a obrigação jurídica de proteger o meio marinho ao abrigo da Convenção OSPAR;</w:t>
      </w:r>
    </w:p>
    <w:p w:rsidR="00394A80" w:rsidRPr="00F7478E" w:rsidRDefault="00394A80" w:rsidP="00394A80">
      <w:pPr>
        <w:pStyle w:val="NormalHanging12a"/>
      </w:pPr>
      <w:r w:rsidRPr="00F7478E">
        <w:t>G.</w:t>
      </w:r>
      <w:r w:rsidRPr="00F7478E">
        <w:tab/>
        <w:t>Considerando que os ecossistemas do Ártico têm uma importância ambiental fundamental para a biodiversidade, as unidades populacionais de peixes e a regulação climática</w:t>
      </w:r>
      <w:r w:rsidR="00D77B48" w:rsidRPr="00F7478E">
        <w:t>; considerando que</w:t>
      </w:r>
      <w:r w:rsidRPr="00F7478E">
        <w:t xml:space="preserve"> estes ecossistemas particularmente vulneráveis já enfrentam pressões decorrentes das alterações climáticas, que tornam os oceanos mais ácidos e mais quentes, o que provavelmente afetará os padrões de migração de importantes unidades populacionais de peixes</w:t>
      </w:r>
      <w:r w:rsidR="00D77B48" w:rsidRPr="00F7478E">
        <w:t>; considerando que</w:t>
      </w:r>
      <w:r w:rsidRPr="00F7478E">
        <w:t xml:space="preserve"> a extração de minerais nos fundos marinhos do Ártico poderá libertar metano armazenado nos ecossistemas </w:t>
      </w:r>
      <w:proofErr w:type="spellStart"/>
      <w:r w:rsidRPr="00F7478E">
        <w:t>subglaciares</w:t>
      </w:r>
      <w:proofErr w:type="spellEnd"/>
      <w:r w:rsidRPr="00F7478E">
        <w:t xml:space="preserve"> e nos </w:t>
      </w:r>
      <w:proofErr w:type="spellStart"/>
      <w:r w:rsidRPr="00F7478E">
        <w:t>pergelissolos</w:t>
      </w:r>
      <w:proofErr w:type="spellEnd"/>
      <w:r w:rsidRPr="00F7478E">
        <w:t xml:space="preserve"> árticos</w:t>
      </w:r>
      <w:r w:rsidR="00D77B48" w:rsidRPr="00F7478E">
        <w:t>; considerando que</w:t>
      </w:r>
      <w:r w:rsidRPr="00F7478E">
        <w:t xml:space="preserve"> os ecossistemas árticos são altamente suscetíveis à poluição e a outros impactos de origem humana</w:t>
      </w:r>
      <w:r w:rsidR="00D77B48" w:rsidRPr="00F7478E">
        <w:t>; considerando que</w:t>
      </w:r>
      <w:r w:rsidRPr="00F7478E">
        <w:t xml:space="preserve"> os processos de reparação ou limpeza necessários são muito difíceis de realizar devido às condições naturais adversas e às longas distâncias dos portos;</w:t>
      </w:r>
    </w:p>
    <w:p w:rsidR="00394A80" w:rsidRPr="00F7478E" w:rsidRDefault="00394A80" w:rsidP="00394A80">
      <w:pPr>
        <w:pStyle w:val="NormalHanging12a"/>
      </w:pPr>
      <w:r w:rsidRPr="00F7478E">
        <w:t>H.</w:t>
      </w:r>
      <w:r w:rsidRPr="00F7478E">
        <w:tab/>
        <w:t>Considerando que o alto</w:t>
      </w:r>
      <w:r w:rsidRPr="00F7478E">
        <w:noBreakHyphen/>
        <w:t>mar é o bioma mais antigo do planeta e é a zona do planeta menos conhecida pela humanidade</w:t>
      </w:r>
      <w:r w:rsidR="00D77B48" w:rsidRPr="00F7478E">
        <w:t>; considerando que</w:t>
      </w:r>
      <w:r w:rsidRPr="00F7478E">
        <w:t xml:space="preserve"> se crê que o alto</w:t>
      </w:r>
      <w:r w:rsidRPr="00F7478E">
        <w:noBreakHyphen/>
        <w:t>mar tem a maior biodiversidade na Terra, presta serviços ambientais críticos, nomeadamente o sequestro de carbono a longo prazo, e é vulnerável a perturbações de origem humana</w:t>
      </w:r>
      <w:r w:rsidR="00D77B48" w:rsidRPr="00F7478E">
        <w:t>; considerando que</w:t>
      </w:r>
      <w:r w:rsidRPr="00F7478E">
        <w:t xml:space="preserve"> os oceanos absorvem cerca de 90 % do excesso de calor e 25 % das emissões mundiais de CO</w:t>
      </w:r>
      <w:r w:rsidRPr="00F7478E">
        <w:rPr>
          <w:vertAlign w:val="subscript"/>
        </w:rPr>
        <w:t>2</w:t>
      </w:r>
      <w:r w:rsidR="00D77B48" w:rsidRPr="00F7478E">
        <w:t>; considerando que</w:t>
      </w:r>
      <w:r w:rsidRPr="00F7478E">
        <w:t xml:space="preserve"> foram manifestadas graves preocupações quanto aos impactos da extração mineira marítima na perda de biodiversidade e no funcionamento do ecossistema, cujos efeitos se repercutirão em muitas gerações futuras</w:t>
      </w:r>
      <w:r w:rsidR="00D77B48" w:rsidRPr="00F7478E">
        <w:t xml:space="preserve">; </w:t>
      </w:r>
      <w:r w:rsidR="00D77B48" w:rsidRPr="00F7478E">
        <w:lastRenderedPageBreak/>
        <w:t>considerando que</w:t>
      </w:r>
      <w:r w:rsidRPr="00F7478E">
        <w:t xml:space="preserve"> os oceanos devem ser reconhecidos a nível internacional como um bem comum mundial e devem ser protegidos à luz da sua singularidade e </w:t>
      </w:r>
      <w:proofErr w:type="spellStart"/>
      <w:r w:rsidRPr="00F7478E">
        <w:t>interconectividade</w:t>
      </w:r>
      <w:proofErr w:type="spellEnd"/>
      <w:r w:rsidRPr="00F7478E">
        <w:t xml:space="preserve"> e dos serviços </w:t>
      </w:r>
      <w:proofErr w:type="spellStart"/>
      <w:r w:rsidRPr="00F7478E">
        <w:t>ecossistémicos</w:t>
      </w:r>
      <w:proofErr w:type="spellEnd"/>
      <w:r w:rsidRPr="00F7478E">
        <w:t xml:space="preserve"> essenciais que prestam</w:t>
      </w:r>
      <w:r w:rsidR="00D77B48" w:rsidRPr="00F7478E">
        <w:t>; considerando que</w:t>
      </w:r>
      <w:r w:rsidRPr="00F7478E">
        <w:t xml:space="preserve"> as gerações atuais e futuras dependem destes serviços para a sua sobrevivência e bem</w:t>
      </w:r>
      <w:r w:rsidRPr="00F7478E">
        <w:noBreakHyphen/>
        <w:t>estar;</w:t>
      </w:r>
    </w:p>
    <w:p w:rsidR="00394A80" w:rsidRPr="00F7478E" w:rsidRDefault="00394A80" w:rsidP="00394A80">
      <w:pPr>
        <w:pStyle w:val="NormalHanging12a"/>
      </w:pPr>
      <w:r w:rsidRPr="00F7478E">
        <w:t>I.</w:t>
      </w:r>
      <w:r w:rsidRPr="00F7478E">
        <w:tab/>
        <w:t>Considerando que o Acordo BBNJ foi celebrado em junho de 2023</w:t>
      </w:r>
      <w:r w:rsidR="00D77B48" w:rsidRPr="00F7478E">
        <w:t>; considerando que</w:t>
      </w:r>
      <w:r w:rsidRPr="00F7478E">
        <w:t xml:space="preserve"> a UE e a Noruega figuraram entre os primeiros signatários do Tratado</w:t>
      </w:r>
      <w:r w:rsidR="00D77B48" w:rsidRPr="00F7478E">
        <w:t>; considerando que</w:t>
      </w:r>
      <w:r w:rsidRPr="00F7478E">
        <w:t xml:space="preserve"> o Acordo BBNJ tem sido uma prioridade para a UE, que liderou negociações a nível mundial através da coligação de alto nível para o Acordo BBNJ, uma coligação iniciada na Cimeira «</w:t>
      </w:r>
      <w:proofErr w:type="spellStart"/>
      <w:r w:rsidRPr="00F7478E">
        <w:t>One</w:t>
      </w:r>
      <w:proofErr w:type="spellEnd"/>
      <w:r w:rsidRPr="00F7478E">
        <w:t xml:space="preserve"> </w:t>
      </w:r>
      <w:proofErr w:type="spellStart"/>
      <w:r w:rsidRPr="00F7478E">
        <w:t>Ocean</w:t>
      </w:r>
      <w:proofErr w:type="spellEnd"/>
      <w:r w:rsidRPr="00F7478E">
        <w:t>» em Brest, em fevereiro de 2022, à qual a Noruega também aderiu</w:t>
      </w:r>
      <w:r w:rsidR="00D77B48" w:rsidRPr="00F7478E">
        <w:t>; considerando que</w:t>
      </w:r>
      <w:r w:rsidRPr="00F7478E">
        <w:t xml:space="preserve"> o tratado BBNJ exige que sejam realizadas avaliações do impacto das atividades económicas na biodiversidade no alto</w:t>
      </w:r>
      <w:r w:rsidRPr="00F7478E">
        <w:noBreakHyphen/>
        <w:t>mar;</w:t>
      </w:r>
    </w:p>
    <w:p w:rsidR="00394A80" w:rsidRPr="00F7478E" w:rsidRDefault="00394A80" w:rsidP="00394A80">
      <w:pPr>
        <w:pStyle w:val="NormalHanging12a"/>
      </w:pPr>
      <w:r w:rsidRPr="00F7478E">
        <w:t>J.</w:t>
      </w:r>
      <w:r w:rsidRPr="00F7478E">
        <w:tab/>
        <w:t>Considerando que o estado atual dos conhecimentos científicos não permite uma avaliação rigorosa do impacto ambiental da exploração mineira dos fundos marinhos e que continua a ser necessário um esforço de investigação internacional para chegar a um consenso científico sobre esta matéria</w:t>
      </w:r>
      <w:r w:rsidR="00D77B48" w:rsidRPr="00F7478E">
        <w:t>; considerando que</w:t>
      </w:r>
      <w:r w:rsidRPr="00F7478E">
        <w:t xml:space="preserve"> a Comissão sublinhou a necessidade de investigação a longo prazo, a fim de avaliar verdadeiramente os impactos da extração mineira marítima</w:t>
      </w:r>
      <w:r w:rsidR="00D77B48" w:rsidRPr="00F7478E">
        <w:t>; considerando que</w:t>
      </w:r>
      <w:r w:rsidRPr="00F7478E">
        <w:t xml:space="preserve"> a exploração e a extração mineiras prematuras podem causar danos permanentes e irreversíveis aos ecossistemas</w:t>
      </w:r>
      <w:r w:rsidR="00D77B48" w:rsidRPr="00F7478E">
        <w:t>; considerando que</w:t>
      </w:r>
      <w:r w:rsidRPr="00F7478E">
        <w:t xml:space="preserve"> é necessária mais investigação científica para compreender plenamente os efeitos potenciais da extração mineira marítima no meio marinho e na biodiversidade;</w:t>
      </w:r>
    </w:p>
    <w:p w:rsidR="00394A80" w:rsidRPr="00F7478E" w:rsidRDefault="00394A80" w:rsidP="00394A80">
      <w:pPr>
        <w:pStyle w:val="NormalHanging12a"/>
      </w:pPr>
      <w:r w:rsidRPr="00F7478E">
        <w:t>K.</w:t>
      </w:r>
      <w:r w:rsidRPr="00F7478E">
        <w:tab/>
        <w:t>Considerando que a abertura desta zona à extração mineira marítima pode prejudicar as unidades populacionais de peixes e as zonas de pesca e afetar o acesso dos navios dos Estados</w:t>
      </w:r>
      <w:r w:rsidRPr="00F7478E">
        <w:noBreakHyphen/>
        <w:t>Membros da UE aos pesqueiros da zona</w:t>
      </w:r>
      <w:r w:rsidR="00D77B48" w:rsidRPr="00F7478E">
        <w:t>; considerando que</w:t>
      </w:r>
      <w:r w:rsidRPr="00F7478E">
        <w:t xml:space="preserve"> os interesses internacionais em matéria de pesca, designadamente as pescas da UE, não foram tidos em conta na avaliação de impacto desta decisão</w:t>
      </w:r>
      <w:r w:rsidR="00D77B48" w:rsidRPr="00F7478E">
        <w:t>; considerando que</w:t>
      </w:r>
      <w:r w:rsidRPr="00F7478E">
        <w:t>, em novembro de 2021, os conselhos consultivos europeus para a frota de longa distância, as unidades populacionais pelágicas e as águas ocidentais norte solicitaram uma moratória à extração mineira marítima, na sequência de recomendações semelhantes em 2020 e 2019</w:t>
      </w:r>
      <w:r w:rsidR="00D77B48" w:rsidRPr="00F7478E">
        <w:t>; considerando que</w:t>
      </w:r>
      <w:r w:rsidRPr="00F7478E">
        <w:t xml:space="preserve"> a Associação norueguesa de Pescadores também tem sido extremamente crítica em relação a esta decisão;</w:t>
      </w:r>
    </w:p>
    <w:p w:rsidR="00394A80" w:rsidRPr="00F7478E" w:rsidRDefault="00394A80" w:rsidP="00394A80">
      <w:pPr>
        <w:pStyle w:val="NormalHanging12a"/>
      </w:pPr>
      <w:r w:rsidRPr="00F7478E">
        <w:t>L.</w:t>
      </w:r>
      <w:r w:rsidRPr="00F7478E">
        <w:tab/>
        <w:t>Considerando que, a nível internacional, um número cada vez maior de Estados, nomeadamente sete Estados</w:t>
      </w:r>
      <w:r w:rsidRPr="00F7478E">
        <w:noBreakHyphen/>
        <w:t>Membros da UE (Finlândia, França, Alemanha, Irlanda, Portugal, Espanha e Suécia), manifestaram o seu apoio a uma moratória, a uma pausa preventiva ou a uma proibição total da extração mineira marítima</w:t>
      </w:r>
      <w:r w:rsidR="00D77B48" w:rsidRPr="00F7478E">
        <w:t>; considerando que</w:t>
      </w:r>
      <w:r w:rsidRPr="00F7478E">
        <w:t>, em setembro de 2021, o Congresso Mundial de Conservação da UICN, incluindo a Autoridade Internacional dos Fundos Marinhos, adotou, por esmagadora maioria, uma moção na qual solicitava uma moratória à extração mineira marítima, com o apoio da Áustria, Alemanha, Portugal, Roménia, Espanha e Suécia, entre outros;</w:t>
      </w:r>
    </w:p>
    <w:p w:rsidR="00394A80" w:rsidRPr="00F7478E" w:rsidRDefault="00394A80" w:rsidP="00394A80">
      <w:pPr>
        <w:pStyle w:val="NormalHanging12a"/>
      </w:pPr>
      <w:r w:rsidRPr="00F7478E">
        <w:t>M.</w:t>
      </w:r>
      <w:r w:rsidRPr="00F7478E">
        <w:tab/>
        <w:t>Considerando que 37 instituições financeiras, que, em conjunto, representam 3,3 mil milhões de EUR de ativos, manifestaram preocupações com as atividades de exploração mineira dos fundos marinhos aos Estados</w:t>
      </w:r>
      <w:r w:rsidRPr="00F7478E">
        <w:noBreakHyphen/>
        <w:t>Membros da Autoridade Internacional dos Fundos Marinhos</w:t>
      </w:r>
      <w:r w:rsidR="00D77B48" w:rsidRPr="00F7478E">
        <w:t>; considerando que</w:t>
      </w:r>
      <w:r w:rsidRPr="00F7478E">
        <w:t xml:space="preserve"> empresas internacionais como a Volvo, BMW, Google, Samsung, </w:t>
      </w:r>
      <w:proofErr w:type="spellStart"/>
      <w:r w:rsidRPr="00F7478E">
        <w:t>Phillips</w:t>
      </w:r>
      <w:proofErr w:type="spellEnd"/>
      <w:r w:rsidRPr="00F7478E">
        <w:t xml:space="preserve">, </w:t>
      </w:r>
      <w:proofErr w:type="spellStart"/>
      <w:r w:rsidRPr="00F7478E">
        <w:t>Northvolt</w:t>
      </w:r>
      <w:proofErr w:type="spellEnd"/>
      <w:r w:rsidRPr="00F7478E">
        <w:t xml:space="preserve"> e Volkswagen manifestaram o seu apoio a uma moratória à extração mineira marítima e se comprometeram a não obter nem financiar </w:t>
      </w:r>
      <w:r w:rsidRPr="00F7478E">
        <w:lastRenderedPageBreak/>
        <w:t>minerais dos grandes fundos marinhos</w:t>
      </w:r>
      <w:r w:rsidR="00D77B48" w:rsidRPr="00F7478E">
        <w:t>; considerando que</w:t>
      </w:r>
      <w:r w:rsidRPr="00F7478E">
        <w:t xml:space="preserve"> a </w:t>
      </w:r>
      <w:proofErr w:type="spellStart"/>
      <w:r w:rsidRPr="00F7478E">
        <w:t>Equinor</w:t>
      </w:r>
      <w:proofErr w:type="spellEnd"/>
      <w:r w:rsidRPr="00F7478E">
        <w:t>, a maior empresa da Noruega, sublinhou a necessidade de adquirir mais conhecimentos sobre a extração mineira marítima ao largo da costa norueguesa, tendo concluído que esta ainda não é viável devido aos riscos ambientais</w:t>
      </w:r>
      <w:r w:rsidR="00D77B48" w:rsidRPr="00F7478E">
        <w:t>; considerando que</w:t>
      </w:r>
      <w:r w:rsidRPr="00F7478E">
        <w:t xml:space="preserve"> a Iniciativa Financeira do Programa das Nações Unidas para o Ambiente alertou a comunidade financeira para o facto de, na sua forma atual, não ser previsível que o financiamento das atividades de extração mineira marítima possa ser compatível com os princípios financeiros da economia azul sustentável;</w:t>
      </w:r>
    </w:p>
    <w:p w:rsidR="00394A80" w:rsidRPr="00F7478E" w:rsidRDefault="00394A80" w:rsidP="00394A80">
      <w:pPr>
        <w:pStyle w:val="NormalHanging12a"/>
      </w:pPr>
      <w:proofErr w:type="gramStart"/>
      <w:r w:rsidRPr="00F7478E">
        <w:t>N.</w:t>
      </w:r>
      <w:r w:rsidRPr="00F7478E">
        <w:tab/>
        <w:t>Considerando</w:t>
      </w:r>
      <w:proofErr w:type="gramEnd"/>
      <w:r w:rsidRPr="00F7478E">
        <w:t xml:space="preserve"> que uma grande parte da procura de matérias</w:t>
      </w:r>
      <w:r w:rsidRPr="00F7478E">
        <w:noBreakHyphen/>
        <w:t>primas pode e deve ser satisfeita através da utilização de medidas de reciclagem e economia circular, do desenvolvimento de materiais de substituição e de políticas de redução da procura;</w:t>
      </w:r>
    </w:p>
    <w:p w:rsidR="00394A80" w:rsidRPr="00F7478E" w:rsidRDefault="00394A80" w:rsidP="00394A80">
      <w:pPr>
        <w:pStyle w:val="NormalHanging12a"/>
      </w:pPr>
      <w:proofErr w:type="gramStart"/>
      <w:r w:rsidRPr="00F7478E">
        <w:t>1.</w:t>
      </w:r>
      <w:r w:rsidRPr="00F7478E">
        <w:tab/>
        <w:t>Manifesta</w:t>
      </w:r>
      <w:proofErr w:type="gramEnd"/>
      <w:r w:rsidRPr="00F7478E">
        <w:t xml:space="preserve"> a sua preocupação com a decisão do </w:t>
      </w:r>
      <w:proofErr w:type="spellStart"/>
      <w:r w:rsidRPr="00F7478E">
        <w:t>Storting</w:t>
      </w:r>
      <w:proofErr w:type="spellEnd"/>
      <w:r w:rsidRPr="00F7478E">
        <w:t>, de 9 de janeiro de 2024, de abrir zonas para realizar atividades nos fundos marinhos;</w:t>
      </w:r>
    </w:p>
    <w:p w:rsidR="00394A80" w:rsidRPr="00F7478E" w:rsidRDefault="00394A80" w:rsidP="00394A80">
      <w:pPr>
        <w:pStyle w:val="NormalHanging12a"/>
      </w:pPr>
      <w:proofErr w:type="gramStart"/>
      <w:r w:rsidRPr="00F7478E">
        <w:t>2.</w:t>
      </w:r>
      <w:r w:rsidRPr="00F7478E">
        <w:tab/>
        <w:t>Observa</w:t>
      </w:r>
      <w:proofErr w:type="gramEnd"/>
      <w:r w:rsidRPr="00F7478E">
        <w:t xml:space="preserve"> que a decisão do </w:t>
      </w:r>
      <w:proofErr w:type="spellStart"/>
      <w:r w:rsidRPr="00F7478E">
        <w:t>Storting</w:t>
      </w:r>
      <w:proofErr w:type="spellEnd"/>
      <w:r w:rsidRPr="00F7478E">
        <w:t xml:space="preserve"> inclui um processo contínuo de cartografia, aquisição de conhecimentos e avaliações do impacto ambiental de eventuais atividades mineiras e não autoriza automaticamente as atividades de extração, uma vez que, de acordo com a decisão, os primeiros planos de extração têm de ser aprovados pelo </w:t>
      </w:r>
      <w:proofErr w:type="spellStart"/>
      <w:r w:rsidRPr="00F7478E">
        <w:t>Storting</w:t>
      </w:r>
      <w:proofErr w:type="spellEnd"/>
      <w:r w:rsidRPr="00F7478E">
        <w:t>;</w:t>
      </w:r>
    </w:p>
    <w:p w:rsidR="00394A80" w:rsidRPr="00F7478E" w:rsidRDefault="00394A80" w:rsidP="00394A80">
      <w:pPr>
        <w:pStyle w:val="NormalHanging12a"/>
      </w:pPr>
      <w:r w:rsidRPr="00F7478E">
        <w:t>3.</w:t>
      </w:r>
      <w:r w:rsidRPr="00F7478E">
        <w:tab/>
        <w:t>Reitera o seu apelo à Comissão e aos Estados</w:t>
      </w:r>
      <w:r w:rsidRPr="00F7478E">
        <w:noBreakHyphen/>
        <w:t>Membros para que apoiem uma moratória internacional à extração mineira marítima, nomeadamente junto da Autoridade Internacional dos Fundos Marinhos, até que os efeitos da extração mineira marítima no ambiente marinho, na biodiversidade e nas atividades humanas no mar tenham sido suficientemente estudados e investigados e a extração mineira marítima possa ser gerida de modo a evitar a perda de biodiversidade marinha ou a degradação dos ecossistemas marinhos; insta todos os países a aplicarem o princípio da precaução e a apoiarem uma moratória internacional à extração mineira marítima;</w:t>
      </w:r>
    </w:p>
    <w:p w:rsidR="00394A80" w:rsidRPr="00F7478E" w:rsidRDefault="00394A80" w:rsidP="00394A80">
      <w:pPr>
        <w:pStyle w:val="NormalHanging12a"/>
      </w:pPr>
      <w:r w:rsidRPr="00F7478E">
        <w:t>4.</w:t>
      </w:r>
      <w:r w:rsidRPr="00F7478E">
        <w:tab/>
        <w:t>Recorda as obrigações da Noruega enquanto parte em vários tratados, nomeadamente o Tratado de Svalbard, em vários acordos relacionados com a gestão das unidades populacionais de peixes na referida zona, a Convenção OSPAR para a Proteção do Meio Marinho do Atlântico Nordeste, incluindo as águas do Ártico, contra os efeitos adversos das atividades humanas e a Convenção de Espoo; salienta que o Acordo BBNJ foi assinado tanto pela UE como pela Noruega e exorta todas as outras partes na CNUDM, nomeadamente a Noruega, a assiná</w:t>
      </w:r>
      <w:r w:rsidRPr="00F7478E">
        <w:noBreakHyphen/>
        <w:t>lo e a ratificá</w:t>
      </w:r>
      <w:r w:rsidRPr="00F7478E">
        <w:noBreakHyphen/>
        <w:t>lo sem demora;</w:t>
      </w:r>
    </w:p>
    <w:p w:rsidR="00394A80" w:rsidRPr="00F7478E" w:rsidRDefault="00394A80" w:rsidP="00394A80">
      <w:pPr>
        <w:pStyle w:val="NormalHanging12a"/>
      </w:pPr>
      <w:r w:rsidRPr="00F7478E">
        <w:t>5.</w:t>
      </w:r>
      <w:r w:rsidRPr="00F7478E">
        <w:tab/>
        <w:t>Insta a Noruega a continuar a dialogar com a UE num espírito de parceria recíproca e a Aliança Verde assinada em abril de 2023, a fim de abordar todas as preocupações e assegurar a proteção do ambiente marinho e dos ecossistemas árticos; exorta a Comissão e a Noruega a encetarem um diálogo contínuo e a procederem ao intercâmbio de conhecimentos e de dados de investigação científica sobre os fundos marinhos e a gestão sustentável dos oceanos; sublinha que a Noruega e a UE, através das respetivas estratégias, seguem uma abordagem semelhante no que diz respeito a uma política equilibrada de matérias</w:t>
      </w:r>
      <w:r w:rsidRPr="00F7478E">
        <w:noBreakHyphen/>
        <w:t>primas assente na atenuação da procura, na reutilização, na eficiência, na reciclagem, na utilização de fluxos de resíduos e na substituição;</w:t>
      </w:r>
    </w:p>
    <w:p w:rsidR="00394A80" w:rsidRPr="00F7478E" w:rsidRDefault="00394A80" w:rsidP="00FC4900">
      <w:pPr>
        <w:ind w:left="567" w:hanging="567"/>
      </w:pPr>
      <w:proofErr w:type="gramStart"/>
      <w:r w:rsidRPr="00F7478E">
        <w:t>6.</w:t>
      </w:r>
      <w:r w:rsidRPr="00F7478E">
        <w:tab/>
        <w:t>Encarrega</w:t>
      </w:r>
      <w:proofErr w:type="gramEnd"/>
      <w:r w:rsidRPr="00F7478E">
        <w:t xml:space="preserve"> a sua Presidente de transmitir a presente resolução ao Conselho, à Comissão, ao </w:t>
      </w:r>
      <w:proofErr w:type="spellStart"/>
      <w:r w:rsidRPr="00F7478E">
        <w:t>Storting</w:t>
      </w:r>
      <w:proofErr w:type="spellEnd"/>
      <w:r w:rsidRPr="00F7478E">
        <w:t xml:space="preserve"> e ao Governo da Noruega.</w:t>
      </w:r>
    </w:p>
    <w:p w:rsidR="00E365E1" w:rsidRPr="00F7478E" w:rsidRDefault="00E365E1" w:rsidP="0095751A">
      <w:pPr>
        <w:pStyle w:val="NormalHanging12a"/>
      </w:pPr>
      <w:bookmarkStart w:id="8" w:name="TextBodyEnd"/>
      <w:bookmarkEnd w:id="8"/>
    </w:p>
    <w:sectPr w:rsidR="00E365E1" w:rsidRPr="00F7478E" w:rsidSect="00D5025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6DB0" w:rsidRPr="00D5025C" w:rsidRDefault="00806DB0">
      <w:r w:rsidRPr="00D5025C">
        <w:separator/>
      </w:r>
    </w:p>
  </w:endnote>
  <w:endnote w:type="continuationSeparator" w:id="0">
    <w:p w:rsidR="00806DB0" w:rsidRPr="00D5025C" w:rsidRDefault="00806DB0">
      <w:r w:rsidRPr="00D5025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5025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5025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5025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6DB0" w:rsidRPr="00D5025C" w:rsidRDefault="00806DB0">
      <w:r w:rsidRPr="00D5025C">
        <w:separator/>
      </w:r>
    </w:p>
  </w:footnote>
  <w:footnote w:type="continuationSeparator" w:id="0">
    <w:p w:rsidR="00806DB0" w:rsidRPr="00D5025C" w:rsidRDefault="00806DB0">
      <w:r w:rsidRPr="00D5025C">
        <w:continuationSeparator/>
      </w:r>
    </w:p>
  </w:footnote>
  <w:footnote w:id="1">
    <w:p w:rsidR="00394A80" w:rsidRPr="0095751A" w:rsidRDefault="00394A80" w:rsidP="00D5025C">
      <w:pPr>
        <w:pStyle w:val="FootnoteText"/>
        <w:ind w:left="567" w:hanging="567"/>
        <w:rPr>
          <w:sz w:val="24"/>
          <w:lang w:val="da-DK"/>
        </w:rPr>
      </w:pPr>
      <w:r w:rsidRPr="00D5025C">
        <w:rPr>
          <w:rStyle w:val="FootnoteReference"/>
          <w:sz w:val="24"/>
          <w:lang w:val="pt-PT"/>
        </w:rPr>
        <w:footnoteRef/>
      </w:r>
      <w:r w:rsidR="00D5025C" w:rsidRPr="0095751A">
        <w:rPr>
          <w:sz w:val="24"/>
          <w:lang w:val="da-DK"/>
        </w:rPr>
        <w:t xml:space="preserve"> </w:t>
      </w:r>
      <w:r w:rsidR="00D5025C" w:rsidRPr="0095751A">
        <w:rPr>
          <w:sz w:val="24"/>
          <w:lang w:val="da-DK"/>
        </w:rPr>
        <w:tab/>
      </w:r>
      <w:r w:rsidRPr="0095751A">
        <w:rPr>
          <w:sz w:val="24"/>
          <w:lang w:val="da-DK"/>
        </w:rPr>
        <w:t>JO C 67 de 8.2.2022, p. 25.</w:t>
      </w:r>
    </w:p>
  </w:footnote>
  <w:footnote w:id="2">
    <w:p w:rsidR="00394A80" w:rsidRPr="0095751A" w:rsidRDefault="00394A80" w:rsidP="00D5025C">
      <w:pPr>
        <w:pStyle w:val="FootnoteText"/>
        <w:ind w:left="567" w:hanging="567"/>
        <w:rPr>
          <w:sz w:val="24"/>
          <w:lang w:val="da-DK"/>
        </w:rPr>
      </w:pPr>
      <w:r w:rsidRPr="00D5025C">
        <w:rPr>
          <w:rStyle w:val="FootnoteReference"/>
          <w:sz w:val="24"/>
          <w:lang w:val="pt-PT"/>
        </w:rPr>
        <w:footnoteRef/>
      </w:r>
      <w:r w:rsidR="00D5025C" w:rsidRPr="0095751A">
        <w:rPr>
          <w:sz w:val="24"/>
          <w:lang w:val="da-DK"/>
        </w:rPr>
        <w:t xml:space="preserve"> </w:t>
      </w:r>
      <w:r w:rsidR="00D5025C" w:rsidRPr="0095751A">
        <w:rPr>
          <w:sz w:val="24"/>
          <w:lang w:val="da-DK"/>
        </w:rPr>
        <w:tab/>
      </w:r>
      <w:r w:rsidRPr="0095751A">
        <w:rPr>
          <w:sz w:val="24"/>
          <w:lang w:val="da-DK"/>
        </w:rPr>
        <w:t>JO C 465 de 6.12.2022, p. 2.</w:t>
      </w:r>
    </w:p>
  </w:footnote>
  <w:footnote w:id="3">
    <w:p w:rsidR="00394A80" w:rsidRPr="0095751A" w:rsidRDefault="00394A80" w:rsidP="00D5025C">
      <w:pPr>
        <w:pStyle w:val="FootnoteText"/>
        <w:ind w:left="567" w:hanging="567"/>
        <w:rPr>
          <w:sz w:val="24"/>
          <w:lang w:val="da-DK"/>
        </w:rPr>
      </w:pPr>
      <w:r w:rsidRPr="00D5025C">
        <w:rPr>
          <w:rStyle w:val="FootnoteReference"/>
          <w:sz w:val="24"/>
          <w:lang w:val="pt-PT"/>
        </w:rPr>
        <w:footnoteRef/>
      </w:r>
      <w:r w:rsidR="00D5025C" w:rsidRPr="0095751A">
        <w:rPr>
          <w:sz w:val="24"/>
          <w:lang w:val="da-DK"/>
        </w:rPr>
        <w:t xml:space="preserve"> </w:t>
      </w:r>
      <w:r w:rsidR="00D5025C" w:rsidRPr="0095751A">
        <w:rPr>
          <w:sz w:val="24"/>
          <w:lang w:val="da-DK"/>
        </w:rPr>
        <w:tab/>
      </w:r>
      <w:r w:rsidRPr="0095751A">
        <w:rPr>
          <w:sz w:val="24"/>
          <w:lang w:val="da-DK"/>
        </w:rPr>
        <w:t>JO C 132 de 24.3.2022, p. 113.</w:t>
      </w:r>
    </w:p>
  </w:footnote>
  <w:footnote w:id="4">
    <w:p w:rsidR="00394A80" w:rsidRPr="0095751A" w:rsidRDefault="00394A80" w:rsidP="00D5025C">
      <w:pPr>
        <w:pStyle w:val="FootnoteText"/>
        <w:ind w:left="567" w:hanging="567"/>
        <w:rPr>
          <w:sz w:val="24"/>
          <w:lang w:val="da-DK"/>
        </w:rPr>
      </w:pPr>
      <w:r w:rsidRPr="00D5025C">
        <w:rPr>
          <w:rStyle w:val="FootnoteReference"/>
          <w:sz w:val="24"/>
          <w:lang w:val="pt-PT"/>
        </w:rPr>
        <w:footnoteRef/>
      </w:r>
      <w:r w:rsidR="00D5025C" w:rsidRPr="0095751A">
        <w:rPr>
          <w:sz w:val="24"/>
          <w:lang w:val="da-DK"/>
        </w:rPr>
        <w:t xml:space="preserve"> </w:t>
      </w:r>
      <w:r w:rsidR="00D5025C" w:rsidRPr="0095751A">
        <w:rPr>
          <w:sz w:val="24"/>
          <w:lang w:val="da-DK"/>
        </w:rPr>
        <w:tab/>
      </w:r>
      <w:r w:rsidRPr="0095751A">
        <w:rPr>
          <w:sz w:val="24"/>
          <w:lang w:val="da-DK"/>
        </w:rPr>
        <w:t>JO C 458 de 19.12.2018, p. 9.</w:t>
      </w:r>
    </w:p>
  </w:footnote>
  <w:footnote w:id="5">
    <w:p w:rsidR="00394A80" w:rsidRPr="0095751A" w:rsidRDefault="00394A80" w:rsidP="00D5025C">
      <w:pPr>
        <w:pStyle w:val="FootnoteText"/>
        <w:ind w:left="567" w:hanging="567"/>
        <w:rPr>
          <w:sz w:val="24"/>
          <w:lang w:val="da-DK"/>
        </w:rPr>
      </w:pPr>
      <w:r w:rsidRPr="00D5025C">
        <w:rPr>
          <w:rStyle w:val="FootnoteReference"/>
          <w:sz w:val="24"/>
          <w:lang w:val="pt-PT"/>
        </w:rPr>
        <w:footnoteRef/>
      </w:r>
      <w:r w:rsidR="00D5025C" w:rsidRPr="0095751A">
        <w:rPr>
          <w:sz w:val="24"/>
          <w:lang w:val="da-DK"/>
        </w:rPr>
        <w:t xml:space="preserve"> </w:t>
      </w:r>
      <w:r w:rsidR="00D5025C" w:rsidRPr="0095751A">
        <w:rPr>
          <w:sz w:val="24"/>
          <w:lang w:val="da-DK"/>
        </w:rPr>
        <w:tab/>
      </w:r>
      <w:r w:rsidRPr="0095751A">
        <w:rPr>
          <w:sz w:val="24"/>
          <w:lang w:val="da-DK"/>
        </w:rPr>
        <w:t>JO C 132 de 14.4.2023, p. 106.</w:t>
      </w:r>
    </w:p>
  </w:footnote>
  <w:footnote w:id="6">
    <w:p w:rsidR="00394A80" w:rsidRPr="0095751A" w:rsidRDefault="00394A80" w:rsidP="00D5025C">
      <w:pPr>
        <w:pStyle w:val="FootnoteText"/>
        <w:ind w:left="567" w:hanging="567"/>
        <w:rPr>
          <w:sz w:val="24"/>
          <w:lang w:val="da-DK"/>
        </w:rPr>
      </w:pPr>
      <w:r w:rsidRPr="00D5025C">
        <w:rPr>
          <w:rStyle w:val="FootnoteReference"/>
          <w:sz w:val="24"/>
          <w:lang w:val="pt-PT"/>
        </w:rPr>
        <w:footnoteRef/>
      </w:r>
      <w:r w:rsidR="00D5025C" w:rsidRPr="0095751A">
        <w:rPr>
          <w:sz w:val="24"/>
          <w:lang w:val="da-DK"/>
        </w:rPr>
        <w:t xml:space="preserve"> </w:t>
      </w:r>
      <w:r w:rsidR="00D5025C" w:rsidRPr="0095751A">
        <w:rPr>
          <w:sz w:val="24"/>
          <w:lang w:val="da-DK"/>
        </w:rPr>
        <w:tab/>
      </w:r>
      <w:r w:rsidRPr="0095751A">
        <w:rPr>
          <w:sz w:val="24"/>
          <w:lang w:val="da-DK"/>
        </w:rPr>
        <w:t>JO C 104 de 24.4.1992, p. 7.</w:t>
      </w:r>
    </w:p>
  </w:footnote>
  <w:footnote w:id="7">
    <w:p w:rsidR="00394A80" w:rsidRPr="00D5025C" w:rsidRDefault="00394A80" w:rsidP="00D5025C">
      <w:pPr>
        <w:pStyle w:val="FootnoteText"/>
        <w:ind w:left="567" w:hanging="567"/>
        <w:rPr>
          <w:sz w:val="24"/>
          <w:lang w:val="pt-PT"/>
        </w:rPr>
      </w:pPr>
      <w:r w:rsidRPr="00D5025C">
        <w:rPr>
          <w:rStyle w:val="FootnoteReference"/>
          <w:sz w:val="24"/>
          <w:lang w:val="pt-PT"/>
        </w:rPr>
        <w:footnoteRef/>
      </w:r>
      <w:r w:rsidR="00D5025C" w:rsidRPr="00D5025C">
        <w:rPr>
          <w:sz w:val="24"/>
          <w:lang w:val="pt-PT"/>
        </w:rPr>
        <w:t xml:space="preserve"> </w:t>
      </w:r>
      <w:r w:rsidR="00D5025C" w:rsidRPr="00D5025C">
        <w:rPr>
          <w:sz w:val="24"/>
          <w:lang w:val="pt-PT"/>
        </w:rPr>
        <w:tab/>
      </w:r>
      <w:r w:rsidRPr="00D5025C">
        <w:rPr>
          <w:sz w:val="24"/>
          <w:lang w:val="pt-PT"/>
        </w:rPr>
        <w:t>JO L 308 de 19.11.2008, p. 35.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5025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5025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5025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095/2024"/>
    <w:docVar w:name="dvlangue" w:val="PT"/>
    <w:docVar w:name="dvnumam" w:val="0"/>
    <w:docVar w:name="dvpe" w:val="756.838"/>
    <w:docVar w:name="dvtitre" w:val="Resolução do Parlamento Europeu, de ... de ... de 2024,_x000d__x000a_ sobre a recente decisão da Noruega de fazer avançar a exploração mineira dos fundos marinhos no Ártico(2024/2520(RSP))"/>
  </w:docVars>
  <w:rsids>
    <w:rsidRoot w:val="00806DB0"/>
    <w:rsid w:val="00002272"/>
    <w:rsid w:val="00033C53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4A8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6DB0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3F2"/>
    <w:rsid w:val="009509D8"/>
    <w:rsid w:val="00950B64"/>
    <w:rsid w:val="0095751A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025C"/>
    <w:rsid w:val="00D56C11"/>
    <w:rsid w:val="00D77B48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7478E"/>
    <w:rsid w:val="00F87713"/>
    <w:rsid w:val="00FB4360"/>
    <w:rsid w:val="00FC490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DFFB32"/>
  <w15:chartTrackingRefBased/>
  <w15:docId w15:val="{282CF1CF-4DDC-4A3D-8242-D57E7D041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94A80"/>
    <w:pPr>
      <w:spacing w:before="480" w:after="240"/>
    </w:pPr>
  </w:style>
  <w:style w:type="paragraph" w:customStyle="1" w:styleId="NormalHanging12a">
    <w:name w:val="NormalHanging12a"/>
    <w:basedOn w:val="Normal"/>
    <w:rsid w:val="00394A80"/>
    <w:pPr>
      <w:spacing w:after="240"/>
      <w:ind w:left="567" w:hanging="567"/>
    </w:pPr>
  </w:style>
  <w:style w:type="character" w:customStyle="1" w:styleId="expandableitem">
    <w:name w:val="expandableitem"/>
    <w:basedOn w:val="DefaultParagraphFont"/>
    <w:rsid w:val="00394A80"/>
  </w:style>
  <w:style w:type="paragraph" w:styleId="BalloonText">
    <w:name w:val="Balloon Text"/>
    <w:basedOn w:val="Normal"/>
    <w:link w:val="BalloonTextChar"/>
    <w:rsid w:val="00D77B4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77B48"/>
    <w:rPr>
      <w:rFonts w:ascii="Segoe UI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D0AC68-8DCF-4B10-83E2-925B12C5FD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2661</Words>
  <Characters>14645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2024-02-07T12:42:00Z</dcterms:created>
  <dcterms:modified xsi:type="dcterms:W3CDTF">2024-02-07T12:42:00Z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B9-0095/2024</vt:lpwstr>
  </property>
  <property fmtid="{D5CDD505-2E9C-101B-9397-08002B2CF9AE}" pid="4" name="&lt;Type&gt;">
    <vt:lpwstr>RR</vt:lpwstr>
  </property>
</Properties>
</file>