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3053" w:rsidTr="0010095E">
        <w:trPr>
          <w:trHeight w:hRule="exact" w:val="1418"/>
        </w:trPr>
        <w:tc>
          <w:tcPr>
            <w:tcW w:w="6804" w:type="dxa"/>
            <w:shd w:val="clear" w:color="auto" w:fill="auto"/>
            <w:vAlign w:val="center"/>
          </w:tcPr>
          <w:p w:rsidR="00751A4A" w:rsidRPr="00E53053" w:rsidRDefault="00FC0550" w:rsidP="0010095E">
            <w:pPr>
              <w:pStyle w:val="EPName"/>
            </w:pPr>
            <w:r w:rsidRPr="00C95D11">
              <w:t>Europa-Parlamentet</w:t>
            </w:r>
          </w:p>
          <w:p w:rsidR="00751A4A" w:rsidRPr="00E53053" w:rsidRDefault="00817416" w:rsidP="00756632">
            <w:pPr>
              <w:pStyle w:val="EPTerm"/>
              <w:rPr>
                <w:rStyle w:val="HideTWBExt"/>
                <w:noProof w:val="0"/>
                <w:vanish w:val="0"/>
                <w:color w:val="auto"/>
              </w:rPr>
            </w:pPr>
            <w:r w:rsidRPr="00E53053">
              <w:t>2019-2024</w:t>
            </w:r>
          </w:p>
        </w:tc>
        <w:tc>
          <w:tcPr>
            <w:tcW w:w="2268" w:type="dxa"/>
            <w:shd w:val="clear" w:color="auto" w:fill="auto"/>
          </w:tcPr>
          <w:p w:rsidR="00751A4A" w:rsidRPr="00C95D11" w:rsidRDefault="00187494" w:rsidP="0010095E">
            <w:pPr>
              <w:pStyle w:val="EPLogo"/>
            </w:pPr>
            <w:r w:rsidRPr="00C95D1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53053" w:rsidRDefault="00D058B8" w:rsidP="004C5D52">
      <w:pPr>
        <w:pStyle w:val="LineTop"/>
      </w:pPr>
    </w:p>
    <w:p w:rsidR="00680577" w:rsidRPr="00E53053" w:rsidRDefault="00FC0550" w:rsidP="00680577">
      <w:pPr>
        <w:pStyle w:val="EPBodyTA1"/>
      </w:pPr>
      <w:r w:rsidRPr="00E53053">
        <w:t>VEDTAGNE TEKSTER</w:t>
      </w:r>
    </w:p>
    <w:p w:rsidR="00D058B8" w:rsidRPr="00E53053" w:rsidRDefault="00D058B8" w:rsidP="00D058B8">
      <w:pPr>
        <w:pStyle w:val="LineBottom"/>
      </w:pPr>
    </w:p>
    <w:p w:rsidR="00FC0550" w:rsidRPr="00392B66" w:rsidRDefault="00FC0550" w:rsidP="00FC0550">
      <w:pPr>
        <w:pStyle w:val="ATHeading1"/>
      </w:pPr>
      <w:bookmarkStart w:id="0" w:name="TANumber"/>
      <w:r w:rsidRPr="00392B66">
        <w:t>P9_TA(2024)00</w:t>
      </w:r>
      <w:r w:rsidR="00ED4524">
        <w:t>69</w:t>
      </w:r>
      <w:bookmarkStart w:id="1" w:name="_GoBack"/>
      <w:bookmarkEnd w:id="0"/>
      <w:bookmarkEnd w:id="1"/>
    </w:p>
    <w:p w:rsidR="00FC0550" w:rsidRPr="00392B66" w:rsidRDefault="00FC0550" w:rsidP="00FC0550">
      <w:pPr>
        <w:pStyle w:val="ATHeading2"/>
      </w:pPr>
      <w:bookmarkStart w:id="2" w:name="title"/>
      <w:r w:rsidRPr="00392B66">
        <w:t xml:space="preserve">Retsstatsprincippet og mediefrihed i Grækenland </w:t>
      </w:r>
      <w:bookmarkEnd w:id="2"/>
    </w:p>
    <w:p w:rsidR="00FC0550" w:rsidRPr="00C95D11" w:rsidRDefault="00FC0550" w:rsidP="00FC0550">
      <w:pPr>
        <w:rPr>
          <w:i/>
          <w:vanish/>
        </w:rPr>
      </w:pPr>
      <w:r w:rsidRPr="00C95D11">
        <w:rPr>
          <w:i/>
        </w:rPr>
        <w:fldChar w:fldCharType="begin"/>
      </w:r>
      <w:r w:rsidRPr="00C95D11">
        <w:rPr>
          <w:i/>
        </w:rPr>
        <w:instrText xml:space="preserve"> TC"(</w:instrText>
      </w:r>
      <w:bookmarkStart w:id="3" w:name="DocNumber"/>
      <w:r w:rsidRPr="00C95D11">
        <w:rPr>
          <w:i/>
        </w:rPr>
        <w:instrText>B</w:instrText>
      </w:r>
      <w:r w:rsidRPr="00E53053">
        <w:rPr>
          <w:i/>
        </w:rPr>
        <w:instrText>9</w:instrText>
      </w:r>
      <w:r w:rsidRPr="00392B66">
        <w:rPr>
          <w:i/>
        </w:rPr>
        <w:instrText>-0098/2024</w:instrText>
      </w:r>
      <w:bookmarkEnd w:id="3"/>
      <w:r w:rsidRPr="00392B66">
        <w:rPr>
          <w:i/>
        </w:rPr>
        <w:instrText xml:space="preserve">)"\l3 \n&gt; \* MERGEFORMAT </w:instrText>
      </w:r>
      <w:r w:rsidRPr="00C95D11">
        <w:rPr>
          <w:i/>
        </w:rPr>
        <w:fldChar w:fldCharType="end"/>
      </w:r>
    </w:p>
    <w:p w:rsidR="00FC0550" w:rsidRPr="00392B66" w:rsidRDefault="00FC0550" w:rsidP="00FC0550">
      <w:pPr>
        <w:rPr>
          <w:vanish/>
        </w:rPr>
      </w:pPr>
      <w:bookmarkStart w:id="4" w:name="PE"/>
      <w:r w:rsidRPr="00E53053">
        <w:rPr>
          <w:vanish/>
        </w:rPr>
        <w:t>PE</w:t>
      </w:r>
      <w:r w:rsidRPr="00392B66">
        <w:rPr>
          <w:vanish/>
        </w:rPr>
        <w:t>756.840</w:t>
      </w:r>
      <w:bookmarkEnd w:id="4"/>
    </w:p>
    <w:p w:rsidR="00FC0550" w:rsidRPr="00392B66" w:rsidRDefault="00FC0550" w:rsidP="00FC0550">
      <w:pPr>
        <w:pStyle w:val="ATHeading3"/>
      </w:pPr>
      <w:bookmarkStart w:id="5" w:name="Sujet"/>
      <w:r w:rsidRPr="00392B66">
        <w:t xml:space="preserve">Europa-Parlamentets beslutning af </w:t>
      </w:r>
      <w:r w:rsidR="003F0BB9" w:rsidRPr="00392B66">
        <w:t>7</w:t>
      </w:r>
      <w:r w:rsidRPr="00392B66">
        <w:t>. februar 2024 om retsstatsprincippet og mediefrihed i Grækenland</w:t>
      </w:r>
      <w:bookmarkEnd w:id="5"/>
      <w:r w:rsidRPr="00392B66">
        <w:t xml:space="preserve"> </w:t>
      </w:r>
      <w:bookmarkStart w:id="6" w:name="References"/>
      <w:r w:rsidRPr="00392B66">
        <w:t>(2024/2502(RSP))</w:t>
      </w:r>
      <w:bookmarkEnd w:id="6"/>
    </w:p>
    <w:p w:rsidR="00BC0C09" w:rsidRPr="00392B66" w:rsidRDefault="00BC0C09" w:rsidP="00BC0C09">
      <w:pPr>
        <w:pStyle w:val="EPComma"/>
      </w:pPr>
      <w:bookmarkStart w:id="7" w:name="TextBodyBegin"/>
      <w:bookmarkEnd w:id="7"/>
      <w:r w:rsidRPr="00C95D11">
        <w:rPr>
          <w:i/>
        </w:rPr>
        <w:t>Europa-Parlamentet</w:t>
      </w:r>
      <w:r w:rsidRPr="00E53053">
        <w:t>,</w:t>
      </w:r>
    </w:p>
    <w:p w:rsidR="00BC0C09" w:rsidRPr="00392B66" w:rsidRDefault="00BC0C09" w:rsidP="00BC0C09">
      <w:pPr>
        <w:pStyle w:val="NormalHanging12a"/>
        <w:rPr>
          <w:szCs w:val="24"/>
        </w:rPr>
      </w:pPr>
      <w:r w:rsidRPr="00392B66">
        <w:rPr>
          <w:snapToGrid w:val="0"/>
          <w:szCs w:val="24"/>
        </w:rPr>
        <w:t>–</w:t>
      </w:r>
      <w:r w:rsidRPr="00392B66">
        <w:rPr>
          <w:snapToGrid w:val="0"/>
          <w:szCs w:val="24"/>
        </w:rPr>
        <w:tab/>
      </w:r>
      <w:r w:rsidRPr="00392B66">
        <w:rPr>
          <w:szCs w:val="24"/>
        </w:rPr>
        <w:t>der henviser til traktaten om Den Europæiske Union (TEU), særlig artikel 2, artikel 4, stk. 3, og artikel 7, stk. 1,</w:t>
      </w:r>
    </w:p>
    <w:p w:rsidR="00BC0C09" w:rsidRPr="00392B66" w:rsidRDefault="00BC0C09" w:rsidP="00BC0C09">
      <w:pPr>
        <w:pStyle w:val="NormalHanging12a"/>
        <w:rPr>
          <w:szCs w:val="24"/>
        </w:rPr>
      </w:pPr>
      <w:r w:rsidRPr="00392B66">
        <w:rPr>
          <w:szCs w:val="24"/>
        </w:rPr>
        <w:t>–</w:t>
      </w:r>
      <w:r w:rsidRPr="00392B66">
        <w:rPr>
          <w:szCs w:val="24"/>
        </w:rPr>
        <w:tab/>
        <w:t>der henviser til Den Europæiske Unions charter om grundlæggende rettigheder ("chartret"),</w:t>
      </w:r>
    </w:p>
    <w:p w:rsidR="00BC0C09" w:rsidRPr="00392B66" w:rsidRDefault="00BC0C09" w:rsidP="00BC0C09">
      <w:pPr>
        <w:pStyle w:val="NormalHanging12a"/>
        <w:rPr>
          <w:szCs w:val="24"/>
        </w:rPr>
      </w:pPr>
      <w:r w:rsidRPr="00392B66">
        <w:rPr>
          <w:szCs w:val="24"/>
        </w:rPr>
        <w:t>–</w:t>
      </w:r>
      <w:r w:rsidRPr="00392B66">
        <w:rPr>
          <w:szCs w:val="24"/>
        </w:rPr>
        <w:tab/>
        <w:t>der henviser til den europæiske menneskerettighedskonvention og de tilhørende protokoller,</w:t>
      </w:r>
    </w:p>
    <w:p w:rsidR="00BC0C09" w:rsidRPr="00392B66" w:rsidRDefault="00BC0C09" w:rsidP="00BC0C09">
      <w:pPr>
        <w:pStyle w:val="NormalHanging12a"/>
        <w:rPr>
          <w:szCs w:val="24"/>
        </w:rPr>
      </w:pPr>
      <w:r w:rsidRPr="00392B66">
        <w:rPr>
          <w:szCs w:val="24"/>
        </w:rPr>
        <w:t>–</w:t>
      </w:r>
      <w:r w:rsidRPr="00392B66">
        <w:rPr>
          <w:szCs w:val="24"/>
        </w:rPr>
        <w:tab/>
        <w:t>der henviser til verdenserklæringen om menneskerettighederne,</w:t>
      </w:r>
    </w:p>
    <w:p w:rsidR="00BC0C09" w:rsidRPr="00392B66" w:rsidRDefault="00BC0C09" w:rsidP="00BC0C09">
      <w:pPr>
        <w:pStyle w:val="NormalHanging12a"/>
        <w:rPr>
          <w:szCs w:val="24"/>
        </w:rPr>
      </w:pPr>
      <w:r w:rsidRPr="00392B66">
        <w:rPr>
          <w:szCs w:val="24"/>
        </w:rPr>
        <w:t>–</w:t>
      </w:r>
      <w:r w:rsidRPr="00392B66">
        <w:rPr>
          <w:szCs w:val="24"/>
        </w:rPr>
        <w:tab/>
        <w:t>der henviser til De Forenede Nationers og Europarådets internationale traktater om menneskerettighederne,</w:t>
      </w:r>
    </w:p>
    <w:p w:rsidR="00BC0C09" w:rsidRPr="00E53053" w:rsidRDefault="00BC0C09" w:rsidP="00BC0C09">
      <w:pPr>
        <w:pStyle w:val="NormalHanging12a"/>
        <w:rPr>
          <w:szCs w:val="24"/>
        </w:rPr>
      </w:pPr>
      <w:r w:rsidRPr="00392B66">
        <w:rPr>
          <w:szCs w:val="24"/>
        </w:rPr>
        <w:t>–</w:t>
      </w:r>
      <w:r w:rsidRPr="00392B66">
        <w:rPr>
          <w:szCs w:val="24"/>
        </w:rPr>
        <w:tab/>
        <w:t xml:space="preserve">der henviser til Europa-Parlamentets og Rådets forordning (EU, </w:t>
      </w:r>
      <w:proofErr w:type="spellStart"/>
      <w:r w:rsidRPr="00392B66">
        <w:rPr>
          <w:szCs w:val="24"/>
        </w:rPr>
        <w:t>Euratom</w:t>
      </w:r>
      <w:proofErr w:type="spellEnd"/>
      <w:r w:rsidRPr="00392B66">
        <w:rPr>
          <w:szCs w:val="24"/>
        </w:rPr>
        <w:t xml:space="preserve">) 2020/2092 af 16. december 2020 om en generel ordning med </w:t>
      </w:r>
      <w:proofErr w:type="spellStart"/>
      <w:r w:rsidRPr="00392B66">
        <w:rPr>
          <w:szCs w:val="24"/>
        </w:rPr>
        <w:t>konditionalitet</w:t>
      </w:r>
      <w:proofErr w:type="spellEnd"/>
      <w:r w:rsidRPr="00392B66">
        <w:rPr>
          <w:szCs w:val="24"/>
        </w:rPr>
        <w:t xml:space="preserve"> til beskyttelse af Unionens budget (forordningen om </w:t>
      </w:r>
      <w:proofErr w:type="spellStart"/>
      <w:r w:rsidRPr="00392B66">
        <w:rPr>
          <w:szCs w:val="24"/>
        </w:rPr>
        <w:t>konditionalitet</w:t>
      </w:r>
      <w:proofErr w:type="spellEnd"/>
      <w:r w:rsidRPr="00392B66">
        <w:rPr>
          <w:szCs w:val="24"/>
        </w:rPr>
        <w:t xml:space="preserve"> vedrørende retsstatsprincippet)</w:t>
      </w:r>
      <w:r w:rsidRPr="00C95D11">
        <w:rPr>
          <w:rStyle w:val="FootnoteReference"/>
          <w:szCs w:val="24"/>
        </w:rPr>
        <w:footnoteReference w:id="1"/>
      </w:r>
      <w:r w:rsidRPr="00C95D11">
        <w:rPr>
          <w:szCs w:val="24"/>
        </w:rPr>
        <w:t>,</w:t>
      </w:r>
    </w:p>
    <w:p w:rsidR="00BC0C09" w:rsidRPr="00E53053" w:rsidRDefault="00BC0C09" w:rsidP="00BC0C09">
      <w:pPr>
        <w:pStyle w:val="NormalHanging12a"/>
        <w:rPr>
          <w:szCs w:val="24"/>
        </w:rPr>
      </w:pPr>
      <w:r w:rsidRPr="00392B66">
        <w:rPr>
          <w:szCs w:val="24"/>
        </w:rPr>
        <w:t>–</w:t>
      </w:r>
      <w:r w:rsidRPr="00392B66">
        <w:rPr>
          <w:szCs w:val="24"/>
        </w:rPr>
        <w:tab/>
        <w:t>der henviser til Europa-Parlamentets og Rådets forordning (EU) 2021/1060 af 24. juni 2021 om fælles bestemmelser for Den Europæiske Fond for Regionaludvikling, Den Europæiske Socialfond Plus, Samhørighedsfonden, Fonden for Retfærdig Omstilling og Den Europæiske Hav-, Fiskeri- og Akvakulturfond og om finansielle regler for nævnte fonde og for Asyl-, Migrations- og Integrationsfonden, Fonden for Intern Sikkerhed og instrumentet for finansiel støtte til grænseforvaltning og visumpolitik (forordningen om fælles bestemmelser)</w:t>
      </w:r>
      <w:r w:rsidRPr="00C95D11">
        <w:rPr>
          <w:rStyle w:val="FootnoteReference"/>
          <w:szCs w:val="24"/>
        </w:rPr>
        <w:footnoteReference w:id="2"/>
      </w:r>
      <w:r w:rsidRPr="00C95D11">
        <w:rPr>
          <w:szCs w:val="24"/>
        </w:rPr>
        <w:t>,</w:t>
      </w:r>
    </w:p>
    <w:p w:rsidR="00BC0C09" w:rsidRPr="00392B66" w:rsidRDefault="00BC0C09" w:rsidP="00BC0C09">
      <w:pPr>
        <w:pStyle w:val="NormalHanging12a"/>
        <w:rPr>
          <w:szCs w:val="24"/>
        </w:rPr>
      </w:pPr>
      <w:r w:rsidRPr="00392B66">
        <w:rPr>
          <w:szCs w:val="24"/>
        </w:rPr>
        <w:t>–</w:t>
      </w:r>
      <w:r w:rsidRPr="00392B66">
        <w:rPr>
          <w:szCs w:val="24"/>
        </w:rPr>
        <w:tab/>
        <w:t xml:space="preserve">der henviser til sin betænkning efter Udvalget om Borgernes Rettigheder og Retlige og Indre Anliggenders delegationsrejse til Athen, Grækenland, den 6.-8. marts 2023 på </w:t>
      </w:r>
      <w:r w:rsidRPr="00392B66">
        <w:rPr>
          <w:szCs w:val="24"/>
        </w:rPr>
        <w:lastRenderedPageBreak/>
        <w:t>initiativ af dens overvågningsgruppe om demokrati, retsstatsprincippet og grundlæggende rettigheder (DRFMG),</w:t>
      </w:r>
    </w:p>
    <w:p w:rsidR="00BC0C09" w:rsidRPr="00392B66" w:rsidRDefault="00BC0C09" w:rsidP="00BC0C09">
      <w:pPr>
        <w:pStyle w:val="NormalHanging12a"/>
        <w:rPr>
          <w:szCs w:val="24"/>
        </w:rPr>
      </w:pPr>
      <w:r w:rsidRPr="00392B66">
        <w:rPr>
          <w:szCs w:val="24"/>
        </w:rPr>
        <w:t>–</w:t>
      </w:r>
      <w:r w:rsidRPr="00392B66">
        <w:rPr>
          <w:szCs w:val="24"/>
        </w:rPr>
        <w:tab/>
        <w:t>der henviser til landekapitlerne om Grækenland i Kommissionens årlige rapporter om retsstatssituationen, navnlig for 2021, 2022 og 2023,</w:t>
      </w:r>
    </w:p>
    <w:p w:rsidR="00BC0C09" w:rsidRPr="00392B66" w:rsidRDefault="00BC0C09" w:rsidP="00BC0C09">
      <w:pPr>
        <w:pStyle w:val="NormalHanging12a"/>
        <w:rPr>
          <w:szCs w:val="24"/>
        </w:rPr>
      </w:pPr>
      <w:r w:rsidRPr="00392B66">
        <w:rPr>
          <w:szCs w:val="24"/>
        </w:rPr>
        <w:t>–</w:t>
      </w:r>
      <w:r w:rsidRPr="00392B66">
        <w:rPr>
          <w:szCs w:val="24"/>
        </w:rPr>
        <w:tab/>
        <w:t>der henviser til Den Europæiske Menneskerettighedsdomstols domme vedrørende Grækenland,</w:t>
      </w:r>
    </w:p>
    <w:p w:rsidR="00BC0C09" w:rsidRPr="00392B66" w:rsidRDefault="00BC0C09" w:rsidP="00BC0C09">
      <w:pPr>
        <w:pStyle w:val="NormalHanging12a"/>
        <w:rPr>
          <w:szCs w:val="24"/>
        </w:rPr>
      </w:pPr>
      <w:r w:rsidRPr="00392B66">
        <w:rPr>
          <w:szCs w:val="24"/>
        </w:rPr>
        <w:t>–</w:t>
      </w:r>
      <w:r w:rsidRPr="00392B66">
        <w:rPr>
          <w:szCs w:val="24"/>
        </w:rPr>
        <w:tab/>
        <w:t>der henviser til betænkningen om undersøgelsen af påstande om overtrædelser og fejl og forsømmelser i forbindelse med gennemførelsen af EU-retten i relation til brugen af Pegasus-spyware og tilsvarende overvågningsspyware og til sin henstilling af 15. juni 2023 til Rådet og Kommissionen efter undersøgelsen af påstande om overtrædelser og fejl og forsømmelser i forbindelse med gennemførelsen af EU-retten i relation til brugen af Pegasus-spyware og tilsvarende overvågningsspyware</w:t>
      </w:r>
      <w:r w:rsidRPr="00C95D11">
        <w:rPr>
          <w:rStyle w:val="FootnoteReference"/>
          <w:szCs w:val="24"/>
        </w:rPr>
        <w:footnoteReference w:id="3"/>
      </w:r>
      <w:r w:rsidRPr="00C95D11">
        <w:rPr>
          <w:szCs w:val="24"/>
        </w:rPr>
        <w:t>,</w:t>
      </w:r>
    </w:p>
    <w:p w:rsidR="00BC0C09" w:rsidRPr="00392B66" w:rsidRDefault="00BC0C09" w:rsidP="00BC0C09">
      <w:pPr>
        <w:pStyle w:val="NormalHanging12a"/>
        <w:rPr>
          <w:szCs w:val="24"/>
        </w:rPr>
      </w:pPr>
      <w:r w:rsidRPr="00392B66">
        <w:rPr>
          <w:szCs w:val="24"/>
        </w:rPr>
        <w:t>–</w:t>
      </w:r>
      <w:r w:rsidRPr="00392B66">
        <w:rPr>
          <w:szCs w:val="24"/>
        </w:rPr>
        <w:tab/>
        <w:t>der henviser til Kommissionens forslag af 16. september 2022 til Europa-Parlamentets og Rådets forordning om oprettelse af en fælles ramme for medietjenester i det indre marked (europæisk forordning om mediefrihed) og om ændring af direktiv 2010/13/EU (</w:t>
      </w:r>
      <w:proofErr w:type="gramStart"/>
      <w:r w:rsidRPr="00392B66">
        <w:rPr>
          <w:szCs w:val="24"/>
        </w:rPr>
        <w:t>COM(</w:t>
      </w:r>
      <w:proofErr w:type="gramEnd"/>
      <w:r w:rsidRPr="00392B66">
        <w:rPr>
          <w:szCs w:val="24"/>
        </w:rPr>
        <w:t>2022)0457),</w:t>
      </w:r>
    </w:p>
    <w:p w:rsidR="00BC0C09" w:rsidRPr="00392B66" w:rsidRDefault="00BC0C09" w:rsidP="00BC0C09">
      <w:pPr>
        <w:pStyle w:val="NormalHanging12a"/>
        <w:rPr>
          <w:szCs w:val="24"/>
        </w:rPr>
      </w:pPr>
      <w:r w:rsidRPr="00392B66">
        <w:rPr>
          <w:szCs w:val="24"/>
        </w:rPr>
        <w:t>–</w:t>
      </w:r>
      <w:r w:rsidRPr="00392B66">
        <w:rPr>
          <w:szCs w:val="24"/>
        </w:rPr>
        <w:tab/>
        <w:t>der henviser til forslaget af 27. april 2022 til et direktiv om beskyttelse af personer, der engagerer sig offentligt, mod åbenbart grundløse eller urimelige retssager ("strategiske retssager mod offentligt engagement") (</w:t>
      </w:r>
      <w:proofErr w:type="gramStart"/>
      <w:r w:rsidRPr="00392B66">
        <w:rPr>
          <w:szCs w:val="24"/>
        </w:rPr>
        <w:t>COM(</w:t>
      </w:r>
      <w:proofErr w:type="gramEnd"/>
      <w:r w:rsidRPr="00392B66">
        <w:rPr>
          <w:szCs w:val="24"/>
        </w:rPr>
        <w:t>2022)0177),</w:t>
      </w:r>
    </w:p>
    <w:p w:rsidR="00BC0C09" w:rsidRPr="00392B66" w:rsidRDefault="00BC0C09" w:rsidP="00BC0C09">
      <w:pPr>
        <w:pStyle w:val="NormalHanging12a"/>
        <w:rPr>
          <w:szCs w:val="24"/>
        </w:rPr>
      </w:pPr>
      <w:r w:rsidRPr="00392B66">
        <w:rPr>
          <w:szCs w:val="24"/>
        </w:rPr>
        <w:t>–</w:t>
      </w:r>
      <w:r w:rsidRPr="00392B66">
        <w:rPr>
          <w:szCs w:val="24"/>
        </w:rPr>
        <w:tab/>
        <w:t>der henviser til Europa-Parlamentets og Rådets direktiv 2010/13/EU af 10. marts 2010 om samordning af visse love og administrative bestemmelser i medlemsstaterne om udbud af audiovisuelle medietjenester (direktivet om audiovisuelle medietjenester)</w:t>
      </w:r>
      <w:r w:rsidRPr="00C95D11">
        <w:rPr>
          <w:rStyle w:val="FootnoteReference"/>
          <w:szCs w:val="24"/>
        </w:rPr>
        <w:footnoteReference w:id="4"/>
      </w:r>
      <w:r w:rsidRPr="00C95D11">
        <w:rPr>
          <w:szCs w:val="24"/>
        </w:rPr>
        <w:t>,</w:t>
      </w:r>
    </w:p>
    <w:p w:rsidR="00BC0C09" w:rsidRPr="00392B66" w:rsidRDefault="00BC0C09" w:rsidP="00BC0C09">
      <w:pPr>
        <w:pStyle w:val="NormalHanging12a"/>
        <w:rPr>
          <w:szCs w:val="24"/>
        </w:rPr>
      </w:pPr>
      <w:r w:rsidRPr="00392B66">
        <w:rPr>
          <w:szCs w:val="24"/>
        </w:rPr>
        <w:t>–</w:t>
      </w:r>
      <w:r w:rsidRPr="00392B66">
        <w:rPr>
          <w:szCs w:val="24"/>
        </w:rPr>
        <w:tab/>
        <w:t>der henviser til forretningsordenens artikel 132, stk. 2,</w:t>
      </w:r>
    </w:p>
    <w:p w:rsidR="00BC0C09" w:rsidRPr="00392B66" w:rsidRDefault="00BC0C09" w:rsidP="00BC0C09">
      <w:pPr>
        <w:pStyle w:val="NormalHanging12a"/>
        <w:rPr>
          <w:szCs w:val="24"/>
        </w:rPr>
      </w:pPr>
      <w:r w:rsidRPr="00392B66">
        <w:rPr>
          <w:szCs w:val="24"/>
        </w:rPr>
        <w:t>A.</w:t>
      </w:r>
      <w:r w:rsidRPr="00392B66">
        <w:rPr>
          <w:snapToGrid w:val="0"/>
          <w:szCs w:val="24"/>
        </w:rPr>
        <w:tab/>
      </w:r>
      <w:r w:rsidRPr="00392B66">
        <w:rPr>
          <w:szCs w:val="24"/>
        </w:rPr>
        <w:t>der henviser til, at Unionen bygger på værdierne respekt for den menneskelige værdighed, frihed, demokrati, ligestilling, retsstaten og respekt for menneskerettighederne, herunder rettighederne for personer, der tilhører mindretal, som fastsat i artikel 2 i TEU og som afspejlet i chartret og nedfældet i de internationale menneskerettighedstraktater;</w:t>
      </w:r>
    </w:p>
    <w:p w:rsidR="00BC0C09" w:rsidRPr="00392B66" w:rsidRDefault="00BC0C09" w:rsidP="00BC0C09">
      <w:pPr>
        <w:pStyle w:val="NormalHanging12a"/>
        <w:rPr>
          <w:szCs w:val="24"/>
        </w:rPr>
      </w:pPr>
      <w:r w:rsidRPr="00392B66">
        <w:rPr>
          <w:szCs w:val="24"/>
        </w:rPr>
        <w:t>B.</w:t>
      </w:r>
      <w:r w:rsidRPr="00392B66">
        <w:rPr>
          <w:szCs w:val="24"/>
        </w:rPr>
        <w:tab/>
        <w:t>der henviser til, at en medlemsstats overholdelse af værdierne i artikel 2 i TEU er en betingelse for udøvelsen af alle de rettigheder, der følger af anvendelsen af traktaterne, for denne medlemsstat, herunder retten til EU-finansiering; der henviser til, at Unionen i henhold til artikel 7 i TEU kan vurdere, om der er en klar fare for en alvorlig overtrædelse af de værdier, der er omhandlet i artikel 2;</w:t>
      </w:r>
    </w:p>
    <w:p w:rsidR="00BC0C09" w:rsidRPr="00392B66" w:rsidRDefault="00BC0C09" w:rsidP="00BC0C09">
      <w:pPr>
        <w:pStyle w:val="NormalHanging12a"/>
        <w:rPr>
          <w:szCs w:val="24"/>
        </w:rPr>
      </w:pPr>
      <w:r w:rsidRPr="00392B66">
        <w:rPr>
          <w:szCs w:val="24"/>
        </w:rPr>
        <w:t>C.</w:t>
      </w:r>
      <w:r w:rsidRPr="00392B66">
        <w:rPr>
          <w:szCs w:val="24"/>
        </w:rPr>
        <w:tab/>
        <w:t>der henviser til, at retsstatsprincippet og mediefriheden i de senere år er blevet forringet i Grækenland; der henviser til, at der ikke er blevet taget tilstrækkeligt hånd om denne situation, at der stadig er mange bekymringer, og at der fortsat opstår mange nye problemer;</w:t>
      </w:r>
    </w:p>
    <w:p w:rsidR="00BC0C09" w:rsidRPr="00392B66" w:rsidRDefault="00BC0C09" w:rsidP="00BC0C09">
      <w:pPr>
        <w:pStyle w:val="NormalHanging12a"/>
        <w:rPr>
          <w:szCs w:val="24"/>
        </w:rPr>
      </w:pPr>
      <w:r w:rsidRPr="00392B66">
        <w:rPr>
          <w:szCs w:val="24"/>
        </w:rPr>
        <w:t>D.</w:t>
      </w:r>
      <w:r w:rsidRPr="00392B66">
        <w:rPr>
          <w:szCs w:val="24"/>
        </w:rPr>
        <w:tab/>
        <w:t xml:space="preserve">der henviser til, at Grækenland i 2022 vedtog lovgivning, der havde til formål at øge </w:t>
      </w:r>
      <w:r w:rsidRPr="00392B66">
        <w:rPr>
          <w:szCs w:val="24"/>
        </w:rPr>
        <w:lastRenderedPageBreak/>
        <w:t>gennemsigtigheden med hensyn til medieejerskab og oprette et register for trykte medier og et register for den elektroniske presse, således at retten til statslig annoncering blev forbeholdt registrerede virksomheder</w:t>
      </w:r>
      <w:r w:rsidRPr="00C95D11">
        <w:rPr>
          <w:rStyle w:val="FootnoteReference"/>
          <w:color w:val="000000"/>
          <w:szCs w:val="24"/>
        </w:rPr>
        <w:footnoteReference w:id="5"/>
      </w:r>
      <w:r w:rsidRPr="00C95D11">
        <w:rPr>
          <w:szCs w:val="24"/>
        </w:rPr>
        <w:t>;</w:t>
      </w:r>
    </w:p>
    <w:p w:rsidR="00BC0C09" w:rsidRPr="00392B66" w:rsidRDefault="00BC0C09" w:rsidP="00BC0C09">
      <w:pPr>
        <w:pStyle w:val="NormalHanging12a"/>
        <w:rPr>
          <w:szCs w:val="24"/>
        </w:rPr>
      </w:pPr>
      <w:r w:rsidRPr="00392B66">
        <w:rPr>
          <w:szCs w:val="24"/>
        </w:rPr>
        <w:t>E.</w:t>
      </w:r>
      <w:r w:rsidRPr="00392B66">
        <w:rPr>
          <w:szCs w:val="24"/>
        </w:rPr>
        <w:tab/>
        <w:t>der henviser til, at direktivet om audiovisuelle medietjenester fastsætter, at medlemsstaterne skal sikre, at de nationale tilsynsmyndigheder eller -organer udøver deres beføjelser uvildigt og gennemsigtigt og i overensstemmelse med direktivets mål, navnlig med hensyn til mediepluralisme, kulturel og sproglig mangfoldighed, forbrugerbeskyttelse, tilgængelighed, ikkeforskelsbehandling, det indre markeds funktion og fremme af fair konkurrence; der henviser til, at det endvidere fastsætter, at medlemsstaterne skal drage omsorg for, at de nationale tilsynsmyndigheder eller ‑organer har tilstrækkelige økonomiske og menneskelige ressourcer samt håndhævelsesmæssige beføjelser til at varetage deres funktioner effektivt;</w:t>
      </w:r>
    </w:p>
    <w:p w:rsidR="00BC0C09" w:rsidRPr="00392B66" w:rsidRDefault="00BC0C09" w:rsidP="00BC0C09">
      <w:pPr>
        <w:pStyle w:val="NormalHanging12a"/>
        <w:rPr>
          <w:szCs w:val="24"/>
        </w:rPr>
      </w:pPr>
      <w:r w:rsidRPr="00392B66">
        <w:rPr>
          <w:szCs w:val="24"/>
        </w:rPr>
        <w:t>F.</w:t>
      </w:r>
      <w:r w:rsidRPr="00392B66">
        <w:rPr>
          <w:szCs w:val="24"/>
        </w:rPr>
        <w:tab/>
        <w:t>der henviser til, at aftalen mellem den lovgivende myndigheds to parter i den europæiske forordning om mediefrihed ventes at øge gennemsigtighedskravene med hensyn til direkte og indirekte medieejerskab, tildeling af statslig finansiering til medieforetagender i form af statslig annoncering samt udnævnelse og afskedigelse af public service-mediers bestyrelser; der henviser til, at forordningen om mediefrihed ventes at fastsætte stærke sikkerhedsforanstaltninger mod utilbørlig overvågning af journalister og medieforetagenders redaktionelle grupper;</w:t>
      </w:r>
    </w:p>
    <w:p w:rsidR="00BC0C09" w:rsidRPr="00392B66" w:rsidRDefault="00BC0C09" w:rsidP="00BC0C09">
      <w:pPr>
        <w:pStyle w:val="NormalHanging12a"/>
        <w:rPr>
          <w:szCs w:val="24"/>
        </w:rPr>
      </w:pPr>
      <w:r w:rsidRPr="00392B66">
        <w:rPr>
          <w:szCs w:val="24"/>
        </w:rPr>
        <w:t>G.</w:t>
      </w:r>
      <w:r w:rsidRPr="00392B66">
        <w:rPr>
          <w:szCs w:val="24"/>
        </w:rPr>
        <w:tab/>
        <w:t>der henviser til, at Europarådets platform for journalisters sikkerhed ved udgangen af 2023 havde påvist to tilfælde af straffrihed for mord, ni aktive varslinger og to andre ubesvarede varslinger;</w:t>
      </w:r>
    </w:p>
    <w:p w:rsidR="00BC0C09" w:rsidRPr="00392B66" w:rsidRDefault="00BC0C09" w:rsidP="00BC0C09">
      <w:pPr>
        <w:pStyle w:val="NormalHanging12a"/>
        <w:rPr>
          <w:szCs w:val="24"/>
        </w:rPr>
      </w:pPr>
      <w:r w:rsidRPr="00392B66">
        <w:rPr>
          <w:szCs w:val="24"/>
        </w:rPr>
        <w:t>H.</w:t>
      </w:r>
      <w:r w:rsidRPr="00392B66">
        <w:rPr>
          <w:szCs w:val="24"/>
        </w:rPr>
        <w:tab/>
        <w:t>der henviser til, at Grækenland har den laveste placering for noget EU-land – 107. pladsen – i Journalister uden Grænsers internationale pressefrihedsindeks for 2023;</w:t>
      </w:r>
    </w:p>
    <w:p w:rsidR="00BC0C09" w:rsidRPr="00392B66" w:rsidRDefault="00BC0C09" w:rsidP="00BC0C09">
      <w:pPr>
        <w:pStyle w:val="NormalHanging12a"/>
        <w:rPr>
          <w:rFonts w:eastAsia="Arial"/>
          <w:szCs w:val="24"/>
        </w:rPr>
      </w:pPr>
      <w:r w:rsidRPr="00392B66">
        <w:rPr>
          <w:szCs w:val="24"/>
        </w:rPr>
        <w:t>I.</w:t>
      </w:r>
      <w:r w:rsidRPr="00392B66">
        <w:rPr>
          <w:szCs w:val="24"/>
        </w:rPr>
        <w:tab/>
        <w:t>der henviser til, at mediefrihed, mediepluralisme og journalisters uafhængighed og sikkerhed er afgørende elementer i retten til ytrings- og informationsfrihed og er afgørende for EU's og dets medlemsstaters demokratiske funktion og for beskyttelsen af retsstatsprincippet, herunder bekæmpelsen af korruption;</w:t>
      </w:r>
    </w:p>
    <w:p w:rsidR="00BC0C09" w:rsidRPr="00392B66" w:rsidRDefault="00BC0C09" w:rsidP="00BC0C09">
      <w:pPr>
        <w:pStyle w:val="NormalHanging12a"/>
        <w:rPr>
          <w:szCs w:val="24"/>
        </w:rPr>
      </w:pPr>
      <w:r w:rsidRPr="00392B66">
        <w:rPr>
          <w:szCs w:val="24"/>
        </w:rPr>
        <w:t>J.</w:t>
      </w:r>
      <w:r w:rsidRPr="00392B66">
        <w:rPr>
          <w:szCs w:val="24"/>
        </w:rPr>
        <w:tab/>
        <w:t>der henviser til, at Kommissionen har konkluderet, at Grækenland opfylder milepælene for EU-finansiering, eftersom dets nationale gennemsigtighedsmyndighed (NTA) har vedtaget en strategi til bekæmpelse af korruption; der henviser til, at NTA ikke har en resultatliste for sin udøvelse af effektivt og uafhængigt tilsyn; der henviser til, at Kommissionens konklusion blot synes at være baseret på vedtagelsen af en strategi på papir og ikke på effektive foranstaltninger i praksis;</w:t>
      </w:r>
    </w:p>
    <w:p w:rsidR="00BC0C09" w:rsidRPr="00392B66" w:rsidRDefault="00BC0C09" w:rsidP="00BC0C09">
      <w:pPr>
        <w:pStyle w:val="NormalHanging12a"/>
        <w:rPr>
          <w:szCs w:val="24"/>
        </w:rPr>
      </w:pPr>
      <w:r w:rsidRPr="00392B66">
        <w:rPr>
          <w:szCs w:val="24"/>
        </w:rPr>
        <w:t>K.</w:t>
      </w:r>
      <w:r w:rsidRPr="00392B66">
        <w:rPr>
          <w:szCs w:val="24"/>
        </w:rPr>
        <w:tab/>
        <w:t xml:space="preserve">der henviser til, at Grækenland ifølge </w:t>
      </w:r>
      <w:proofErr w:type="spellStart"/>
      <w:r w:rsidRPr="00392B66">
        <w:rPr>
          <w:szCs w:val="24"/>
        </w:rPr>
        <w:t>Transparency</w:t>
      </w:r>
      <w:proofErr w:type="spellEnd"/>
      <w:r w:rsidRPr="00392B66">
        <w:rPr>
          <w:szCs w:val="24"/>
        </w:rPr>
        <w:t xml:space="preserve"> </w:t>
      </w:r>
      <w:proofErr w:type="spellStart"/>
      <w:r w:rsidRPr="00392B66">
        <w:rPr>
          <w:szCs w:val="24"/>
        </w:rPr>
        <w:t>Internationals</w:t>
      </w:r>
      <w:proofErr w:type="spellEnd"/>
      <w:r w:rsidRPr="00392B66">
        <w:rPr>
          <w:szCs w:val="24"/>
        </w:rPr>
        <w:t xml:space="preserve"> korruptionsindeks for 2023 har udvist et foruroligende fald for så vidt angår spørgsmål vedrørende retsstatsprincippet blandt de 27 EU-medlemsstater; der henviser til, at dette er en negativ udvikling, som også afspejles i landets øgede score i korruptionsindekset;</w:t>
      </w:r>
    </w:p>
    <w:p w:rsidR="00BC0C09" w:rsidRPr="00392B66" w:rsidRDefault="00BC0C09" w:rsidP="00BC0C09">
      <w:pPr>
        <w:pStyle w:val="NormalHanging12a"/>
        <w:rPr>
          <w:szCs w:val="24"/>
        </w:rPr>
      </w:pPr>
      <w:r w:rsidRPr="00392B66">
        <w:rPr>
          <w:szCs w:val="24"/>
        </w:rPr>
        <w:t>L.</w:t>
      </w:r>
      <w:r w:rsidRPr="00392B66">
        <w:rPr>
          <w:szCs w:val="24"/>
        </w:rPr>
        <w:tab/>
        <w:t xml:space="preserve">der henviser til, at 20 mio. EUR i statslige midler blev fordelt mellem </w:t>
      </w:r>
      <w:r w:rsidRPr="00392B66">
        <w:rPr>
          <w:szCs w:val="24"/>
        </w:rPr>
        <w:lastRenderedPageBreak/>
        <w:t>medieforetagender til kommunikationskampagner om folkesundhed, herunder ikkeeksisterende websteder og personlige blogs, i forbindelse med den såkaldte "</w:t>
      </w:r>
      <w:proofErr w:type="spellStart"/>
      <w:r w:rsidRPr="00392B66">
        <w:rPr>
          <w:szCs w:val="24"/>
        </w:rPr>
        <w:t>Petsas</w:t>
      </w:r>
      <w:proofErr w:type="spellEnd"/>
      <w:r w:rsidRPr="00392B66">
        <w:rPr>
          <w:szCs w:val="24"/>
        </w:rPr>
        <w:t xml:space="preserve"> Liste"-skandale; der henviser til, at visse medieforetagender helt blev udelukket uden nogen begrundelse og på grundlag af uigennemsigtige kriterier;</w:t>
      </w:r>
    </w:p>
    <w:p w:rsidR="00BC0C09" w:rsidRPr="00392B66" w:rsidRDefault="00BC0C09" w:rsidP="00BC0C09">
      <w:pPr>
        <w:pStyle w:val="NormalHanging12a"/>
        <w:rPr>
          <w:szCs w:val="24"/>
        </w:rPr>
      </w:pPr>
      <w:r w:rsidRPr="00392B66">
        <w:rPr>
          <w:szCs w:val="24"/>
        </w:rPr>
        <w:t>M.</w:t>
      </w:r>
      <w:r w:rsidRPr="00392B66">
        <w:rPr>
          <w:szCs w:val="24"/>
        </w:rPr>
        <w:tab/>
        <w:t>der henviser til, at en indledende undersøgelse foretaget af det græske Generaldirektorat for Finansiel og Økonomisk Kriminalitet har vist, at mindst 270 medieforetagender med finansiering ikke var korrekt og lovligt registreret, og at tabet af offentlige midler overstiger 3 mio. EUR;</w:t>
      </w:r>
    </w:p>
    <w:p w:rsidR="00BC0C09" w:rsidRPr="00392B66" w:rsidRDefault="00BC0C09" w:rsidP="00BC0C09">
      <w:pPr>
        <w:pStyle w:val="NormalHanging12a"/>
        <w:rPr>
          <w:szCs w:val="24"/>
        </w:rPr>
      </w:pPr>
      <w:r w:rsidRPr="00392B66">
        <w:rPr>
          <w:szCs w:val="24"/>
        </w:rPr>
        <w:t>N.</w:t>
      </w:r>
      <w:r w:rsidRPr="00392B66">
        <w:rPr>
          <w:szCs w:val="24"/>
        </w:rPr>
        <w:tab/>
        <w:t xml:space="preserve">der henviser til, at premierministerens nevø og tidligere generalsekretær for premierministerens kabinet i 2022 indledte flere retssager mod avisen EFSYN, onlineundersøgelsesplatformen Forenede Journalister og individuelle journalister med henblik på at få fjernet en artikel, der implicerede ham i en national spywareskandale, som involverede virksomheden </w:t>
      </w:r>
      <w:proofErr w:type="spellStart"/>
      <w:r w:rsidRPr="00392B66">
        <w:rPr>
          <w:szCs w:val="24"/>
        </w:rPr>
        <w:t>Intellexa</w:t>
      </w:r>
      <w:proofErr w:type="spellEnd"/>
      <w:r w:rsidRPr="00392B66">
        <w:rPr>
          <w:szCs w:val="24"/>
        </w:rPr>
        <w:t xml:space="preserve"> og en kompensation på 550 000 EUR; der henviser til, at artiklen blandt andet forårsagede et offentligt ramaskrig, som i sidste ende førte til, at han trådte tilbage fra rollen som generalsekretær i premierministerens kabinet; der henviser til, at der siden er fremkommet yderligere detaljer om hans rolle i spywareskandalen; der henviser til, at adskillige internationale organisationer for ytringsfrihed og mediefrihed har fordømt retssagen som en strategisk retssag mod offentligt engagement (SLAPP), som har til formål at undertrykke kritisk journalistik;</w:t>
      </w:r>
    </w:p>
    <w:p w:rsidR="00BC0C09" w:rsidRPr="00392B66" w:rsidRDefault="00BC0C09" w:rsidP="00BC0C09">
      <w:pPr>
        <w:pStyle w:val="NormalHanging12a"/>
        <w:rPr>
          <w:szCs w:val="24"/>
        </w:rPr>
      </w:pPr>
      <w:r w:rsidRPr="00392B66">
        <w:rPr>
          <w:szCs w:val="24"/>
        </w:rPr>
        <w:t>O.</w:t>
      </w:r>
      <w:r w:rsidRPr="00392B66">
        <w:rPr>
          <w:szCs w:val="24"/>
        </w:rPr>
        <w:tab/>
        <w:t>der henviser til, at den nyligt offentliggjorte årsberetning for den græske myndighed for kommunikationssikkerhed og privatlivets fred (ADAE) for 2022 afslørede, at tusindvis af sager om anklagemyndighedens ordrer om at få adgang til kommunikation af hensyn til den nationale sikkerhed ikke var blevet indberettet til ADAE i tide af den nationale græske efterretningstjeneste (EYP) og politiets afdeling for særlig voldelig kriminalitet (terrorbekæmpelse);</w:t>
      </w:r>
    </w:p>
    <w:p w:rsidR="00BC0C09" w:rsidRPr="00392B66" w:rsidRDefault="00BC0C09" w:rsidP="00BC0C09">
      <w:pPr>
        <w:pStyle w:val="NormalHanging12a"/>
        <w:rPr>
          <w:szCs w:val="24"/>
        </w:rPr>
      </w:pPr>
      <w:r w:rsidRPr="00392B66">
        <w:rPr>
          <w:szCs w:val="24"/>
        </w:rPr>
        <w:t>P.</w:t>
      </w:r>
      <w:r w:rsidRPr="00392B66">
        <w:rPr>
          <w:szCs w:val="24"/>
        </w:rPr>
        <w:tab/>
        <w:t xml:space="preserve">der henviser til, at skattemyndighederne i december 2023 pålagde ugeavisen </w:t>
      </w:r>
      <w:proofErr w:type="spellStart"/>
      <w:r w:rsidRPr="00392B66">
        <w:rPr>
          <w:szCs w:val="24"/>
        </w:rPr>
        <w:t>Documento</w:t>
      </w:r>
      <w:proofErr w:type="spellEnd"/>
      <w:r w:rsidRPr="00392B66">
        <w:rPr>
          <w:szCs w:val="24"/>
        </w:rPr>
        <w:t xml:space="preserve"> News en urimeligt høj bøde på 435 000 EUR; der henviser til, at Det Europæiske Center for Presse- og Mediefrihed den 7. december 2023 fordømte denne foranstaltning og gav udtryk for sin forfærdelse;</w:t>
      </w:r>
    </w:p>
    <w:p w:rsidR="00BC0C09" w:rsidRPr="00392B66" w:rsidRDefault="00BC0C09" w:rsidP="00BC0C09">
      <w:pPr>
        <w:pStyle w:val="NormalHanging12a"/>
        <w:rPr>
          <w:szCs w:val="24"/>
        </w:rPr>
      </w:pPr>
      <w:r w:rsidRPr="00392B66">
        <w:rPr>
          <w:szCs w:val="24"/>
        </w:rPr>
        <w:t>Q.</w:t>
      </w:r>
      <w:r w:rsidRPr="00392B66">
        <w:rPr>
          <w:szCs w:val="24"/>
        </w:rPr>
        <w:tab/>
        <w:t xml:space="preserve">der henviser til, at </w:t>
      </w:r>
      <w:proofErr w:type="spellStart"/>
      <w:r w:rsidRPr="00392B66">
        <w:rPr>
          <w:szCs w:val="24"/>
        </w:rPr>
        <w:t>Panayote</w:t>
      </w:r>
      <w:proofErr w:type="spellEnd"/>
      <w:r w:rsidRPr="00392B66">
        <w:rPr>
          <w:szCs w:val="24"/>
        </w:rPr>
        <w:t xml:space="preserve"> </w:t>
      </w:r>
      <w:proofErr w:type="spellStart"/>
      <w:r w:rsidRPr="00392B66">
        <w:rPr>
          <w:szCs w:val="24"/>
        </w:rPr>
        <w:t>Dimitras</w:t>
      </w:r>
      <w:proofErr w:type="spellEnd"/>
      <w:r w:rsidRPr="00392B66">
        <w:rPr>
          <w:szCs w:val="24"/>
        </w:rPr>
        <w:t xml:space="preserve">, en menneskerettighedsaktivist og stifter og leder af den græske </w:t>
      </w:r>
      <w:proofErr w:type="spellStart"/>
      <w:r w:rsidRPr="00392B66">
        <w:rPr>
          <w:szCs w:val="24"/>
        </w:rPr>
        <w:t>Helsinki</w:t>
      </w:r>
      <w:proofErr w:type="spellEnd"/>
      <w:r w:rsidRPr="00392B66">
        <w:rPr>
          <w:szCs w:val="24"/>
        </w:rPr>
        <w:t xml:space="preserve">-Monitor, retsforfølges for ulovlig menneskehandel, selv om det ser ud til, at han handlede lovligt for at yde humanitær bistand til asylsøgere; der henviser til, at han i december 2022 blev idømt en bøde og fik forbud mod at have noget at gøre med den græske </w:t>
      </w:r>
      <w:proofErr w:type="spellStart"/>
      <w:r w:rsidRPr="00392B66">
        <w:rPr>
          <w:szCs w:val="24"/>
        </w:rPr>
        <w:t>Helsinki</w:t>
      </w:r>
      <w:proofErr w:type="spellEnd"/>
      <w:r w:rsidRPr="00392B66">
        <w:rPr>
          <w:szCs w:val="24"/>
        </w:rPr>
        <w:t xml:space="preserve">-Monitor; der henviser til, at Europarådets menneskerettighedskommissær og FN's højkommissær for menneskerettigheder har givet udtryk for bekymring over sagen; der henviser til, at myndigheden for bekæmpelse af hvidvask af penge beordrede indefrysning af alle </w:t>
      </w:r>
      <w:proofErr w:type="spellStart"/>
      <w:r w:rsidRPr="00392B66">
        <w:rPr>
          <w:szCs w:val="24"/>
        </w:rPr>
        <w:t>Dimitras</w:t>
      </w:r>
      <w:proofErr w:type="spellEnd"/>
      <w:r w:rsidRPr="00392B66">
        <w:rPr>
          <w:szCs w:val="24"/>
        </w:rPr>
        <w:t xml:space="preserve">' aktiver i maj 2023; der henviser til, at </w:t>
      </w:r>
      <w:proofErr w:type="spellStart"/>
      <w:r w:rsidRPr="00392B66">
        <w:rPr>
          <w:szCs w:val="24"/>
        </w:rPr>
        <w:t>Dimitras</w:t>
      </w:r>
      <w:proofErr w:type="spellEnd"/>
      <w:r w:rsidRPr="00392B66">
        <w:rPr>
          <w:szCs w:val="24"/>
        </w:rPr>
        <w:t xml:space="preserve"> den 31. maj 2023 erklærede, at han kun havde modtaget EU-midler til bekæmpelse af hadefuld tale, og at midlerne kun var anvendt til dette formål; der henviser til, at den nylige frifindelse af 16 nødhjælpsarbejdere og frivillige viser, at der ikke er noget retsgrundlag for strafferetlige anklager mod dem, der yder humanitær bistand til asylsøgere;</w:t>
      </w:r>
    </w:p>
    <w:p w:rsidR="00BC0C09" w:rsidRPr="00392B66" w:rsidRDefault="00BC0C09" w:rsidP="00BC0C09">
      <w:pPr>
        <w:pStyle w:val="NormalHanging12a"/>
        <w:rPr>
          <w:szCs w:val="24"/>
        </w:rPr>
      </w:pPr>
      <w:r w:rsidRPr="00392B66">
        <w:rPr>
          <w:szCs w:val="24"/>
        </w:rPr>
        <w:t>R.</w:t>
      </w:r>
      <w:r w:rsidRPr="00392B66">
        <w:rPr>
          <w:szCs w:val="24"/>
        </w:rPr>
        <w:tab/>
        <w:t xml:space="preserve">der henviser til, at forordningen om </w:t>
      </w:r>
      <w:proofErr w:type="spellStart"/>
      <w:r w:rsidRPr="00392B66">
        <w:rPr>
          <w:szCs w:val="24"/>
        </w:rPr>
        <w:t>konditionalitet</w:t>
      </w:r>
      <w:proofErr w:type="spellEnd"/>
      <w:r w:rsidRPr="00392B66">
        <w:rPr>
          <w:szCs w:val="24"/>
        </w:rPr>
        <w:t xml:space="preserve"> vedrørende retsstatsprincippet er af allerstørste vigtighed for beskyttelsen af EU-budgettet;</w:t>
      </w:r>
    </w:p>
    <w:p w:rsidR="00BC0C09" w:rsidRPr="00392B66" w:rsidRDefault="00BC0C09" w:rsidP="00BC0C09">
      <w:pPr>
        <w:pStyle w:val="NormalHanging12a"/>
        <w:rPr>
          <w:szCs w:val="24"/>
        </w:rPr>
      </w:pPr>
      <w:r w:rsidRPr="00392B66">
        <w:rPr>
          <w:szCs w:val="24"/>
        </w:rPr>
        <w:lastRenderedPageBreak/>
        <w:t>S.</w:t>
      </w:r>
      <w:r w:rsidRPr="00392B66">
        <w:rPr>
          <w:szCs w:val="24"/>
        </w:rPr>
        <w:tab/>
        <w:t>der henviser til, at Den Europæiske Anklagemyndighed (EPPO) den 28. november 2022 indledte en undersøgelse af misbrug af 700 mio. EUR i støtte til et jernbanesikkerhedssystem; der henviser til, at 23 personer siden er blevet arresteret i forbindelse med skandalen, bortset fra (tidligere) ministre, der er beskyttet mod retsforfølgning via en afgørelse truffet af det græske parlament under påberåbelse af forfatningen;</w:t>
      </w:r>
    </w:p>
    <w:p w:rsidR="00BC0C09" w:rsidRPr="00392B66" w:rsidRDefault="00BC0C09" w:rsidP="00BC0C09">
      <w:pPr>
        <w:pStyle w:val="NormalHanging12a"/>
        <w:rPr>
          <w:szCs w:val="24"/>
        </w:rPr>
      </w:pPr>
      <w:r w:rsidRPr="00392B66">
        <w:rPr>
          <w:szCs w:val="24"/>
        </w:rPr>
        <w:t>T.</w:t>
      </w:r>
      <w:r w:rsidRPr="00392B66">
        <w:rPr>
          <w:szCs w:val="24"/>
        </w:rPr>
        <w:tab/>
        <w:t>der henviser til, at den græske regering i lighed med repræsentanter for det græske politi nægtede at mødes med Europa-Parlamentets DRFMG-delegation under dennes officielle delegationsrejse; der henviser til, at den græske premierminister den følgende dag mødtes med en lokal tysk delegation fra Det Europæiske Folkeparti; der henviser til, at dette afslag på at kunne mødes med nogen minister eller andre højtstående regeringsrepræsentanter er uden fortilfælde i forbindelse med undersøgelsesmissionerne siden oprettelsen af DRFMG i 2018;</w:t>
      </w:r>
    </w:p>
    <w:p w:rsidR="00BC0C09" w:rsidRPr="00392B66" w:rsidRDefault="00BC0C09" w:rsidP="00BC0C09">
      <w:pPr>
        <w:pStyle w:val="NormalHanging12a"/>
        <w:rPr>
          <w:szCs w:val="24"/>
        </w:rPr>
      </w:pPr>
      <w:r w:rsidRPr="00392B66">
        <w:rPr>
          <w:szCs w:val="24"/>
        </w:rPr>
        <w:t>U.</w:t>
      </w:r>
      <w:r w:rsidRPr="00392B66">
        <w:rPr>
          <w:szCs w:val="24"/>
        </w:rPr>
        <w:tab/>
        <w:t xml:space="preserve">der henviser til, at Grækenland har vedtaget flere love inden for ligestillingsrammen, hvoraf nogle indeholder store smuthuller; der henviser til, at den græske lov, der forbyder den såkaldte "konverteringspraksis" for mindreårige og andre sårbare personer, ikke omfatter tilfælde, hvor "konverteringspraksis" udføres af præster eller andre religiøse og/eller åndelige ledere eller specialister uden officielle kvalifikationer, og dem, som udføres på voksne, der har givet deres samtykke; der henviser til, at dem, der udfører denne form for praksis, kun kan drages til ansvar, hvis de har modtaget penge for at udføre dem; der henviser til, at der i sommeren 2023 var et større kaos i LGBTIQ+-samfundet, efter at en </w:t>
      </w:r>
      <w:proofErr w:type="spellStart"/>
      <w:r w:rsidRPr="00392B66">
        <w:rPr>
          <w:szCs w:val="24"/>
        </w:rPr>
        <w:t>queerkunstner</w:t>
      </w:r>
      <w:proofErr w:type="spellEnd"/>
      <w:r w:rsidRPr="00392B66">
        <w:rPr>
          <w:szCs w:val="24"/>
        </w:rPr>
        <w:t xml:space="preserve"> fra Cuba, Anna </w:t>
      </w:r>
      <w:proofErr w:type="spellStart"/>
      <w:r w:rsidRPr="00392B66">
        <w:rPr>
          <w:szCs w:val="24"/>
        </w:rPr>
        <w:t>Hernández</w:t>
      </w:r>
      <w:proofErr w:type="spellEnd"/>
      <w:r w:rsidRPr="00392B66">
        <w:rPr>
          <w:szCs w:val="24"/>
        </w:rPr>
        <w:t>, blev fundet stukket ihjel i sit hjem, og de første politirapporter angav hendes køn forkert;</w:t>
      </w:r>
    </w:p>
    <w:p w:rsidR="00BC0C09" w:rsidRPr="00392B66" w:rsidRDefault="00BC0C09" w:rsidP="00BC0C09">
      <w:pPr>
        <w:pStyle w:val="NormalHanging12a"/>
        <w:rPr>
          <w:szCs w:val="24"/>
        </w:rPr>
      </w:pPr>
      <w:r w:rsidRPr="00392B66">
        <w:rPr>
          <w:szCs w:val="24"/>
        </w:rPr>
        <w:t>V.</w:t>
      </w:r>
      <w:r w:rsidRPr="00392B66">
        <w:rPr>
          <w:szCs w:val="24"/>
        </w:rPr>
        <w:tab/>
        <w:t>der henviser til, at Grækenland i Det Europæiske Ligestillingsinstituts ligestillingsindeks for 2023 opnåede 58 point ud af 100 og kun rangerede som nr. 24 i EU; der henviser til, at Grækenland ifølge evalueringen fra 2023 fra ekspertgruppen vedrørende indsatsen mod vold mod kvinder og vold i hjemmet, som overvåger gennemførelsen af Istanbulkonventionen, ikke har nogen krisecentre for voldtægtsofre og/eller centre til henvisning i forbindelse med seksuel vold;</w:t>
      </w:r>
    </w:p>
    <w:p w:rsidR="00BC0C09" w:rsidRPr="00392B66" w:rsidRDefault="00BC0C09" w:rsidP="00BC0C09">
      <w:pPr>
        <w:pStyle w:val="NormalHanging12a"/>
        <w:rPr>
          <w:szCs w:val="24"/>
        </w:rPr>
      </w:pPr>
      <w:r w:rsidRPr="00392B66">
        <w:rPr>
          <w:szCs w:val="24"/>
        </w:rPr>
        <w:t>1.</w:t>
      </w:r>
      <w:r w:rsidRPr="00392B66">
        <w:rPr>
          <w:szCs w:val="24"/>
        </w:rPr>
        <w:tab/>
        <w:t>giver udtryk for alvorlig bekymring over meget alvorlige trusler mod demokratiet, retsstatsprincippet og de grundlæggende rettigheder i Grækenland; understreger, at magtadskillelse er afgørende for et robust demokrati, og bemærker med bekymring, at den er kommet under hårdt pres;</w:t>
      </w:r>
    </w:p>
    <w:p w:rsidR="00BC0C09" w:rsidRPr="00392B66" w:rsidRDefault="00BC0C09" w:rsidP="00BC0C09">
      <w:pPr>
        <w:pStyle w:val="NormalHanging12a"/>
        <w:rPr>
          <w:szCs w:val="24"/>
        </w:rPr>
      </w:pPr>
      <w:r w:rsidRPr="00392B66">
        <w:rPr>
          <w:szCs w:val="24"/>
        </w:rPr>
        <w:t>2.</w:t>
      </w:r>
      <w:r w:rsidRPr="00392B66">
        <w:rPr>
          <w:szCs w:val="24"/>
        </w:rPr>
        <w:tab/>
        <w:t xml:space="preserve">er dybt bekymret over, at de retshåndhævende myndigheder og domstolsmyndighederne i Grækenland ikke har gjort fremskridt med efterforskningen af mordet på den græske journalist George </w:t>
      </w:r>
      <w:proofErr w:type="spellStart"/>
      <w:r w:rsidRPr="00392B66">
        <w:rPr>
          <w:szCs w:val="24"/>
        </w:rPr>
        <w:t>Karaivaz</w:t>
      </w:r>
      <w:proofErr w:type="spellEnd"/>
      <w:r w:rsidRPr="00392B66">
        <w:rPr>
          <w:szCs w:val="24"/>
        </w:rPr>
        <w:t xml:space="preserve"> den 9. april 2021; bemærker, at to mistænkte blev arresteret i april 2023, men at der ellers ikke har været nogen mærkbar aktivitet i politiets efterforskning; opfordrer indtrængende myndighederne til at tage alle nødvendige skridt til at gennemføre en grundig og effektiv efterforskning og til at retsforfølge de personer, der er involveret i mordet, på alle niveauer; opfordrer indtrængende myndighederne til at anmode Europol om bistand;</w:t>
      </w:r>
    </w:p>
    <w:p w:rsidR="00BC0C09" w:rsidRPr="00392B66" w:rsidRDefault="00BC0C09" w:rsidP="00BC0C09">
      <w:pPr>
        <w:pStyle w:val="NormalHanging12a"/>
        <w:rPr>
          <w:szCs w:val="24"/>
        </w:rPr>
      </w:pPr>
      <w:r w:rsidRPr="00392B66">
        <w:rPr>
          <w:szCs w:val="24"/>
        </w:rPr>
        <w:t>3.</w:t>
      </w:r>
      <w:r w:rsidRPr="00392B66">
        <w:rPr>
          <w:szCs w:val="24"/>
        </w:rPr>
        <w:tab/>
        <w:t xml:space="preserve">er stærkt foruroliget over, at mange journalister – ud over dette mord – udsættes for fysiske trusler, verbale angreb, herunder fra højtstående politikere og ministre, krænkelse af deres privatliv ved hjælp af spyware samt </w:t>
      </w:r>
      <w:proofErr w:type="spellStart"/>
      <w:r w:rsidRPr="00392B66">
        <w:rPr>
          <w:szCs w:val="24"/>
        </w:rPr>
        <w:t>SLAPP'er</w:t>
      </w:r>
      <w:proofErr w:type="spellEnd"/>
      <w:r w:rsidRPr="00392B66">
        <w:rPr>
          <w:szCs w:val="24"/>
        </w:rPr>
        <w:t xml:space="preserve">; understreger, at dette har en afdæmpende indvirkning på dem; opfordrer til, at navnlig disse </w:t>
      </w:r>
      <w:proofErr w:type="spellStart"/>
      <w:r w:rsidRPr="00392B66">
        <w:rPr>
          <w:szCs w:val="24"/>
        </w:rPr>
        <w:t>SLAPP'er</w:t>
      </w:r>
      <w:proofErr w:type="spellEnd"/>
      <w:r w:rsidRPr="00392B66">
        <w:rPr>
          <w:szCs w:val="24"/>
        </w:rPr>
        <w:t xml:space="preserve"> </w:t>
      </w:r>
      <w:r w:rsidRPr="00392B66">
        <w:rPr>
          <w:szCs w:val="24"/>
        </w:rPr>
        <w:lastRenderedPageBreak/>
        <w:t>øjeblikkeligt droppes; insisterer på, at regeringen har pligt til at tage alle nødvendige skridt til at retsforfølge gerningsmændene bag forbrydelser mod enkeltpersoner, journalister og andre mediefolk samt til at skabe et sikkert miljø for alle journalister;</w:t>
      </w:r>
    </w:p>
    <w:p w:rsidR="00BC0C09" w:rsidRPr="00392B66" w:rsidRDefault="00BC0C09" w:rsidP="00BC0C09">
      <w:pPr>
        <w:pStyle w:val="NormalHanging12a"/>
        <w:rPr>
          <w:szCs w:val="24"/>
        </w:rPr>
      </w:pPr>
      <w:r w:rsidRPr="00392B66">
        <w:rPr>
          <w:szCs w:val="24"/>
        </w:rPr>
        <w:t>4.</w:t>
      </w:r>
      <w:r w:rsidRPr="00392B66">
        <w:rPr>
          <w:szCs w:val="24"/>
        </w:rPr>
        <w:tab/>
        <w:t xml:space="preserve">giver udtryk for dyb bekymring over de mange tilfælde af overdreven magtanvendelse fra politiets side over for minoritetsgrupper og fredelige demonstranter generelt; opfordrer myndighederne til at undersøge alle sådanne tilfælde fuldt ud og uafhængigt; er dybt bekymret over, at tre unge romaer er blevet dræbt i de senere år i Grækenland angiveligt ved politivold, og over fraværet af en grundig efterforskning heraf; bemærker med bekymring, at politiet i nogle tilfælde rensede gerningsstedet, inden der blev foretaget en retsmedicinsk undersøgelse; minder om, at den kompetente domstol frifandt fire politibetjente for involvering i LGBTIQ+-aktivisten </w:t>
      </w:r>
      <w:proofErr w:type="spellStart"/>
      <w:r w:rsidRPr="00392B66">
        <w:rPr>
          <w:szCs w:val="24"/>
        </w:rPr>
        <w:t>Zak</w:t>
      </w:r>
      <w:proofErr w:type="spellEnd"/>
      <w:r w:rsidRPr="00392B66">
        <w:rPr>
          <w:szCs w:val="24"/>
        </w:rPr>
        <w:t xml:space="preserve"> </w:t>
      </w:r>
      <w:proofErr w:type="spellStart"/>
      <w:r w:rsidRPr="00392B66">
        <w:rPr>
          <w:szCs w:val="24"/>
        </w:rPr>
        <w:t>Kostopoulos</w:t>
      </w:r>
      <w:proofErr w:type="spellEnd"/>
      <w:r w:rsidRPr="00392B66">
        <w:rPr>
          <w:szCs w:val="24"/>
        </w:rPr>
        <w:t>' død i 2022 på trods af optagelser, der viser, at politiet brugte unødig magt;</w:t>
      </w:r>
    </w:p>
    <w:p w:rsidR="00BC0C09" w:rsidRPr="00392B66" w:rsidRDefault="00BC0C09" w:rsidP="00BC0C09">
      <w:pPr>
        <w:pStyle w:val="NormalHanging12a"/>
        <w:rPr>
          <w:szCs w:val="24"/>
        </w:rPr>
      </w:pPr>
      <w:r w:rsidRPr="00392B66">
        <w:rPr>
          <w:szCs w:val="24"/>
        </w:rPr>
        <w:t>5.</w:t>
      </w:r>
      <w:r w:rsidRPr="00392B66">
        <w:rPr>
          <w:szCs w:val="24"/>
        </w:rPr>
        <w:tab/>
        <w:t>opfordrer regeringen til at sikre den nationale tilsynsmyndighed for den audiovisuelle sektor fuld uafhængighed som krævet i henhold til direktivet om audiovisuelle medietjenester;</w:t>
      </w:r>
    </w:p>
    <w:p w:rsidR="00BC0C09" w:rsidRPr="00392B66" w:rsidRDefault="00BC0C09" w:rsidP="00BC0C09">
      <w:pPr>
        <w:pStyle w:val="NormalHanging12a"/>
        <w:rPr>
          <w:szCs w:val="24"/>
        </w:rPr>
      </w:pPr>
      <w:r w:rsidRPr="00392B66">
        <w:rPr>
          <w:szCs w:val="24"/>
        </w:rPr>
        <w:t>6.</w:t>
      </w:r>
      <w:r w:rsidRPr="00392B66">
        <w:rPr>
          <w:szCs w:val="24"/>
        </w:rPr>
        <w:tab/>
        <w:t>understreger, at mediepluralismen er truet, da medieejerskabet i landet hovedsagelig er fordelt på et lille antal oligarker, hvilket resulterer i en markant underrapportering om visse emner, eksempelvis bekymringerne over jernbanesikkerhedssystemet forud for Tempi-togulykken; bemærker med bekymring den manglende gennemsigtighed i fordelingen af statsstøtte til medieforetagender; bemærker Kommissionens konklusion om, at medietilsynsmyndighederne mangler ressourcer; sætter spørgsmålstegn ved det nationale græske radio- og tv-råds objektivitet og uafhængighed og er bekymret over den pludselige udskiftning af tilsynsrådet i september 2023; opfordrer Kommissionen til at overvåge gennemførelsen af den nye medielov nr. 5005/2022 af 21. december 2022, navnlig hvad angår gennemsigtighed med hensyn til medieejerskab;</w:t>
      </w:r>
    </w:p>
    <w:p w:rsidR="00BC0C09" w:rsidRPr="00392B66" w:rsidRDefault="00BC0C09" w:rsidP="00BC0C09">
      <w:pPr>
        <w:pStyle w:val="NormalHanging12a"/>
        <w:rPr>
          <w:szCs w:val="24"/>
        </w:rPr>
      </w:pPr>
      <w:r w:rsidRPr="00392B66">
        <w:rPr>
          <w:szCs w:val="24"/>
        </w:rPr>
        <w:t>7.</w:t>
      </w:r>
      <w:r w:rsidRPr="00392B66">
        <w:rPr>
          <w:szCs w:val="24"/>
        </w:rPr>
        <w:tab/>
        <w:t xml:space="preserve">opfordrer, for så vidt angår den ulovlige brug af overvågningsteknologi såsom </w:t>
      </w:r>
      <w:proofErr w:type="spellStart"/>
      <w:r w:rsidRPr="00392B66">
        <w:rPr>
          <w:szCs w:val="24"/>
        </w:rPr>
        <w:t>Predator</w:t>
      </w:r>
      <w:proofErr w:type="spellEnd"/>
      <w:r w:rsidRPr="00392B66">
        <w:rPr>
          <w:szCs w:val="24"/>
        </w:rPr>
        <w:t>-spyware, til:</w:t>
      </w:r>
    </w:p>
    <w:p w:rsidR="00BC0C09" w:rsidRPr="00392B66" w:rsidRDefault="00BC0C09" w:rsidP="00BC0C09">
      <w:pPr>
        <w:pStyle w:val="NormalHanging12a"/>
        <w:ind w:left="1134"/>
        <w:rPr>
          <w:szCs w:val="24"/>
        </w:rPr>
      </w:pPr>
      <w:r w:rsidRPr="00392B66">
        <w:rPr>
          <w:szCs w:val="24"/>
        </w:rPr>
        <w:t>a)</w:t>
      </w:r>
      <w:r w:rsidRPr="00392B66">
        <w:rPr>
          <w:szCs w:val="24"/>
        </w:rPr>
        <w:tab/>
        <w:t xml:space="preserve">at institutionelle og retlige garantier, herunder effektiv forudgående og efterfølgende kontrol, samt uafhængige tilsynsmekanismer hurtigst muligt bliver genoprettet og styrket </w:t>
      </w:r>
    </w:p>
    <w:p w:rsidR="00BC0C09" w:rsidRPr="00392B66" w:rsidRDefault="00BC0C09" w:rsidP="00BC0C09">
      <w:pPr>
        <w:pStyle w:val="NormalHanging12a"/>
        <w:ind w:left="1134"/>
        <w:rPr>
          <w:szCs w:val="24"/>
        </w:rPr>
      </w:pPr>
      <w:r w:rsidRPr="00392B66">
        <w:rPr>
          <w:szCs w:val="24"/>
        </w:rPr>
        <w:t>b)</w:t>
      </w:r>
      <w:r w:rsidRPr="00392B66">
        <w:rPr>
          <w:szCs w:val="24"/>
        </w:rPr>
        <w:tab/>
        <w:t>at alle eksportlicenser, der ikke er i fuld overensstemmelse med forordningen om produkter med dobbelt anvendelse</w:t>
      </w:r>
      <w:r w:rsidRPr="00C95D11">
        <w:rPr>
          <w:rStyle w:val="FootnoteReference"/>
          <w:szCs w:val="24"/>
        </w:rPr>
        <w:footnoteReference w:id="6"/>
      </w:r>
      <w:r w:rsidRPr="00C95D11">
        <w:rPr>
          <w:szCs w:val="24"/>
        </w:rPr>
        <w:t>, hurtigst muligt ophæves, og at påstandene om ulovlig eksport, bl.a. til Sudan, undersøges</w:t>
      </w:r>
    </w:p>
    <w:p w:rsidR="00BC0C09" w:rsidRPr="00392B66" w:rsidRDefault="00BC0C09" w:rsidP="00BC0C09">
      <w:pPr>
        <w:pStyle w:val="NormalHanging12a"/>
        <w:ind w:left="1134"/>
        <w:rPr>
          <w:szCs w:val="24"/>
        </w:rPr>
      </w:pPr>
      <w:r w:rsidRPr="00392B66">
        <w:rPr>
          <w:szCs w:val="24"/>
        </w:rPr>
        <w:t>c)</w:t>
      </w:r>
      <w:r w:rsidRPr="00392B66">
        <w:rPr>
          <w:szCs w:val="24"/>
        </w:rPr>
        <w:tab/>
        <w:t>garantier for, at myndighederne frit og uhindret kan undersøge alle påstande om brug af spyware</w:t>
      </w:r>
    </w:p>
    <w:p w:rsidR="00BC0C09" w:rsidRPr="00392B66" w:rsidRDefault="00BC0C09" w:rsidP="00BC0C09">
      <w:pPr>
        <w:pStyle w:val="NormalHanging12a"/>
        <w:ind w:left="1134"/>
        <w:rPr>
          <w:szCs w:val="24"/>
        </w:rPr>
      </w:pPr>
      <w:r w:rsidRPr="00392B66">
        <w:rPr>
          <w:szCs w:val="24"/>
        </w:rPr>
        <w:t>d)</w:t>
      </w:r>
      <w:r w:rsidRPr="00392B66">
        <w:rPr>
          <w:szCs w:val="24"/>
        </w:rPr>
        <w:tab/>
        <w:t>at lovændringen fra 2019, som satte den nationale efterretningstjeneste under premierministerens direkte kontrol, omstødes</w:t>
      </w:r>
    </w:p>
    <w:p w:rsidR="00BC0C09" w:rsidRPr="00392B66" w:rsidRDefault="00BC0C09" w:rsidP="00BC0C09">
      <w:pPr>
        <w:pStyle w:val="NormalHanging12a"/>
        <w:ind w:left="1134"/>
        <w:rPr>
          <w:szCs w:val="24"/>
        </w:rPr>
      </w:pPr>
      <w:r w:rsidRPr="00392B66">
        <w:rPr>
          <w:szCs w:val="24"/>
        </w:rPr>
        <w:lastRenderedPageBreak/>
        <w:t>e)</w:t>
      </w:r>
      <w:r w:rsidRPr="00392B66">
        <w:rPr>
          <w:szCs w:val="24"/>
        </w:rPr>
        <w:tab/>
        <w:t>garantier for NTA-ledelsens uafhængighed</w:t>
      </w:r>
    </w:p>
    <w:p w:rsidR="00BC0C09" w:rsidRPr="00392B66" w:rsidRDefault="00BC0C09" w:rsidP="00BC0C09">
      <w:pPr>
        <w:pStyle w:val="NormalHanging12a"/>
        <w:ind w:left="1134"/>
        <w:rPr>
          <w:szCs w:val="24"/>
        </w:rPr>
      </w:pPr>
      <w:r w:rsidRPr="00392B66">
        <w:rPr>
          <w:szCs w:val="24"/>
        </w:rPr>
        <w:t>f)</w:t>
      </w:r>
      <w:r w:rsidRPr="00392B66">
        <w:rPr>
          <w:szCs w:val="24"/>
        </w:rPr>
        <w:tab/>
        <w:t>at der omgående indledes en politiefterforskning efter den påståede ulovlige brug af spyware og med henblik på beslaglæggelse af fysiske beviser fra stedfortrædere, mæglervirksomheder og spywareleverandører, der knyttes til infektioner med spyware</w:t>
      </w:r>
    </w:p>
    <w:p w:rsidR="00BC0C09" w:rsidRPr="00392B66" w:rsidRDefault="00BC0C09" w:rsidP="00BC0C09">
      <w:pPr>
        <w:pStyle w:val="NormalHanging12a"/>
        <w:ind w:left="1134"/>
        <w:rPr>
          <w:szCs w:val="24"/>
        </w:rPr>
      </w:pPr>
      <w:r w:rsidRPr="00392B66">
        <w:rPr>
          <w:szCs w:val="24"/>
        </w:rPr>
        <w:t>g)</w:t>
      </w:r>
      <w:r w:rsidRPr="00392B66">
        <w:rPr>
          <w:szCs w:val="24"/>
        </w:rPr>
        <w:tab/>
        <w:t xml:space="preserve">at Europol straks anmodes om at deltage i efterforskningen; fordømmer den ulovlige anvendelse af begrebet "trussel mod den nationale sikkerhed" som begrundelse for de uacceptable aflytninger og overvågningen af politiske modstandere, herunder det nuværende medlem af Europa-Parlamentet, Georgios </w:t>
      </w:r>
      <w:proofErr w:type="spellStart"/>
      <w:r w:rsidRPr="00392B66">
        <w:rPr>
          <w:szCs w:val="24"/>
        </w:rPr>
        <w:t>Kyrtsos</w:t>
      </w:r>
      <w:proofErr w:type="spellEnd"/>
      <w:r w:rsidRPr="00392B66">
        <w:rPr>
          <w:szCs w:val="24"/>
        </w:rPr>
        <w:t xml:space="preserve">, og tidligere medlem, Nikos </w:t>
      </w:r>
      <w:proofErr w:type="spellStart"/>
      <w:r w:rsidRPr="00392B66">
        <w:rPr>
          <w:szCs w:val="24"/>
        </w:rPr>
        <w:t>Androulakis</w:t>
      </w:r>
      <w:proofErr w:type="spellEnd"/>
      <w:r w:rsidRPr="00392B66">
        <w:rPr>
          <w:szCs w:val="24"/>
        </w:rPr>
        <w:t>; giver udtryk for alvorlig bekymring over premierministerens indflydelse på EYP, som er underlagt hans kabinets direkte kompetence og tilsyn;</w:t>
      </w:r>
    </w:p>
    <w:p w:rsidR="00BC0C09" w:rsidRPr="00392B66" w:rsidRDefault="00BC0C09" w:rsidP="00BC0C09">
      <w:pPr>
        <w:pStyle w:val="NormalHanging12a"/>
        <w:rPr>
          <w:szCs w:val="24"/>
        </w:rPr>
      </w:pPr>
      <w:r w:rsidRPr="00392B66">
        <w:rPr>
          <w:szCs w:val="24"/>
        </w:rPr>
        <w:t>8.</w:t>
      </w:r>
      <w:r w:rsidRPr="00392B66">
        <w:rPr>
          <w:szCs w:val="24"/>
        </w:rPr>
        <w:tab/>
        <w:t xml:space="preserve">bemærker med stor bekymring, at uafhængige myndigheder såsom ADAE og den græske databeskyttelsesmyndighed (DPA) er kommet under stigende pres på grund af deres arbejde vedrørende </w:t>
      </w:r>
      <w:proofErr w:type="spellStart"/>
      <w:r w:rsidRPr="00392B66">
        <w:rPr>
          <w:szCs w:val="24"/>
        </w:rPr>
        <w:t>EYP's</w:t>
      </w:r>
      <w:proofErr w:type="spellEnd"/>
      <w:r w:rsidRPr="00392B66">
        <w:rPr>
          <w:szCs w:val="24"/>
        </w:rPr>
        <w:t xml:space="preserve"> ulovlige aflytning; bemærker endvidere, at det græske parlament i 2023 pludselig erstattede </w:t>
      </w:r>
      <w:proofErr w:type="spellStart"/>
      <w:r w:rsidRPr="00392B66">
        <w:rPr>
          <w:szCs w:val="24"/>
        </w:rPr>
        <w:t>ADAE's</w:t>
      </w:r>
      <w:proofErr w:type="spellEnd"/>
      <w:r w:rsidRPr="00392B66">
        <w:rPr>
          <w:szCs w:val="24"/>
        </w:rPr>
        <w:t xml:space="preserve"> bestyrelsesmedlemmer, umiddelbart før ADAE skulle træffe afgørelse om at pålægge den græske efterretningstjeneste en bøde, og lige inden ADAE og DPA anmodede om, at der blev taget et meget afgørende skridt i undersøgelsen af spywareskandalen;</w:t>
      </w:r>
    </w:p>
    <w:p w:rsidR="00BC0C09" w:rsidRPr="00392B66" w:rsidRDefault="00BC0C09" w:rsidP="00BC0C09">
      <w:pPr>
        <w:pStyle w:val="NormalHanging12a"/>
        <w:rPr>
          <w:szCs w:val="24"/>
        </w:rPr>
      </w:pPr>
      <w:r w:rsidRPr="00392B66">
        <w:rPr>
          <w:szCs w:val="24"/>
        </w:rPr>
        <w:t>9.</w:t>
      </w:r>
      <w:r w:rsidRPr="00392B66">
        <w:rPr>
          <w:szCs w:val="24"/>
        </w:rPr>
        <w:tab/>
        <w:t xml:space="preserve">opfordrer den græske regering til hurtigst muligt at trække ændring 826/145 til lov nr. 2472/1997 tilbage, som afskaffede </w:t>
      </w:r>
      <w:proofErr w:type="spellStart"/>
      <w:r w:rsidRPr="00392B66">
        <w:rPr>
          <w:szCs w:val="24"/>
        </w:rPr>
        <w:t>ADAE's</w:t>
      </w:r>
      <w:proofErr w:type="spellEnd"/>
      <w:r w:rsidRPr="00392B66">
        <w:rPr>
          <w:szCs w:val="24"/>
        </w:rPr>
        <w:t xml:space="preserve"> mulighed for at underrette borgerne om, at kommunikationshemmeligheden ophæves, og til at genoprette retsvæsenets og alle relevante tilsynsorganers, såsom Ombudsmandens og DPA's, fulde uafhængighed for at sikre, at alle tilsynsorganer nyder godt af fuldt samarbejde og adgang til oplysninger og kan give alle ofre fuldstændig information;</w:t>
      </w:r>
    </w:p>
    <w:p w:rsidR="00BC0C09" w:rsidRPr="00392B66" w:rsidRDefault="00BC0C09" w:rsidP="00BC0C09">
      <w:pPr>
        <w:pStyle w:val="NormalHanging12a"/>
        <w:rPr>
          <w:szCs w:val="24"/>
        </w:rPr>
      </w:pPr>
      <w:r w:rsidRPr="00392B66">
        <w:rPr>
          <w:szCs w:val="24"/>
        </w:rPr>
        <w:t>10.</w:t>
      </w:r>
      <w:r w:rsidRPr="00392B66">
        <w:rPr>
          <w:szCs w:val="24"/>
        </w:rPr>
        <w:tab/>
        <w:t>giver udtryk for bekymring over, at uafhængige offentlige organer såsom Ombudsmanden, hvis mandat og varigheden heraf skal være i overensstemmelse med Parisprincipperne og europæiske standarder for ligestillingsorganer, samt DPA og ADAE er underfinansierede, underbemandede, har fået indskrænket deres beføjelser, har uigennemsigtige udnævnelsesprocedurer, og at deres embedsmænd udsættes for chikane og intimidering; bemærker også, at det nationale agentur for gennemsigtighed, som bør spille en altafgørende rolle i kontrollen med de offentlige myndigheder, ikke synes at være effektivt, og at der er blevet udtrykt bekymring angående dets uafhængighed; opfordrer den græske regering til at sikre uafhængige tilsynsorganers uafhængighed og operationelle autonomi i overensstemmelse med den græske forfatning og de gældende retlige krav på nationalt plan og EU-plan og til at forbedre sin efterlevelse af deres henstillinger; påpeger, at de systematiske vanskeligheder og forsinkelser i forbindelse med udpegelsen af uafhængige tilsynsorganers ledelse undergraver deres effektivitet og autoritet; er stærkt foruroliget over den pludselige udskiftning af bestyrelsesmedlemmerne i ADAE og tilsynsorganet for det offentlige radio- og tv-selskab i september 2023, netop som ADAE og DPA havde opfordret til, at der skulle træffes et helt afgørende skridt i spywareefterforskningen;</w:t>
      </w:r>
    </w:p>
    <w:p w:rsidR="00BC0C09" w:rsidRPr="00392B66" w:rsidRDefault="00BC0C09" w:rsidP="00BC0C09">
      <w:pPr>
        <w:pStyle w:val="NormalHanging12a"/>
        <w:rPr>
          <w:szCs w:val="24"/>
        </w:rPr>
      </w:pPr>
      <w:r w:rsidRPr="00392B66">
        <w:rPr>
          <w:szCs w:val="24"/>
        </w:rPr>
        <w:t>11.</w:t>
      </w:r>
      <w:r w:rsidRPr="00392B66">
        <w:rPr>
          <w:szCs w:val="24"/>
        </w:rPr>
        <w:tab/>
        <w:t xml:space="preserve">er dybt bekymret for, at overførslen af spywareefterforskningen til en anden anklager efter den tidligere anklagers anmodning til ADAE om at kontrollere, om de 92 personer, som </w:t>
      </w:r>
      <w:proofErr w:type="spellStart"/>
      <w:r w:rsidRPr="00392B66">
        <w:rPr>
          <w:szCs w:val="24"/>
        </w:rPr>
        <w:t>Predator</w:t>
      </w:r>
      <w:proofErr w:type="spellEnd"/>
      <w:r w:rsidRPr="00392B66">
        <w:rPr>
          <w:szCs w:val="24"/>
        </w:rPr>
        <w:t xml:space="preserve">-spywaren var rettet mod (herunder nationale parlamentsmedlemmer og </w:t>
      </w:r>
      <w:r w:rsidRPr="00392B66">
        <w:rPr>
          <w:szCs w:val="24"/>
        </w:rPr>
        <w:lastRenderedPageBreak/>
        <w:t>medlemmer af Europa-Parlamentet, journalister og statslige embedsmænd), også var blevet udsat for overvågning af EYP, vil føre til en de facto-afslutning af efterforskningen; gentager sin opfordring til, at Europol inddrages i efterforskningen;</w:t>
      </w:r>
    </w:p>
    <w:p w:rsidR="00BC0C09" w:rsidRPr="00392B66" w:rsidRDefault="00BC0C09" w:rsidP="00BC0C09">
      <w:pPr>
        <w:pStyle w:val="NormalHanging12a"/>
        <w:rPr>
          <w:szCs w:val="24"/>
        </w:rPr>
      </w:pPr>
      <w:r w:rsidRPr="00392B66">
        <w:rPr>
          <w:szCs w:val="24"/>
        </w:rPr>
        <w:t>12.</w:t>
      </w:r>
      <w:r w:rsidRPr="00392B66">
        <w:rPr>
          <w:szCs w:val="24"/>
        </w:rPr>
        <w:tab/>
        <w:t xml:space="preserve">fordømmer på det kraftigste intimideringen af og chikanen mod embedsmænd, der kontrollerer regeringen, f.eks. den tidligere anklager for korruptionsbekæmpelse, Eleni </w:t>
      </w:r>
      <w:proofErr w:type="spellStart"/>
      <w:r w:rsidRPr="00392B66">
        <w:rPr>
          <w:szCs w:val="24"/>
        </w:rPr>
        <w:t>Touloupaki</w:t>
      </w:r>
      <w:proofErr w:type="spellEnd"/>
      <w:r w:rsidRPr="00392B66">
        <w:rPr>
          <w:szCs w:val="24"/>
        </w:rPr>
        <w:t xml:space="preserve">, og chefen for ADAE, Christos </w:t>
      </w:r>
      <w:proofErr w:type="spellStart"/>
      <w:r w:rsidRPr="00392B66">
        <w:rPr>
          <w:szCs w:val="24"/>
        </w:rPr>
        <w:t>Rammos</w:t>
      </w:r>
      <w:proofErr w:type="spellEnd"/>
      <w:r w:rsidRPr="00392B66">
        <w:rPr>
          <w:szCs w:val="24"/>
        </w:rPr>
        <w:t>; udtrykker sin forfærdelse over højesteretsanklagerens indgriben og påståede forsøg på at standse en anmodning fra ADAE om, at et telekommunikationsselskab skulle kontrollere overvågningskendelser i 2022;</w:t>
      </w:r>
    </w:p>
    <w:p w:rsidR="00BC0C09" w:rsidRPr="00392B66" w:rsidRDefault="00BC0C09" w:rsidP="00BC0C09">
      <w:pPr>
        <w:pStyle w:val="NormalHanging12a"/>
        <w:rPr>
          <w:szCs w:val="24"/>
        </w:rPr>
      </w:pPr>
      <w:r w:rsidRPr="00392B66">
        <w:rPr>
          <w:szCs w:val="24"/>
        </w:rPr>
        <w:t>13.</w:t>
      </w:r>
      <w:r w:rsidRPr="00392B66">
        <w:rPr>
          <w:szCs w:val="24"/>
        </w:rPr>
        <w:tab/>
        <w:t>understreger med alvorlig bekymring, at korruption udhuler offentlige tjenester og goder; understreger, at retssagernes varighed blandet med tvivl om integriteten i dele af politistyrken og interessekonflikter på højeste niveau, herunder organiserede kriminelle gruppers påståede infiltration af politiet, fører til en straffrihedskultur, hvor korruption kan trives; understreger, at myndighederne endnu ikke har opnået en solid resultatliste for efterforskning og retsforfølgning af korruptionssager på højt niveau, som fører til endelige domfældelser med en afskrækkende virkning; opfordrer regeringen og myndighederne til at gøre det til en prioritet at få løst disse problemer;</w:t>
      </w:r>
    </w:p>
    <w:p w:rsidR="00BC0C09" w:rsidRPr="00392B66" w:rsidRDefault="00BC0C09" w:rsidP="00BC0C09">
      <w:pPr>
        <w:pStyle w:val="NormalHanging12a"/>
        <w:rPr>
          <w:szCs w:val="24"/>
        </w:rPr>
      </w:pPr>
      <w:r w:rsidRPr="00392B66">
        <w:rPr>
          <w:szCs w:val="24"/>
        </w:rPr>
        <w:t>14.</w:t>
      </w:r>
      <w:r w:rsidRPr="00392B66">
        <w:rPr>
          <w:szCs w:val="24"/>
        </w:rPr>
        <w:tab/>
        <w:t>opfordrer den græske regering til at vedtage øjeblikkelige foranstaltninger og de nødvendige reformer for at forbedre politiets kapacitet og gennemsigtighed med hensyn til efterforskning af sager om organiseret kriminalitet, herunder til at kigge nærmere på stærke tegn på forbindelser mellem organiseret kriminalitet og politiet overalt i dets hierarki;</w:t>
      </w:r>
    </w:p>
    <w:p w:rsidR="00BC0C09" w:rsidRPr="00392B66" w:rsidRDefault="00BC0C09" w:rsidP="00BC0C09">
      <w:pPr>
        <w:pStyle w:val="NormalHanging12a"/>
        <w:rPr>
          <w:szCs w:val="24"/>
        </w:rPr>
      </w:pPr>
      <w:r w:rsidRPr="00392B66">
        <w:rPr>
          <w:szCs w:val="24"/>
        </w:rPr>
        <w:t>15.</w:t>
      </w:r>
      <w:r w:rsidRPr="00392B66">
        <w:rPr>
          <w:szCs w:val="24"/>
        </w:rPr>
        <w:tab/>
        <w:t>opfordrer regeringen til at gennemføre alle Den Europæiske Menneskerettighedsdomstols domme fuldt ud og til at efterkomme de foreløbige foranstaltninger, som domstolen har pålagt;</w:t>
      </w:r>
    </w:p>
    <w:p w:rsidR="00BC0C09" w:rsidRPr="00392B66" w:rsidRDefault="00BC0C09" w:rsidP="00BC0C09">
      <w:pPr>
        <w:pStyle w:val="NormalHanging12a"/>
        <w:rPr>
          <w:szCs w:val="24"/>
        </w:rPr>
      </w:pPr>
      <w:r w:rsidRPr="00392B66">
        <w:rPr>
          <w:szCs w:val="24"/>
        </w:rPr>
        <w:t>16.</w:t>
      </w:r>
      <w:r w:rsidRPr="00392B66">
        <w:rPr>
          <w:szCs w:val="24"/>
        </w:rPr>
        <w:tab/>
        <w:t>bemærker, at der hidtil ikke er truffet foranstaltninger med hensyn til retsvæsenets deltagelse i udnævnelsesproceduren for de højeste dommerembeder, dvs. dommere til stillingerne som formand og næstformand for hhv. statsrådet, højesteret og revisionsretten;</w:t>
      </w:r>
    </w:p>
    <w:p w:rsidR="00BC0C09" w:rsidRPr="00392B66" w:rsidRDefault="00BC0C09" w:rsidP="00BC0C09">
      <w:pPr>
        <w:pStyle w:val="NormalHanging12a"/>
        <w:rPr>
          <w:szCs w:val="24"/>
        </w:rPr>
      </w:pPr>
      <w:r w:rsidRPr="00392B66">
        <w:rPr>
          <w:szCs w:val="24"/>
        </w:rPr>
        <w:t>17.</w:t>
      </w:r>
      <w:r w:rsidRPr="00392B66">
        <w:rPr>
          <w:szCs w:val="24"/>
        </w:rPr>
        <w:tab/>
        <w:t xml:space="preserve">giver udtryk for sin dybe beklagelse og sorg over det tragiske tab af menneskeliv ved skibsforliset den 14. juni 2023, hvor en fiskerbåd sank i Det Joniske Hav ud for kysten ved </w:t>
      </w:r>
      <w:proofErr w:type="spellStart"/>
      <w:r w:rsidRPr="00392B66">
        <w:rPr>
          <w:szCs w:val="24"/>
        </w:rPr>
        <w:t>Pylos</w:t>
      </w:r>
      <w:proofErr w:type="spellEnd"/>
      <w:r w:rsidRPr="00392B66">
        <w:rPr>
          <w:szCs w:val="24"/>
        </w:rPr>
        <w:t xml:space="preserve">, </w:t>
      </w:r>
      <w:proofErr w:type="spellStart"/>
      <w:r w:rsidRPr="00392B66">
        <w:rPr>
          <w:szCs w:val="24"/>
        </w:rPr>
        <w:t>Messenia</w:t>
      </w:r>
      <w:proofErr w:type="spellEnd"/>
      <w:r w:rsidRPr="00392B66">
        <w:rPr>
          <w:szCs w:val="24"/>
        </w:rPr>
        <w:t xml:space="preserve"> i Grækenland med mere end 600 personer om bord, der formodes at være døde; er dybt foruroliget over, at der ikke er sket fremskridt med den retlige undersøgelse; bifalder Den Europæiske Ombudsmands og den græske ombudsmands undersøgelser af katastrofen; giver udtryk for alvorlig bekymring over behandlingen af migranter ved de ydre grænser og internt i landet efter systematiske </w:t>
      </w:r>
      <w:proofErr w:type="spellStart"/>
      <w:r w:rsidRPr="00392B66">
        <w:rPr>
          <w:szCs w:val="24"/>
        </w:rPr>
        <w:t>tilbagedrivelser</w:t>
      </w:r>
      <w:proofErr w:type="spellEnd"/>
      <w:r w:rsidRPr="00392B66">
        <w:rPr>
          <w:szCs w:val="24"/>
        </w:rPr>
        <w:t xml:space="preserve"> og vold mod ikke-EU-statsborgere, vilkårlige tilbageholdelser af dem og tyveri af deres ejendele; er endvidere alvorligt bekymret over forholdene i modtagelsescentrene, navnlig med hensyn til beskyttelse af personer mod forbrydelser og adgang til basal sanitet; mener, at den ansvarlige for grundlæggende rettigheder i ministeriet for migration og asyl har brug for et bredere og uafhængigt mandat for også reelt at kunne undersøge </w:t>
      </w:r>
      <w:proofErr w:type="spellStart"/>
      <w:r w:rsidRPr="00392B66">
        <w:rPr>
          <w:szCs w:val="24"/>
        </w:rPr>
        <w:t>tilbagedrivelser</w:t>
      </w:r>
      <w:proofErr w:type="spellEnd"/>
      <w:r w:rsidRPr="00392B66">
        <w:rPr>
          <w:szCs w:val="24"/>
        </w:rPr>
        <w:t xml:space="preserve">; opfordrer Kommissionen til at vurdere overholdelsen af EU-lovgivningen om grænseovervågningssystemer, der anvender adfærdsanalyser, og EU's finansiering heraf; fordømmer Kommissionens opsigtsvækkende forsømmelse af at håndhæve EU-lovgivningen for så vidt angår modtagelsesforhold, </w:t>
      </w:r>
      <w:proofErr w:type="spellStart"/>
      <w:r w:rsidRPr="00392B66">
        <w:rPr>
          <w:szCs w:val="24"/>
        </w:rPr>
        <w:t>tilbagedrivelser</w:t>
      </w:r>
      <w:proofErr w:type="spellEnd"/>
      <w:r w:rsidRPr="00392B66">
        <w:rPr>
          <w:szCs w:val="24"/>
        </w:rPr>
        <w:t xml:space="preserve"> og </w:t>
      </w:r>
      <w:r w:rsidRPr="00392B66">
        <w:rPr>
          <w:szCs w:val="24"/>
        </w:rPr>
        <w:lastRenderedPageBreak/>
        <w:t>menneskerettigheder og mener, at traktatbrudsprocedurer er mere passende end kommissærens ros;</w:t>
      </w:r>
    </w:p>
    <w:p w:rsidR="00BC0C09" w:rsidRPr="00392B66" w:rsidRDefault="00BC0C09" w:rsidP="00BC0C09">
      <w:pPr>
        <w:pStyle w:val="NormalHanging12a"/>
        <w:rPr>
          <w:szCs w:val="24"/>
        </w:rPr>
      </w:pPr>
      <w:r w:rsidRPr="00392B66">
        <w:rPr>
          <w:szCs w:val="24"/>
        </w:rPr>
        <w:t>18.</w:t>
      </w:r>
      <w:r w:rsidRPr="00392B66">
        <w:rPr>
          <w:szCs w:val="24"/>
        </w:rPr>
        <w:tab/>
        <w:t>er bekymret over angrebene på civilsamfundet, navnlig smædekampagner og retslig chikane fra de græske myndigheders side rettet mod menneskerettighedsaktivister; er stærkt foruroliget over de nylige retssager mod nødhjælpsarbejdere og personer, der yder humanitær bistand til migranter og flygtninge; opfordrer de græske myndigheder til straks at frafalde alle anklager og sikre, at nødhjælpsarbejdere og frivillige sikkert og frit kan yde bistand;</w:t>
      </w:r>
    </w:p>
    <w:p w:rsidR="00BC0C09" w:rsidRPr="00392B66" w:rsidRDefault="00BC0C09" w:rsidP="00BC0C09">
      <w:pPr>
        <w:pStyle w:val="NormalHanging12a"/>
        <w:rPr>
          <w:szCs w:val="24"/>
        </w:rPr>
      </w:pPr>
      <w:r w:rsidRPr="00392B66">
        <w:rPr>
          <w:szCs w:val="24"/>
        </w:rPr>
        <w:t>19.</w:t>
      </w:r>
      <w:r w:rsidRPr="00392B66">
        <w:rPr>
          <w:szCs w:val="24"/>
        </w:rPr>
        <w:tab/>
        <w:t>finder det afgørende, at den retlige efterforskning af Tempi-togkatastrofen gennemføres hurtigt og omfattende og omfatter alle involverede aktører, herunder ansvarlige regeringsembedsmænd; er ikke tilfreds med den granskning, der er foretaget af det kompetente udvalg i det græske parlament, da det synes at mangle politisk upartiskhed og være modvilligt med hensyn til at indkalde vigtige ekspertvidner til at afgive vidneforklaring; er dybt bekymret over det græske parlaments afvisning af at foretage en undersøgelse vedrørende to tidligere transportministre, som EPPO har anmodet om</w:t>
      </w:r>
      <w:r w:rsidRPr="00E53053">
        <w:rPr>
          <w:rStyle w:val="FootnoteReference"/>
          <w:color w:val="000000"/>
          <w:szCs w:val="24"/>
        </w:rPr>
        <w:footnoteReference w:id="7"/>
      </w:r>
      <w:r w:rsidRPr="00E53053">
        <w:rPr>
          <w:szCs w:val="24"/>
        </w:rPr>
        <w:t>;</w:t>
      </w:r>
    </w:p>
    <w:p w:rsidR="00BC0C09" w:rsidRPr="00392B66" w:rsidRDefault="00BC0C09" w:rsidP="00BC0C09">
      <w:pPr>
        <w:pStyle w:val="NormalHanging12a"/>
        <w:rPr>
          <w:szCs w:val="24"/>
        </w:rPr>
      </w:pPr>
      <w:r w:rsidRPr="00392B66">
        <w:rPr>
          <w:szCs w:val="24"/>
        </w:rPr>
        <w:t>20.</w:t>
      </w:r>
      <w:r w:rsidRPr="00392B66">
        <w:rPr>
          <w:szCs w:val="24"/>
        </w:rPr>
        <w:tab/>
        <w:t xml:space="preserve">er bekymret over den restriktive lovgivningsmæssige ramme for registrering af civilsamfundsorganisationer, navnlig for så vidt angår organisationer, der er arbejder med migration og social inklusion; opfordrer indtrængende regeringen til straks at ophæve de restriktioner, der er pålagt ikkestatslige organisationer (NGO'er) og journalister, der rapporterer om migration, med øjeblikkelig virkning og til ved først givne lejlighed at revidere den lovgivningsmæssige ramme; opfordrer den til at støtte og styrke alle initiativer, der bidrager til større gennemsigtighed i disse spørgsmål, såsom menneskerettighedskommissionens </w:t>
      </w:r>
      <w:proofErr w:type="spellStart"/>
      <w:r w:rsidRPr="00392B66">
        <w:rPr>
          <w:szCs w:val="24"/>
        </w:rPr>
        <w:t>pushback</w:t>
      </w:r>
      <w:proofErr w:type="spellEnd"/>
      <w:r w:rsidRPr="00392B66">
        <w:rPr>
          <w:szCs w:val="24"/>
        </w:rPr>
        <w:t>-rapporteringsmekanisme;</w:t>
      </w:r>
    </w:p>
    <w:p w:rsidR="00BC0C09" w:rsidRPr="00392B66" w:rsidRDefault="00BC0C09" w:rsidP="00BC0C09">
      <w:pPr>
        <w:pStyle w:val="NormalHanging12a"/>
        <w:rPr>
          <w:szCs w:val="24"/>
        </w:rPr>
      </w:pPr>
      <w:r w:rsidRPr="00392B66">
        <w:rPr>
          <w:szCs w:val="24"/>
        </w:rPr>
        <w:t>21.</w:t>
      </w:r>
      <w:r w:rsidRPr="00392B66">
        <w:rPr>
          <w:szCs w:val="24"/>
        </w:rPr>
        <w:tab/>
        <w:t>bemærker, at Grækenland har etableret en retlig ramme vedrørende ligebehandling, og at der er taget positive skridt i den retning såsom oprettelsen af den nye menneskerettighedskommission; er imidlertid bekymret over den svage retlige ramme for og forskelsbehandlingen af LGBTIQ+-personer, romaer og andre minoriteter; opfordrer regeringen og alle andre politiske kræfter til at udvise lederskab og fremme samfundsmæssige ændringer i denne henseende, navnlig for så vidt angår vold i hjemmet, politivold og lighed med hensyn til ægteskab, som har været drøftet i flere år;</w:t>
      </w:r>
    </w:p>
    <w:p w:rsidR="00BC0C09" w:rsidRPr="00392B66" w:rsidRDefault="00BC0C09" w:rsidP="00BC0C09">
      <w:pPr>
        <w:pStyle w:val="NormalHanging12a"/>
        <w:rPr>
          <w:szCs w:val="24"/>
        </w:rPr>
      </w:pPr>
      <w:r w:rsidRPr="00392B66">
        <w:rPr>
          <w:szCs w:val="24"/>
        </w:rPr>
        <w:t>22.</w:t>
      </w:r>
      <w:r w:rsidRPr="00392B66">
        <w:rPr>
          <w:szCs w:val="24"/>
        </w:rPr>
        <w:tab/>
        <w:t>anerkender eksistensen af hjælpetjenester og specialiserede polititjenester vedrørende vold i hjemmet, men opfordrer også indtrængende regeringen til at oprette helhedsorienterede krisecentre for voldtægtsofre og sikre, at ofre for seksuel vold kan få øjeblikkelig adgang til lægebehandling, traumestøtte, retsmedicinske undersøgelser og psykologisk bistand; opfordrer regeringen til at gøre kvindedrab til en selvstændig forbrydelse;</w:t>
      </w:r>
    </w:p>
    <w:p w:rsidR="00BC0C09" w:rsidRPr="00392B66" w:rsidRDefault="00BC0C09" w:rsidP="00BC0C09">
      <w:pPr>
        <w:pStyle w:val="NormalHanging12a"/>
        <w:rPr>
          <w:szCs w:val="24"/>
        </w:rPr>
      </w:pPr>
      <w:r w:rsidRPr="00392B66">
        <w:rPr>
          <w:szCs w:val="24"/>
        </w:rPr>
        <w:t>23.</w:t>
      </w:r>
      <w:r w:rsidRPr="00392B66">
        <w:rPr>
          <w:szCs w:val="24"/>
        </w:rPr>
        <w:tab/>
        <w:t xml:space="preserve">glæder sig over forbuddet mod operationer uden samtykke og opfordrer til, at sundhedspersonale uddannes grundigt til at modtage og yde sundhedspleje til </w:t>
      </w:r>
      <w:proofErr w:type="spellStart"/>
      <w:r w:rsidRPr="00392B66">
        <w:rPr>
          <w:szCs w:val="24"/>
        </w:rPr>
        <w:t>interkønnede</w:t>
      </w:r>
      <w:proofErr w:type="spellEnd"/>
      <w:r w:rsidRPr="00392B66">
        <w:rPr>
          <w:szCs w:val="24"/>
        </w:rPr>
        <w:t xml:space="preserve"> personer på en ordentlig måde;</w:t>
      </w:r>
    </w:p>
    <w:p w:rsidR="00BC0C09" w:rsidRPr="00392B66" w:rsidRDefault="00BC0C09" w:rsidP="00BC0C09">
      <w:pPr>
        <w:pStyle w:val="NormalHanging12a"/>
        <w:rPr>
          <w:szCs w:val="24"/>
        </w:rPr>
      </w:pPr>
      <w:r w:rsidRPr="00392B66">
        <w:rPr>
          <w:szCs w:val="24"/>
        </w:rPr>
        <w:t>24.</w:t>
      </w:r>
      <w:r w:rsidRPr="00392B66">
        <w:rPr>
          <w:szCs w:val="24"/>
        </w:rPr>
        <w:tab/>
        <w:t xml:space="preserve">glæder sig over lovforslaget om lighed med hensyn til ægteskab, som er fremsat i det </w:t>
      </w:r>
      <w:r w:rsidRPr="00392B66">
        <w:rPr>
          <w:szCs w:val="24"/>
        </w:rPr>
        <w:lastRenderedPageBreak/>
        <w:t>græske parlament, og opfordrer til, at det vedtages hurtigt;</w:t>
      </w:r>
    </w:p>
    <w:p w:rsidR="00BC0C09" w:rsidRPr="00392B66" w:rsidRDefault="00BC0C09" w:rsidP="00BC0C09">
      <w:pPr>
        <w:pStyle w:val="NormalHanging12a"/>
        <w:rPr>
          <w:szCs w:val="24"/>
        </w:rPr>
      </w:pPr>
      <w:r w:rsidRPr="00392B66">
        <w:rPr>
          <w:szCs w:val="24"/>
        </w:rPr>
        <w:t>25.</w:t>
      </w:r>
      <w:r w:rsidRPr="00392B66">
        <w:rPr>
          <w:szCs w:val="24"/>
        </w:rPr>
        <w:tab/>
        <w:t>opfordrer regeringen til at forbedre lovgivningsprocessen ved at indføre reel og meningsfuld høring og afskaffe den kontroversielle praksis med omnibuslovgivning;</w:t>
      </w:r>
    </w:p>
    <w:p w:rsidR="00BC0C09" w:rsidRPr="00392B66" w:rsidRDefault="00BC0C09" w:rsidP="00BC0C09">
      <w:pPr>
        <w:pStyle w:val="NormalHanging12a"/>
        <w:rPr>
          <w:szCs w:val="24"/>
        </w:rPr>
      </w:pPr>
      <w:r w:rsidRPr="00392B66">
        <w:rPr>
          <w:szCs w:val="24"/>
        </w:rPr>
        <w:t>26.</w:t>
      </w:r>
      <w:r w:rsidRPr="00392B66">
        <w:rPr>
          <w:szCs w:val="24"/>
        </w:rPr>
        <w:tab/>
        <w:t>beklager dybt, at den græske regering og politimyndighederne nægtede at mødes med repræsentanter for Europa-Parlamentet under dets officielle besøg i Grækenland i april 2022, og opfordrer den nuværende græske regering til at etablere en konstruktiv dialog med Europa-Parlamentet;</w:t>
      </w:r>
    </w:p>
    <w:p w:rsidR="00BC0C09" w:rsidRPr="00392B66" w:rsidRDefault="00BC0C09" w:rsidP="00BC0C09">
      <w:pPr>
        <w:pStyle w:val="NormalHanging12a"/>
        <w:rPr>
          <w:szCs w:val="24"/>
        </w:rPr>
      </w:pPr>
      <w:r w:rsidRPr="00392B66">
        <w:rPr>
          <w:szCs w:val="24"/>
        </w:rPr>
        <w:t>27.</w:t>
      </w:r>
      <w:r w:rsidRPr="00392B66">
        <w:rPr>
          <w:szCs w:val="24"/>
        </w:rPr>
        <w:tab/>
        <w:t xml:space="preserve">opfordrer Kommissionen til at gøre fuld brug af de redskaber, den har til rådighed, til at gribe ind over for Grækenlands tilsidesættelse af de værdier, der er nedfældet i artikel 2 i TEU; opfordrer navnlig til en vurdering af overholdelsen af chartret i forbindelse med gennemførelsen af de relevante EU-midler som krævet i forordningen om fælles bestemmelser; opfordrer til, at Kommissionen i henhold til forordningen om </w:t>
      </w:r>
      <w:proofErr w:type="spellStart"/>
      <w:r w:rsidRPr="00392B66">
        <w:rPr>
          <w:szCs w:val="24"/>
        </w:rPr>
        <w:t>konditionalitet</w:t>
      </w:r>
      <w:proofErr w:type="spellEnd"/>
      <w:r w:rsidRPr="00392B66">
        <w:rPr>
          <w:szCs w:val="24"/>
        </w:rPr>
        <w:t xml:space="preserve"> vedrørende retsstatsprincippet foretager en vurdering af konsekvenserne af den manglende gennemførelse af de europæiske domstoles relevante domme; minder om, at Kommissionen, hvis der vedtages finansielle foranstaltninger, skal sikre sig, at de endelige modtagere eller modtagerne af EU-midler ikke fratages disse midler, jf. artikel 5, stk. 4 og 5, i forordningen om </w:t>
      </w:r>
      <w:proofErr w:type="spellStart"/>
      <w:r w:rsidRPr="00392B66">
        <w:rPr>
          <w:szCs w:val="24"/>
        </w:rPr>
        <w:t>konditionalitet</w:t>
      </w:r>
      <w:proofErr w:type="spellEnd"/>
      <w:r w:rsidRPr="00392B66">
        <w:rPr>
          <w:szCs w:val="24"/>
        </w:rPr>
        <w:t xml:space="preserve"> vedrørende retsstatsprincippet, og at den skal finde metoder til at sikre, at EU-midler når ud til borgere, virksomheder, regionale og lokale myndigheder, NGO'er og andre relevante interessenter, hvis regeringen ikke samarbejder vedrørende mangler med hensyn til retsstatsprincippet, navnlig i betragtning af virkningerne af den økonomiske krise, de høje leveomkostninger og den stigende fattigdom i landet;</w:t>
      </w:r>
    </w:p>
    <w:p w:rsidR="00BC0C09" w:rsidRPr="00392B66" w:rsidRDefault="00BC0C09" w:rsidP="0004653C">
      <w:pPr>
        <w:ind w:left="567" w:hanging="567"/>
      </w:pPr>
      <w:r w:rsidRPr="00392B66">
        <w:rPr>
          <w:szCs w:val="24"/>
        </w:rPr>
        <w:t>28.</w:t>
      </w:r>
      <w:r w:rsidRPr="00392B66">
        <w:rPr>
          <w:szCs w:val="24"/>
        </w:rPr>
        <w:tab/>
        <w:t>pålægger sin formand at sende denne beslutning til Rådet, Kommissionen, medlemsstaternes regeringer og parlamenter, Europarådet, Organisationen for Sikkerhed og Samarbejde i Europa og De Forenede Nationer.</w:t>
      </w:r>
    </w:p>
    <w:sectPr w:rsidR="00BC0C09" w:rsidRPr="00392B66" w:rsidSect="0006702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0550" w:rsidRPr="00067027" w:rsidRDefault="00FC0550">
      <w:r w:rsidRPr="00067027">
        <w:separator/>
      </w:r>
    </w:p>
  </w:endnote>
  <w:endnote w:type="continuationSeparator" w:id="0">
    <w:p w:rsidR="00FC0550" w:rsidRPr="00067027" w:rsidRDefault="00FC0550">
      <w:r w:rsidRPr="000670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ET"/>
    <w:panose1 w:val="02020603050405020304"/>
    <w:charset w:val="00"/>
    <w:family w:val="roman"/>
    <w:pitch w:val="variable"/>
    <w:sig w:usb0="E0002EFF" w:usb1="C000785B" w:usb2="00000009" w:usb3="00000000" w:csb0="000001FF" w:csb1="00000000"/>
  </w:font>
  <w:font w:name="Arial">
    <w:altName w:val="Device Font 10cpi"/>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702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702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70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0550" w:rsidRPr="00067027" w:rsidRDefault="00FC0550">
      <w:r w:rsidRPr="00067027">
        <w:separator/>
      </w:r>
    </w:p>
  </w:footnote>
  <w:footnote w:type="continuationSeparator" w:id="0">
    <w:p w:rsidR="00FC0550" w:rsidRPr="00067027" w:rsidRDefault="00FC0550">
      <w:r w:rsidRPr="00067027">
        <w:continuationSeparator/>
      </w:r>
    </w:p>
  </w:footnote>
  <w:footnote w:id="1">
    <w:p w:rsidR="00BC0C09" w:rsidRPr="00067027" w:rsidRDefault="00BC0C09" w:rsidP="00067027">
      <w:pPr>
        <w:pStyle w:val="FootnoteText"/>
        <w:ind w:left="567" w:hanging="567"/>
        <w:rPr>
          <w:sz w:val="24"/>
          <w:lang w:val="da-DK"/>
        </w:rPr>
      </w:pPr>
      <w:r w:rsidRPr="00067027">
        <w:rPr>
          <w:rStyle w:val="FootnoteReference"/>
          <w:sz w:val="24"/>
          <w:lang w:val="da-DK"/>
        </w:rPr>
        <w:footnoteRef/>
      </w:r>
      <w:r w:rsidR="00067027" w:rsidRPr="00067027">
        <w:rPr>
          <w:sz w:val="24"/>
          <w:lang w:val="da-DK"/>
        </w:rPr>
        <w:t xml:space="preserve"> </w:t>
      </w:r>
      <w:r w:rsidR="00067027" w:rsidRPr="00067027">
        <w:rPr>
          <w:sz w:val="24"/>
          <w:lang w:val="da-DK"/>
        </w:rPr>
        <w:tab/>
      </w:r>
      <w:r w:rsidRPr="00067027">
        <w:rPr>
          <w:sz w:val="24"/>
          <w:lang w:val="da-DK"/>
        </w:rPr>
        <w:t xml:space="preserve">EUT L </w:t>
      </w:r>
      <w:r w:rsidRPr="00C5552A">
        <w:rPr>
          <w:sz w:val="24"/>
          <w:lang w:val="da-DK"/>
        </w:rPr>
        <w:t>433</w:t>
      </w:r>
      <w:r w:rsidRPr="00067027">
        <w:rPr>
          <w:sz w:val="24"/>
          <w:lang w:val="da-DK"/>
        </w:rPr>
        <w:t xml:space="preserve"> I af </w:t>
      </w:r>
      <w:r w:rsidRPr="00C5552A">
        <w:rPr>
          <w:sz w:val="24"/>
          <w:lang w:val="da-DK"/>
        </w:rPr>
        <w:t>22</w:t>
      </w:r>
      <w:r w:rsidRPr="00067027">
        <w:rPr>
          <w:sz w:val="24"/>
          <w:lang w:val="da-DK"/>
        </w:rPr>
        <w:t>.</w:t>
      </w:r>
      <w:r w:rsidRPr="00C5552A">
        <w:rPr>
          <w:sz w:val="24"/>
          <w:lang w:val="da-DK"/>
        </w:rPr>
        <w:t>12</w:t>
      </w:r>
      <w:r w:rsidRPr="00067027">
        <w:rPr>
          <w:sz w:val="24"/>
          <w:lang w:val="da-DK"/>
        </w:rPr>
        <w:t>.</w:t>
      </w:r>
      <w:r w:rsidRPr="00C5552A">
        <w:rPr>
          <w:sz w:val="24"/>
          <w:lang w:val="da-DK"/>
        </w:rPr>
        <w:t>2020</w:t>
      </w:r>
      <w:r w:rsidRPr="00067027">
        <w:rPr>
          <w:sz w:val="24"/>
          <w:lang w:val="da-DK"/>
        </w:rPr>
        <w:t xml:space="preserve">, s. </w:t>
      </w:r>
      <w:r w:rsidRPr="00C5552A">
        <w:rPr>
          <w:sz w:val="24"/>
          <w:lang w:val="da-DK"/>
        </w:rPr>
        <w:t>1</w:t>
      </w:r>
      <w:r w:rsidRPr="00067027">
        <w:rPr>
          <w:sz w:val="24"/>
          <w:lang w:val="da-DK"/>
        </w:rPr>
        <w:t>.</w:t>
      </w:r>
    </w:p>
  </w:footnote>
  <w:footnote w:id="2">
    <w:p w:rsidR="00BC0C09" w:rsidRPr="00067027" w:rsidRDefault="00BC0C09" w:rsidP="00067027">
      <w:pPr>
        <w:pStyle w:val="FootnoteText"/>
        <w:ind w:left="567" w:hanging="567"/>
        <w:rPr>
          <w:sz w:val="24"/>
          <w:lang w:val="da-DK"/>
        </w:rPr>
      </w:pPr>
      <w:r w:rsidRPr="00067027">
        <w:rPr>
          <w:rStyle w:val="FootnoteReference"/>
          <w:sz w:val="24"/>
          <w:lang w:val="da-DK"/>
        </w:rPr>
        <w:footnoteRef/>
      </w:r>
      <w:r w:rsidR="00067027" w:rsidRPr="00067027">
        <w:rPr>
          <w:sz w:val="24"/>
          <w:lang w:val="da-DK"/>
        </w:rPr>
        <w:t xml:space="preserve"> </w:t>
      </w:r>
      <w:r w:rsidR="00067027" w:rsidRPr="00067027">
        <w:rPr>
          <w:sz w:val="24"/>
          <w:lang w:val="da-DK"/>
        </w:rPr>
        <w:tab/>
      </w:r>
      <w:r w:rsidRPr="00067027">
        <w:rPr>
          <w:sz w:val="24"/>
          <w:lang w:val="da-DK"/>
        </w:rPr>
        <w:t xml:space="preserve">EUT L </w:t>
      </w:r>
      <w:r w:rsidRPr="00C5552A">
        <w:rPr>
          <w:sz w:val="24"/>
          <w:lang w:val="da-DK"/>
        </w:rPr>
        <w:t>231</w:t>
      </w:r>
      <w:r w:rsidRPr="00067027">
        <w:rPr>
          <w:sz w:val="24"/>
          <w:lang w:val="da-DK"/>
        </w:rPr>
        <w:t xml:space="preserve"> af </w:t>
      </w:r>
      <w:r w:rsidRPr="00C5552A">
        <w:rPr>
          <w:sz w:val="24"/>
          <w:lang w:val="da-DK"/>
        </w:rPr>
        <w:t>30</w:t>
      </w:r>
      <w:r w:rsidRPr="00067027">
        <w:rPr>
          <w:sz w:val="24"/>
          <w:lang w:val="da-DK"/>
        </w:rPr>
        <w:t>.</w:t>
      </w:r>
      <w:r w:rsidRPr="00C5552A">
        <w:rPr>
          <w:sz w:val="24"/>
          <w:lang w:val="da-DK"/>
        </w:rPr>
        <w:t>6</w:t>
      </w:r>
      <w:r w:rsidRPr="00067027">
        <w:rPr>
          <w:sz w:val="24"/>
          <w:lang w:val="da-DK"/>
        </w:rPr>
        <w:t>.</w:t>
      </w:r>
      <w:r w:rsidRPr="00C5552A">
        <w:rPr>
          <w:sz w:val="24"/>
          <w:lang w:val="da-DK"/>
        </w:rPr>
        <w:t>2021</w:t>
      </w:r>
      <w:r w:rsidRPr="00067027">
        <w:rPr>
          <w:sz w:val="24"/>
          <w:lang w:val="da-DK"/>
        </w:rPr>
        <w:t xml:space="preserve">, s. </w:t>
      </w:r>
      <w:r w:rsidRPr="00C5552A">
        <w:rPr>
          <w:sz w:val="24"/>
          <w:lang w:val="da-DK"/>
        </w:rPr>
        <w:t>159</w:t>
      </w:r>
      <w:r w:rsidRPr="00067027">
        <w:rPr>
          <w:sz w:val="24"/>
          <w:lang w:val="da-DK"/>
        </w:rPr>
        <w:t>.</w:t>
      </w:r>
    </w:p>
  </w:footnote>
  <w:footnote w:id="3">
    <w:p w:rsidR="00BC0C09" w:rsidRPr="00392B66" w:rsidRDefault="00BC0C09" w:rsidP="00067027">
      <w:pPr>
        <w:pStyle w:val="FootnoteText"/>
        <w:ind w:left="567" w:hanging="567"/>
        <w:rPr>
          <w:sz w:val="24"/>
          <w:lang w:val="fi-FI"/>
        </w:rPr>
      </w:pPr>
      <w:r w:rsidRPr="00067027">
        <w:rPr>
          <w:rStyle w:val="FootnoteReference"/>
          <w:sz w:val="24"/>
          <w:lang w:val="da-DK"/>
        </w:rPr>
        <w:footnoteRef/>
      </w:r>
      <w:r w:rsidR="00067027" w:rsidRPr="00392B66">
        <w:rPr>
          <w:sz w:val="24"/>
          <w:lang w:val="fi-FI"/>
        </w:rPr>
        <w:t xml:space="preserve"> </w:t>
      </w:r>
      <w:r w:rsidR="00067027" w:rsidRPr="00392B66">
        <w:rPr>
          <w:sz w:val="24"/>
          <w:lang w:val="fi-FI"/>
        </w:rPr>
        <w:tab/>
      </w:r>
      <w:r w:rsidRPr="00392B66">
        <w:rPr>
          <w:sz w:val="24"/>
          <w:lang w:val="fi-FI"/>
        </w:rPr>
        <w:t>EUT C, C/2024/494, 23.1.2024, ELI: http://data.europa.eu/eli/C/2024/494/oj.</w:t>
      </w:r>
    </w:p>
  </w:footnote>
  <w:footnote w:id="4">
    <w:p w:rsidR="00BC0C09" w:rsidRPr="00067027" w:rsidRDefault="00BC0C09" w:rsidP="00067027">
      <w:pPr>
        <w:pStyle w:val="FootnoteText"/>
        <w:ind w:left="567" w:hanging="567"/>
        <w:rPr>
          <w:sz w:val="24"/>
          <w:lang w:val="da-DK"/>
        </w:rPr>
      </w:pPr>
      <w:r w:rsidRPr="00067027">
        <w:rPr>
          <w:rStyle w:val="FootnoteReference"/>
          <w:sz w:val="24"/>
          <w:lang w:val="da-DK"/>
        </w:rPr>
        <w:footnoteRef/>
      </w:r>
      <w:r w:rsidR="00067027" w:rsidRPr="00067027">
        <w:rPr>
          <w:sz w:val="24"/>
          <w:lang w:val="da-DK"/>
        </w:rPr>
        <w:t xml:space="preserve"> </w:t>
      </w:r>
      <w:r w:rsidR="00067027" w:rsidRPr="00067027">
        <w:rPr>
          <w:sz w:val="24"/>
          <w:lang w:val="da-DK"/>
        </w:rPr>
        <w:tab/>
      </w:r>
      <w:r w:rsidRPr="00067027">
        <w:rPr>
          <w:sz w:val="24"/>
          <w:lang w:val="da-DK"/>
        </w:rPr>
        <w:t xml:space="preserve">EUT L </w:t>
      </w:r>
      <w:r w:rsidRPr="00C5552A">
        <w:rPr>
          <w:sz w:val="24"/>
          <w:lang w:val="da-DK"/>
        </w:rPr>
        <w:t>95</w:t>
      </w:r>
      <w:r w:rsidRPr="00067027">
        <w:rPr>
          <w:sz w:val="24"/>
          <w:lang w:val="da-DK"/>
        </w:rPr>
        <w:t xml:space="preserve"> af </w:t>
      </w:r>
      <w:r w:rsidRPr="00C5552A">
        <w:rPr>
          <w:sz w:val="24"/>
          <w:lang w:val="da-DK"/>
        </w:rPr>
        <w:t>15</w:t>
      </w:r>
      <w:r w:rsidRPr="00067027">
        <w:rPr>
          <w:sz w:val="24"/>
          <w:lang w:val="da-DK"/>
        </w:rPr>
        <w:t>.</w:t>
      </w:r>
      <w:r w:rsidRPr="00C5552A">
        <w:rPr>
          <w:sz w:val="24"/>
          <w:lang w:val="da-DK"/>
        </w:rPr>
        <w:t>4</w:t>
      </w:r>
      <w:r w:rsidRPr="00067027">
        <w:rPr>
          <w:sz w:val="24"/>
          <w:lang w:val="da-DK"/>
        </w:rPr>
        <w:t>.</w:t>
      </w:r>
      <w:r w:rsidRPr="00C5552A">
        <w:rPr>
          <w:sz w:val="24"/>
          <w:lang w:val="da-DK"/>
        </w:rPr>
        <w:t>2010</w:t>
      </w:r>
      <w:r w:rsidRPr="00067027">
        <w:rPr>
          <w:sz w:val="24"/>
          <w:lang w:val="da-DK"/>
        </w:rPr>
        <w:t xml:space="preserve">, s. </w:t>
      </w:r>
      <w:r w:rsidRPr="00C5552A">
        <w:rPr>
          <w:sz w:val="24"/>
          <w:lang w:val="da-DK"/>
        </w:rPr>
        <w:t>1</w:t>
      </w:r>
      <w:r w:rsidRPr="00067027">
        <w:rPr>
          <w:sz w:val="24"/>
          <w:lang w:val="da-DK"/>
        </w:rPr>
        <w:t>.</w:t>
      </w:r>
    </w:p>
  </w:footnote>
  <w:footnote w:id="5">
    <w:p w:rsidR="00BC0C09" w:rsidRPr="00067027" w:rsidRDefault="00BC0C09" w:rsidP="00067027">
      <w:pPr>
        <w:pStyle w:val="FootnoteText"/>
        <w:ind w:left="567" w:hanging="567"/>
        <w:rPr>
          <w:sz w:val="24"/>
          <w:lang w:val="da-DK"/>
        </w:rPr>
      </w:pPr>
      <w:r w:rsidRPr="00067027">
        <w:rPr>
          <w:rStyle w:val="FootnoteReference"/>
          <w:sz w:val="24"/>
          <w:lang w:val="da-DK"/>
        </w:rPr>
        <w:footnoteRef/>
      </w:r>
      <w:r w:rsidR="00067027" w:rsidRPr="00067027">
        <w:rPr>
          <w:sz w:val="24"/>
          <w:lang w:val="da-DK"/>
        </w:rPr>
        <w:t xml:space="preserve"> </w:t>
      </w:r>
      <w:r w:rsidR="00067027" w:rsidRPr="00067027">
        <w:rPr>
          <w:sz w:val="24"/>
          <w:lang w:val="da-DK"/>
        </w:rPr>
        <w:tab/>
      </w:r>
      <w:r w:rsidRPr="00067027">
        <w:rPr>
          <w:sz w:val="24"/>
          <w:lang w:val="da-DK"/>
        </w:rPr>
        <w:t xml:space="preserve">Lov nr. </w:t>
      </w:r>
      <w:r w:rsidRPr="00C5552A">
        <w:rPr>
          <w:sz w:val="24"/>
          <w:lang w:val="da-DK"/>
        </w:rPr>
        <w:t>5005</w:t>
      </w:r>
      <w:r w:rsidRPr="00067027">
        <w:rPr>
          <w:sz w:val="24"/>
          <w:lang w:val="da-DK"/>
        </w:rPr>
        <w:t>/</w:t>
      </w:r>
      <w:r w:rsidRPr="00C5552A">
        <w:rPr>
          <w:sz w:val="24"/>
          <w:lang w:val="da-DK"/>
        </w:rPr>
        <w:t>2022</w:t>
      </w:r>
      <w:r w:rsidRPr="00067027">
        <w:rPr>
          <w:sz w:val="24"/>
          <w:lang w:val="da-DK"/>
        </w:rPr>
        <w:t xml:space="preserve"> af </w:t>
      </w:r>
      <w:r w:rsidRPr="00C5552A">
        <w:rPr>
          <w:sz w:val="24"/>
          <w:lang w:val="da-DK"/>
        </w:rPr>
        <w:t>21</w:t>
      </w:r>
      <w:r w:rsidRPr="00067027">
        <w:rPr>
          <w:sz w:val="24"/>
          <w:lang w:val="da-DK"/>
        </w:rPr>
        <w:t xml:space="preserve">. december </w:t>
      </w:r>
      <w:r w:rsidRPr="00C5552A">
        <w:rPr>
          <w:sz w:val="24"/>
          <w:lang w:val="da-DK"/>
        </w:rPr>
        <w:t>2022</w:t>
      </w:r>
      <w:r w:rsidRPr="00067027">
        <w:rPr>
          <w:sz w:val="24"/>
          <w:lang w:val="da-DK"/>
        </w:rPr>
        <w:t xml:space="preserve"> om "Styrkelse af offentliggørelse af og gennemsigtighed i trykte og elektroniske medier – Oprettelse af elektroniske registre over trykte og elektroniske medier og andre bestemmelser, der henhører under Generalsekretariatet for Kommunikation og Mediers kompetence".</w:t>
      </w:r>
    </w:p>
  </w:footnote>
  <w:footnote w:id="6">
    <w:p w:rsidR="00BC0C09" w:rsidRPr="00067027" w:rsidRDefault="00BC0C09" w:rsidP="00067027">
      <w:pPr>
        <w:pStyle w:val="FootnoteText"/>
        <w:ind w:left="567" w:hanging="567"/>
        <w:rPr>
          <w:sz w:val="24"/>
          <w:lang w:val="da-DK"/>
        </w:rPr>
      </w:pPr>
      <w:r w:rsidRPr="00067027">
        <w:rPr>
          <w:rStyle w:val="FootnoteReference"/>
          <w:sz w:val="24"/>
          <w:lang w:val="da-DK"/>
        </w:rPr>
        <w:footnoteRef/>
      </w:r>
      <w:r w:rsidR="00067027" w:rsidRPr="00067027">
        <w:rPr>
          <w:sz w:val="24"/>
          <w:lang w:val="da-DK"/>
        </w:rPr>
        <w:t xml:space="preserve"> </w:t>
      </w:r>
      <w:r w:rsidR="00067027" w:rsidRPr="00067027">
        <w:rPr>
          <w:sz w:val="24"/>
          <w:lang w:val="da-DK"/>
        </w:rPr>
        <w:tab/>
      </w:r>
      <w:r w:rsidRPr="00067027">
        <w:rPr>
          <w:sz w:val="24"/>
          <w:lang w:val="da-DK"/>
        </w:rPr>
        <w:t xml:space="preserve">Europa-Parlamentets og Rådets forordning (EU) </w:t>
      </w:r>
      <w:r w:rsidRPr="00C5552A">
        <w:rPr>
          <w:sz w:val="24"/>
          <w:lang w:val="da-DK"/>
        </w:rPr>
        <w:t>2021</w:t>
      </w:r>
      <w:r w:rsidRPr="00067027">
        <w:rPr>
          <w:sz w:val="24"/>
          <w:lang w:val="da-DK"/>
        </w:rPr>
        <w:t>/</w:t>
      </w:r>
      <w:r w:rsidRPr="00C5552A">
        <w:rPr>
          <w:sz w:val="24"/>
          <w:lang w:val="da-DK"/>
        </w:rPr>
        <w:t>821</w:t>
      </w:r>
      <w:r w:rsidRPr="00067027">
        <w:rPr>
          <w:sz w:val="24"/>
          <w:lang w:val="da-DK"/>
        </w:rPr>
        <w:t xml:space="preserve"> af </w:t>
      </w:r>
      <w:r w:rsidRPr="00C5552A">
        <w:rPr>
          <w:sz w:val="24"/>
          <w:lang w:val="da-DK"/>
        </w:rPr>
        <w:t>20</w:t>
      </w:r>
      <w:r w:rsidRPr="00067027">
        <w:rPr>
          <w:sz w:val="24"/>
          <w:lang w:val="da-DK"/>
        </w:rPr>
        <w:t xml:space="preserve">. maj </w:t>
      </w:r>
      <w:r w:rsidRPr="00C5552A">
        <w:rPr>
          <w:sz w:val="24"/>
          <w:lang w:val="da-DK"/>
        </w:rPr>
        <w:t>2021</w:t>
      </w:r>
      <w:r w:rsidRPr="00067027">
        <w:rPr>
          <w:sz w:val="24"/>
          <w:lang w:val="da-DK"/>
        </w:rPr>
        <w:t xml:space="preserve"> om en EU-ordning for kontrol med eksport, mæglervirksomhed, teknisk bistand, transit og overførsel i forbindelse med produkter med dobbelt anvendelse (EUT L </w:t>
      </w:r>
      <w:r w:rsidRPr="00C5552A">
        <w:rPr>
          <w:sz w:val="24"/>
          <w:lang w:val="da-DK"/>
        </w:rPr>
        <w:t>206</w:t>
      </w:r>
      <w:r w:rsidRPr="00067027">
        <w:rPr>
          <w:sz w:val="24"/>
          <w:lang w:val="da-DK"/>
        </w:rPr>
        <w:t xml:space="preserve"> af </w:t>
      </w:r>
      <w:r w:rsidRPr="00C5552A">
        <w:rPr>
          <w:sz w:val="24"/>
          <w:lang w:val="da-DK"/>
        </w:rPr>
        <w:t>11</w:t>
      </w:r>
      <w:r w:rsidRPr="00067027">
        <w:rPr>
          <w:sz w:val="24"/>
          <w:lang w:val="da-DK"/>
        </w:rPr>
        <w:t>.</w:t>
      </w:r>
      <w:r w:rsidRPr="00C5552A">
        <w:rPr>
          <w:sz w:val="24"/>
          <w:lang w:val="da-DK"/>
        </w:rPr>
        <w:t>6</w:t>
      </w:r>
      <w:r w:rsidRPr="00067027">
        <w:rPr>
          <w:sz w:val="24"/>
          <w:lang w:val="da-DK"/>
        </w:rPr>
        <w:t>.</w:t>
      </w:r>
      <w:r w:rsidRPr="00C5552A">
        <w:rPr>
          <w:sz w:val="24"/>
          <w:lang w:val="da-DK"/>
        </w:rPr>
        <w:t>2021</w:t>
      </w:r>
      <w:r w:rsidRPr="00067027">
        <w:rPr>
          <w:sz w:val="24"/>
          <w:lang w:val="da-DK"/>
        </w:rPr>
        <w:t xml:space="preserve">, s. </w:t>
      </w:r>
      <w:r w:rsidRPr="00C5552A">
        <w:rPr>
          <w:sz w:val="24"/>
          <w:lang w:val="da-DK"/>
        </w:rPr>
        <w:t>1</w:t>
      </w:r>
      <w:r w:rsidRPr="00067027">
        <w:rPr>
          <w:sz w:val="24"/>
          <w:lang w:val="da-DK"/>
        </w:rPr>
        <w:t>).</w:t>
      </w:r>
    </w:p>
  </w:footnote>
  <w:footnote w:id="7">
    <w:p w:rsidR="00BC0C09" w:rsidRPr="00067027" w:rsidRDefault="00BC0C09" w:rsidP="00067027">
      <w:pPr>
        <w:pStyle w:val="FootnoteText"/>
        <w:ind w:left="567" w:hanging="567"/>
        <w:rPr>
          <w:sz w:val="24"/>
          <w:lang w:val="da-DK"/>
        </w:rPr>
      </w:pPr>
      <w:r w:rsidRPr="00067027">
        <w:rPr>
          <w:rStyle w:val="FootnoteReference"/>
          <w:sz w:val="24"/>
          <w:lang w:val="da-DK"/>
        </w:rPr>
        <w:footnoteRef/>
      </w:r>
      <w:r w:rsidR="00067027" w:rsidRPr="00067027">
        <w:rPr>
          <w:sz w:val="24"/>
          <w:lang w:val="da-DK"/>
        </w:rPr>
        <w:t xml:space="preserve"> </w:t>
      </w:r>
      <w:r w:rsidR="00067027" w:rsidRPr="00067027">
        <w:rPr>
          <w:sz w:val="24"/>
          <w:lang w:val="da-DK"/>
        </w:rPr>
        <w:tab/>
      </w:r>
      <w:r w:rsidRPr="00067027">
        <w:rPr>
          <w:sz w:val="24"/>
          <w:lang w:val="da-DK"/>
        </w:rPr>
        <w:t xml:space="preserve">Beklædte embedet fra den </w:t>
      </w:r>
      <w:r w:rsidRPr="00C5552A">
        <w:rPr>
          <w:sz w:val="24"/>
          <w:lang w:val="da-DK"/>
        </w:rPr>
        <w:t>5</w:t>
      </w:r>
      <w:r w:rsidRPr="00067027">
        <w:rPr>
          <w:sz w:val="24"/>
          <w:lang w:val="da-DK"/>
        </w:rPr>
        <w:t xml:space="preserve">. november </w:t>
      </w:r>
      <w:r w:rsidRPr="00C5552A">
        <w:rPr>
          <w:sz w:val="24"/>
          <w:lang w:val="da-DK"/>
        </w:rPr>
        <w:t>2016</w:t>
      </w:r>
      <w:r w:rsidRPr="00067027">
        <w:rPr>
          <w:sz w:val="24"/>
          <w:lang w:val="da-DK"/>
        </w:rPr>
        <w:t xml:space="preserve"> til den </w:t>
      </w:r>
      <w:r w:rsidRPr="00C5552A">
        <w:rPr>
          <w:sz w:val="24"/>
          <w:lang w:val="da-DK"/>
        </w:rPr>
        <w:t>9</w:t>
      </w:r>
      <w:r w:rsidRPr="00067027">
        <w:rPr>
          <w:sz w:val="24"/>
          <w:lang w:val="da-DK"/>
        </w:rPr>
        <w:t xml:space="preserve">. juli </w:t>
      </w:r>
      <w:r w:rsidRPr="00C5552A">
        <w:rPr>
          <w:sz w:val="24"/>
          <w:lang w:val="da-DK"/>
        </w:rPr>
        <w:t>2019</w:t>
      </w:r>
      <w:r w:rsidRPr="00067027">
        <w:rPr>
          <w:sz w:val="24"/>
          <w:lang w:val="da-DK"/>
        </w:rPr>
        <w:t xml:space="preserve"> og fra den </w:t>
      </w:r>
      <w:r w:rsidRPr="00C5552A">
        <w:rPr>
          <w:sz w:val="24"/>
          <w:lang w:val="da-DK"/>
        </w:rPr>
        <w:t>9</w:t>
      </w:r>
      <w:r w:rsidRPr="00067027">
        <w:rPr>
          <w:sz w:val="24"/>
          <w:lang w:val="da-DK"/>
        </w:rPr>
        <w:t xml:space="preserve">. juli </w:t>
      </w:r>
      <w:r w:rsidRPr="00C5552A">
        <w:rPr>
          <w:sz w:val="24"/>
          <w:lang w:val="da-DK"/>
        </w:rPr>
        <w:t>2019</w:t>
      </w:r>
      <w:r w:rsidRPr="00067027">
        <w:rPr>
          <w:sz w:val="24"/>
          <w:lang w:val="da-DK"/>
        </w:rPr>
        <w:t xml:space="preserve"> til den </w:t>
      </w:r>
      <w:r w:rsidRPr="00C5552A">
        <w:rPr>
          <w:sz w:val="24"/>
          <w:lang w:val="da-DK"/>
        </w:rPr>
        <w:t>1</w:t>
      </w:r>
      <w:r w:rsidRPr="00067027">
        <w:rPr>
          <w:sz w:val="24"/>
          <w:lang w:val="da-DK"/>
        </w:rPr>
        <w:t xml:space="preserve">. marts </w:t>
      </w:r>
      <w:r w:rsidRPr="00C5552A">
        <w:rPr>
          <w:sz w:val="24"/>
          <w:lang w:val="da-DK"/>
        </w:rPr>
        <w:t>2023</w:t>
      </w:r>
      <w:r w:rsidRPr="00067027">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702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702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70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8/2024"/>
    <w:docVar w:name="dvlangue" w:val="DA"/>
    <w:docVar w:name="dvnumam" w:val="0"/>
    <w:docVar w:name="dvpe" w:val="756.840"/>
    <w:docVar w:name="dvtitre" w:val="Europa-Parlamentets beslutning af xx. februar 2024 om retsstatsprincippet og mediefrihed i Grækenland (2024/2502(RSP))"/>
  </w:docVars>
  <w:rsids>
    <w:rsidRoot w:val="00FC0550"/>
    <w:rsid w:val="00002272"/>
    <w:rsid w:val="0004653C"/>
    <w:rsid w:val="00064002"/>
    <w:rsid w:val="00067027"/>
    <w:rsid w:val="000677B9"/>
    <w:rsid w:val="000831BA"/>
    <w:rsid w:val="000A42CC"/>
    <w:rsid w:val="000E7DD9"/>
    <w:rsid w:val="0010095E"/>
    <w:rsid w:val="00125B37"/>
    <w:rsid w:val="00187494"/>
    <w:rsid w:val="001F32AE"/>
    <w:rsid w:val="002767FF"/>
    <w:rsid w:val="002B18FE"/>
    <w:rsid w:val="002B5493"/>
    <w:rsid w:val="00343214"/>
    <w:rsid w:val="00361C00"/>
    <w:rsid w:val="00392B66"/>
    <w:rsid w:val="00395FA1"/>
    <w:rsid w:val="003E15D4"/>
    <w:rsid w:val="003F0BB9"/>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0C09"/>
    <w:rsid w:val="00BD48FE"/>
    <w:rsid w:val="00BD7BD8"/>
    <w:rsid w:val="00BE6ADC"/>
    <w:rsid w:val="00C05BFE"/>
    <w:rsid w:val="00C23CD4"/>
    <w:rsid w:val="00C5552A"/>
    <w:rsid w:val="00C61C0C"/>
    <w:rsid w:val="00C941CB"/>
    <w:rsid w:val="00C95D11"/>
    <w:rsid w:val="00CC2357"/>
    <w:rsid w:val="00CF071A"/>
    <w:rsid w:val="00D058B8"/>
    <w:rsid w:val="00D56C11"/>
    <w:rsid w:val="00D834A0"/>
    <w:rsid w:val="00D872DF"/>
    <w:rsid w:val="00D91E21"/>
    <w:rsid w:val="00DA7FCD"/>
    <w:rsid w:val="00E365E1"/>
    <w:rsid w:val="00E53053"/>
    <w:rsid w:val="00E820A4"/>
    <w:rsid w:val="00EB006A"/>
    <w:rsid w:val="00EB4772"/>
    <w:rsid w:val="00ED169E"/>
    <w:rsid w:val="00ED4235"/>
    <w:rsid w:val="00ED4524"/>
    <w:rsid w:val="00F04346"/>
    <w:rsid w:val="00F075DC"/>
    <w:rsid w:val="00F149E9"/>
    <w:rsid w:val="00F5134D"/>
    <w:rsid w:val="00F74202"/>
    <w:rsid w:val="00F87713"/>
    <w:rsid w:val="00FB4360"/>
    <w:rsid w:val="00FC055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C05846"/>
  <w15:chartTrackingRefBased/>
  <w15:docId w15:val="{BFA210F7-D9DC-42DF-82E0-D90F81191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C0C09"/>
    <w:pPr>
      <w:spacing w:before="480" w:after="240"/>
    </w:pPr>
  </w:style>
  <w:style w:type="paragraph" w:customStyle="1" w:styleId="NormalHanging12a">
    <w:name w:val="NormalHanging12a"/>
    <w:basedOn w:val="Normal"/>
    <w:rsid w:val="00BC0C09"/>
    <w:pPr>
      <w:spacing w:after="240"/>
      <w:ind w:left="567" w:hanging="567"/>
    </w:pPr>
  </w:style>
  <w:style w:type="paragraph" w:styleId="BalloonText">
    <w:name w:val="Balloon Text"/>
    <w:basedOn w:val="Normal"/>
    <w:link w:val="BalloonTextChar"/>
    <w:rsid w:val="00C5552A"/>
    <w:rPr>
      <w:rFonts w:ascii="Segoe UI" w:hAnsi="Segoe UI" w:cs="Segoe UI"/>
      <w:sz w:val="18"/>
      <w:szCs w:val="18"/>
    </w:rPr>
  </w:style>
  <w:style w:type="character" w:customStyle="1" w:styleId="BalloonTextChar">
    <w:name w:val="Balloon Text Char"/>
    <w:basedOn w:val="DefaultParagraphFont"/>
    <w:link w:val="BalloonText"/>
    <w:rsid w:val="00C5552A"/>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57FDD-001D-4939-B979-71F1ACBCA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4005</Words>
  <Characters>25348</Characters>
  <Application>Microsoft Office Word</Application>
  <DocSecurity>0</DocSecurity>
  <Lines>211</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2024-02-07T12:40:00Z</dcterms:created>
  <dcterms:modified xsi:type="dcterms:W3CDTF">2024-02-07T12:40:00Z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B9-0098/2024</vt:lpwstr>
  </property>
  <property fmtid="{D5CDD505-2E9C-101B-9397-08002B2CF9AE}" pid="4" name="&lt;Type&gt;">
    <vt:lpwstr>RR</vt:lpwstr>
  </property>
</Properties>
</file>