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00FE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00FED" w:rsidRDefault="00CA0621" w:rsidP="0010095E">
            <w:pPr>
              <w:pStyle w:val="EPName"/>
            </w:pPr>
            <w:r w:rsidRPr="00B00FED">
              <w:t>Parlement européen</w:t>
            </w:r>
          </w:p>
          <w:p w:rsidR="00751A4A" w:rsidRPr="00B00FE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00FE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B00FED" w:rsidRDefault="00187494" w:rsidP="0010095E">
            <w:pPr>
              <w:pStyle w:val="EPLogo"/>
            </w:pPr>
            <w:r w:rsidRPr="00B00FE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00FED" w:rsidRDefault="00D058B8" w:rsidP="004C5D52">
      <w:pPr>
        <w:pStyle w:val="LineTop"/>
      </w:pPr>
    </w:p>
    <w:p w:rsidR="00680577" w:rsidRPr="00B00FED" w:rsidRDefault="00CA0621" w:rsidP="00680577">
      <w:pPr>
        <w:pStyle w:val="EPBodyTA1"/>
      </w:pPr>
      <w:r w:rsidRPr="00B00FED">
        <w:t>TEXTES ADOPTÉS</w:t>
      </w:r>
    </w:p>
    <w:p w:rsidR="00D058B8" w:rsidRPr="00B00FED" w:rsidRDefault="00D058B8" w:rsidP="00D058B8">
      <w:pPr>
        <w:pStyle w:val="LineBottom"/>
      </w:pPr>
    </w:p>
    <w:p w:rsidR="00CA0621" w:rsidRPr="00B00FED" w:rsidRDefault="00CA0621" w:rsidP="00CA0621">
      <w:pPr>
        <w:pStyle w:val="ATHeading1"/>
      </w:pPr>
      <w:bookmarkStart w:id="0" w:name="TANumber"/>
      <w:r w:rsidRPr="00B00FED">
        <w:t>P9_TA(2024)00</w:t>
      </w:r>
      <w:bookmarkEnd w:id="0"/>
      <w:r w:rsidR="00EB5C59">
        <w:t>70</w:t>
      </w:r>
    </w:p>
    <w:p w:rsidR="00CA0621" w:rsidRPr="00B00FED" w:rsidRDefault="00CA0621" w:rsidP="00CA0621">
      <w:pPr>
        <w:pStyle w:val="ATHeading2"/>
      </w:pPr>
      <w:bookmarkStart w:id="1" w:name="title"/>
      <w:r w:rsidRPr="00B00FED">
        <w:t>Nouvelle vague d'arrestations de masse en Biélorussie contre les militants de l'opposition et les membres de leur famille</w:t>
      </w:r>
      <w:bookmarkEnd w:id="1"/>
    </w:p>
    <w:p w:rsidR="00CA0621" w:rsidRPr="00B00FED" w:rsidRDefault="00CA0621" w:rsidP="00CA0621">
      <w:pPr>
        <w:rPr>
          <w:i/>
          <w:vanish/>
        </w:rPr>
      </w:pPr>
      <w:r w:rsidRPr="00B00FED">
        <w:rPr>
          <w:i/>
        </w:rPr>
        <w:fldChar w:fldCharType="begin"/>
      </w:r>
      <w:r w:rsidRPr="00B00FED">
        <w:rPr>
          <w:i/>
        </w:rPr>
        <w:instrText xml:space="preserve"> TC"(</w:instrText>
      </w:r>
      <w:bookmarkStart w:id="2" w:name="DocNumber"/>
      <w:r w:rsidRPr="00B00FED">
        <w:rPr>
          <w:i/>
        </w:rPr>
        <w:instrText>B9-0110</w:instrText>
      </w:r>
      <w:r w:rsidR="004A2919">
        <w:rPr>
          <w:i/>
        </w:rPr>
        <w:instrText>, 0115, 0116, 0126 et 0129</w:instrText>
      </w:r>
      <w:r w:rsidRPr="00B00FED">
        <w:rPr>
          <w:i/>
        </w:rPr>
        <w:instrText>/2024</w:instrText>
      </w:r>
      <w:bookmarkEnd w:id="2"/>
      <w:r w:rsidRPr="00B00FED">
        <w:rPr>
          <w:i/>
        </w:rPr>
        <w:instrText xml:space="preserve">)"\l3 \n&gt; \* MERGEFORMAT </w:instrText>
      </w:r>
      <w:r w:rsidRPr="00B00FED">
        <w:rPr>
          <w:i/>
        </w:rPr>
        <w:fldChar w:fldCharType="end"/>
      </w:r>
    </w:p>
    <w:p w:rsidR="00CA0621" w:rsidRPr="00B00FED" w:rsidRDefault="00CA0621" w:rsidP="00CA0621">
      <w:pPr>
        <w:rPr>
          <w:vanish/>
        </w:rPr>
      </w:pPr>
      <w:bookmarkStart w:id="3" w:name="PE"/>
      <w:r w:rsidRPr="00B00FED">
        <w:rPr>
          <w:vanish/>
        </w:rPr>
        <w:t>PE756.852</w:t>
      </w:r>
      <w:bookmarkEnd w:id="3"/>
    </w:p>
    <w:p w:rsidR="00CA0621" w:rsidRPr="00B00FED" w:rsidRDefault="00CA0621" w:rsidP="00CA0621">
      <w:pPr>
        <w:pStyle w:val="ATHeading3"/>
      </w:pPr>
      <w:bookmarkStart w:id="4" w:name="Sujet"/>
      <w:r w:rsidRPr="00B00FED">
        <w:t xml:space="preserve">Résolution du Parlement européen du </w:t>
      </w:r>
      <w:r w:rsidR="004A2919">
        <w:t>8 février 2024</w:t>
      </w:r>
      <w:r w:rsidRPr="00B00FED">
        <w:t xml:space="preserve"> sur la nouvelle vague d’arrestations de masse en Biélorussie contre les militants de l’opposition et les membres de leur famille</w:t>
      </w:r>
      <w:bookmarkEnd w:id="4"/>
      <w:r w:rsidRPr="00B00FED">
        <w:t xml:space="preserve"> </w:t>
      </w:r>
      <w:bookmarkStart w:id="5" w:name="References"/>
      <w:r w:rsidRPr="00B00FED">
        <w:t>(2024/2550(RSP))</w:t>
      </w:r>
      <w:bookmarkEnd w:id="5"/>
    </w:p>
    <w:p w:rsidR="00CA0621" w:rsidRPr="00B00FED" w:rsidRDefault="00CA0621" w:rsidP="00CA0621"/>
    <w:p w:rsidR="00BB1BDF" w:rsidRPr="00B00FED" w:rsidRDefault="00BB1BDF" w:rsidP="00BB1BDF">
      <w:pPr>
        <w:tabs>
          <w:tab w:val="left" w:pos="284"/>
          <w:tab w:val="left" w:pos="426"/>
        </w:tabs>
        <w:jc w:val="both"/>
        <w:rPr>
          <w:i/>
          <w:iCs/>
        </w:rPr>
      </w:pPr>
      <w:bookmarkStart w:id="6" w:name="TextBodyBegin"/>
      <w:bookmarkEnd w:id="6"/>
      <w:r w:rsidRPr="00B00FED">
        <w:rPr>
          <w:i/>
        </w:rPr>
        <w:t>Le Parlement européen,</w:t>
      </w:r>
    </w:p>
    <w:p w:rsidR="00BB1BDF" w:rsidRPr="00B00FED" w:rsidRDefault="00BB1BDF" w:rsidP="00BB1BDF">
      <w:pPr>
        <w:tabs>
          <w:tab w:val="left" w:pos="284"/>
          <w:tab w:val="left" w:pos="426"/>
        </w:tabs>
        <w:jc w:val="both"/>
        <w:rPr>
          <w:i/>
          <w:iCs/>
        </w:rPr>
      </w:pPr>
    </w:p>
    <w:p w:rsidR="00BB1BDF" w:rsidRPr="00B00FED" w:rsidRDefault="00BB1BDF" w:rsidP="00FE750F">
      <w:pPr>
        <w:widowControl/>
        <w:numPr>
          <w:ilvl w:val="0"/>
          <w:numId w:val="46"/>
        </w:numPr>
        <w:tabs>
          <w:tab w:val="clear" w:pos="720"/>
        </w:tabs>
        <w:autoSpaceDE w:val="0"/>
        <w:autoSpaceDN w:val="0"/>
        <w:adjustRightInd w:val="0"/>
        <w:spacing w:after="120"/>
        <w:ind w:left="567" w:hanging="567"/>
        <w:jc w:val="both"/>
      </w:pPr>
      <w:proofErr w:type="gramStart"/>
      <w:r w:rsidRPr="00B00FED">
        <w:t>vu</w:t>
      </w:r>
      <w:proofErr w:type="gramEnd"/>
      <w:r w:rsidRPr="00B00FED">
        <w:t xml:space="preserve"> ses résolutions précédentes sur la Biélorussie,</w:t>
      </w:r>
    </w:p>
    <w:p w:rsidR="00BB1BDF" w:rsidRPr="00B00FED" w:rsidRDefault="00BB1BDF" w:rsidP="00FE750F">
      <w:pPr>
        <w:widowControl/>
        <w:numPr>
          <w:ilvl w:val="0"/>
          <w:numId w:val="46"/>
        </w:numPr>
        <w:tabs>
          <w:tab w:val="clear" w:pos="720"/>
        </w:tabs>
        <w:autoSpaceDE w:val="0"/>
        <w:autoSpaceDN w:val="0"/>
        <w:adjustRightInd w:val="0"/>
        <w:spacing w:after="120"/>
        <w:ind w:left="567" w:hanging="567"/>
        <w:jc w:val="both"/>
      </w:pPr>
      <w:proofErr w:type="gramStart"/>
      <w:r w:rsidRPr="00B00FED">
        <w:t>vu</w:t>
      </w:r>
      <w:proofErr w:type="gramEnd"/>
      <w:r w:rsidRPr="00B00FED">
        <w:t xml:space="preserve"> l’article 144, paragraphe 5, et l’article 132, paragraphe 4, de son règlement intérieur,</w:t>
      </w:r>
    </w:p>
    <w:p w:rsidR="00BB1BDF" w:rsidRPr="00B00FED" w:rsidRDefault="00BB1BDF" w:rsidP="00BB1BDF">
      <w:pPr>
        <w:tabs>
          <w:tab w:val="left" w:pos="284"/>
          <w:tab w:val="left" w:pos="426"/>
        </w:tabs>
        <w:autoSpaceDE w:val="0"/>
        <w:autoSpaceDN w:val="0"/>
        <w:adjustRightInd w:val="0"/>
        <w:spacing w:after="120"/>
        <w:jc w:val="both"/>
      </w:pPr>
    </w:p>
    <w:p w:rsidR="00BB1BDF" w:rsidRPr="00B00FED" w:rsidRDefault="00BB1BDF" w:rsidP="00FE750F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567" w:hanging="567"/>
        <w:jc w:val="both"/>
        <w:rPr>
          <w:rFonts w:ascii="Times New Roman" w:hAnsi="Times New Roman" w:cs="Times New Roman"/>
          <w:b/>
          <w:color w:val="212121"/>
        </w:rPr>
      </w:pPr>
      <w:r w:rsidRPr="00B00FED">
        <w:rPr>
          <w:rFonts w:ascii="Times New Roman" w:hAnsi="Times New Roman"/>
          <w:color w:val="212121"/>
        </w:rPr>
        <w:t>considérant qu’en janvier 2024, le comité pour la sûreté de l’État biélorusse (KGB) a procédé à des perquisitions, interrogations et détentions visant plus de 200 membres de la famille de prisonniers politiques actuels et anciens, ainsi que des bénéficiaires de l’initiative «</w:t>
      </w:r>
      <w:proofErr w:type="spellStart"/>
      <w:r w:rsidRPr="00B00FED">
        <w:rPr>
          <w:rFonts w:ascii="Times New Roman" w:hAnsi="Times New Roman"/>
          <w:color w:val="212121"/>
        </w:rPr>
        <w:t>INeedHelpBY</w:t>
      </w:r>
      <w:proofErr w:type="spellEnd"/>
      <w:r w:rsidRPr="00B00FED">
        <w:rPr>
          <w:rFonts w:ascii="Times New Roman" w:hAnsi="Times New Roman"/>
          <w:color w:val="212121"/>
        </w:rPr>
        <w:t xml:space="preserve">», accusés d’«extrémisme»; </w:t>
      </w:r>
      <w:r w:rsidRPr="00B00FED">
        <w:rPr>
          <w:rFonts w:ascii="Times New Roman" w:hAnsi="Times New Roman"/>
        </w:rPr>
        <w:t xml:space="preserve">que la majorité sont des mères et des femmes de prisonniers politiques, dont Marina </w:t>
      </w:r>
      <w:proofErr w:type="spellStart"/>
      <w:r w:rsidRPr="00B00FED">
        <w:rPr>
          <w:rFonts w:ascii="Times New Roman" w:hAnsi="Times New Roman"/>
        </w:rPr>
        <w:t>Adamovitch</w:t>
      </w:r>
      <w:proofErr w:type="spellEnd"/>
      <w:r w:rsidRPr="00B00FED">
        <w:rPr>
          <w:rFonts w:ascii="Times New Roman" w:hAnsi="Times New Roman"/>
        </w:rPr>
        <w:t xml:space="preserve">, épouse de </w:t>
      </w:r>
      <w:proofErr w:type="spellStart"/>
      <w:r w:rsidRPr="00B00FED">
        <w:rPr>
          <w:rFonts w:ascii="Times New Roman" w:hAnsi="Times New Roman"/>
        </w:rPr>
        <w:t>Mikalaï</w:t>
      </w:r>
      <w:proofErr w:type="spellEnd"/>
      <w:r w:rsidRPr="00B00FED">
        <w:rPr>
          <w:rFonts w:ascii="Times New Roman" w:hAnsi="Times New Roman"/>
        </w:rPr>
        <w:t xml:space="preserve"> </w:t>
      </w:r>
      <w:proofErr w:type="spellStart"/>
      <w:r w:rsidRPr="00B00FED">
        <w:rPr>
          <w:rFonts w:ascii="Times New Roman" w:hAnsi="Times New Roman"/>
        </w:rPr>
        <w:t>Statkevitch</w:t>
      </w:r>
      <w:proofErr w:type="spellEnd"/>
      <w:r w:rsidRPr="00B00FED">
        <w:rPr>
          <w:rFonts w:ascii="Times New Roman" w:hAnsi="Times New Roman"/>
        </w:rPr>
        <w:t xml:space="preserve">, </w:t>
      </w:r>
      <w:proofErr w:type="spellStart"/>
      <w:r w:rsidRPr="00B00FED">
        <w:rPr>
          <w:rFonts w:ascii="Times New Roman" w:hAnsi="Times New Roman"/>
        </w:rPr>
        <w:t>Tatsiana</w:t>
      </w:r>
      <w:proofErr w:type="spellEnd"/>
      <w:r w:rsidRPr="00B00FED">
        <w:rPr>
          <w:rFonts w:ascii="Times New Roman" w:hAnsi="Times New Roman"/>
        </w:rPr>
        <w:t xml:space="preserve"> </w:t>
      </w:r>
      <w:proofErr w:type="spellStart"/>
      <w:r w:rsidRPr="00B00FED">
        <w:rPr>
          <w:rFonts w:ascii="Times New Roman" w:hAnsi="Times New Roman"/>
        </w:rPr>
        <w:t>Seviarinets</w:t>
      </w:r>
      <w:proofErr w:type="spellEnd"/>
      <w:r w:rsidRPr="00B00FED">
        <w:rPr>
          <w:rFonts w:ascii="Times New Roman" w:hAnsi="Times New Roman"/>
        </w:rPr>
        <w:t xml:space="preserve">, mère de Pavel </w:t>
      </w:r>
      <w:proofErr w:type="spellStart"/>
      <w:r w:rsidRPr="00B00FED">
        <w:rPr>
          <w:rFonts w:ascii="Times New Roman" w:hAnsi="Times New Roman"/>
        </w:rPr>
        <w:t>Seviarinets</w:t>
      </w:r>
      <w:proofErr w:type="spellEnd"/>
      <w:r w:rsidRPr="00B00FED">
        <w:rPr>
          <w:rFonts w:ascii="Times New Roman" w:hAnsi="Times New Roman"/>
        </w:rPr>
        <w:t xml:space="preserve">, et Daria </w:t>
      </w:r>
      <w:proofErr w:type="spellStart"/>
      <w:r w:rsidRPr="00B00FED">
        <w:rPr>
          <w:rFonts w:ascii="Times New Roman" w:hAnsi="Times New Roman"/>
        </w:rPr>
        <w:t>Losik</w:t>
      </w:r>
      <w:proofErr w:type="spellEnd"/>
      <w:r w:rsidRPr="00B00FED">
        <w:rPr>
          <w:rFonts w:ascii="Times New Roman" w:hAnsi="Times New Roman"/>
        </w:rPr>
        <w:t>, épouse d’</w:t>
      </w:r>
      <w:proofErr w:type="spellStart"/>
      <w:r w:rsidRPr="00B00FED">
        <w:rPr>
          <w:rFonts w:ascii="Times New Roman" w:hAnsi="Times New Roman"/>
        </w:rPr>
        <w:t>Ihar</w:t>
      </w:r>
      <w:proofErr w:type="spellEnd"/>
      <w:r w:rsidRPr="00B00FED">
        <w:rPr>
          <w:rFonts w:ascii="Times New Roman" w:hAnsi="Times New Roman"/>
        </w:rPr>
        <w:t xml:space="preserve"> </w:t>
      </w:r>
      <w:proofErr w:type="spellStart"/>
      <w:r w:rsidRPr="00B00FED">
        <w:rPr>
          <w:rFonts w:ascii="Times New Roman" w:hAnsi="Times New Roman"/>
        </w:rPr>
        <w:t>Losik</w:t>
      </w:r>
      <w:proofErr w:type="spellEnd"/>
      <w:r w:rsidRPr="00B00FED">
        <w:rPr>
          <w:rFonts w:ascii="Times New Roman" w:hAnsi="Times New Roman"/>
        </w:rPr>
        <w:t>, arrêtée précédemment;</w:t>
      </w:r>
    </w:p>
    <w:p w:rsidR="00BB1BDF" w:rsidRPr="00B00FED" w:rsidRDefault="00BB1BDF" w:rsidP="00BB1BDF">
      <w:pPr>
        <w:ind w:left="284" w:hanging="284"/>
        <w:jc w:val="both"/>
        <w:rPr>
          <w:color w:val="212121"/>
        </w:rPr>
      </w:pPr>
    </w:p>
    <w:p w:rsidR="00BB1BDF" w:rsidRPr="00B00FED" w:rsidRDefault="00BB1BDF" w:rsidP="00FE750F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567" w:hanging="567"/>
        <w:jc w:val="both"/>
        <w:rPr>
          <w:rFonts w:ascii="Times New Roman" w:hAnsi="Times New Roman" w:cs="Times New Roman"/>
          <w:b/>
          <w:color w:val="212121"/>
        </w:rPr>
      </w:pPr>
      <w:proofErr w:type="gramStart"/>
      <w:r w:rsidRPr="00FE750F">
        <w:rPr>
          <w:rFonts w:ascii="Times New Roman" w:hAnsi="Times New Roman"/>
          <w:color w:val="212121"/>
        </w:rPr>
        <w:t>considérant</w:t>
      </w:r>
      <w:proofErr w:type="gramEnd"/>
      <w:r w:rsidRPr="00B00FED">
        <w:rPr>
          <w:rFonts w:ascii="Times New Roman" w:hAnsi="Times New Roman"/>
        </w:rPr>
        <w:t xml:space="preserve"> que de nouvelles accusations ont été portées par contumace contre 20 analystes politiques, journalistes et sociologues, appelés «analystes de </w:t>
      </w:r>
      <w:proofErr w:type="spellStart"/>
      <w:r w:rsidRPr="00B00FED">
        <w:rPr>
          <w:rFonts w:ascii="Times New Roman" w:hAnsi="Times New Roman"/>
        </w:rPr>
        <w:t>Tsikhanouskaïa</w:t>
      </w:r>
      <w:proofErr w:type="spellEnd"/>
      <w:r w:rsidRPr="00B00FED">
        <w:rPr>
          <w:rFonts w:ascii="Times New Roman" w:hAnsi="Times New Roman"/>
        </w:rPr>
        <w:t>», qui risquent, en cas de condamnation, la confiscation de leurs biens et la révocation de leur citoyenneté;</w:t>
      </w:r>
    </w:p>
    <w:p w:rsidR="00BB1BDF" w:rsidRPr="00B00FED" w:rsidRDefault="00BB1BDF" w:rsidP="00BB1BDF">
      <w:pPr>
        <w:ind w:left="284" w:hanging="284"/>
        <w:jc w:val="both"/>
        <w:rPr>
          <w:color w:val="212121"/>
        </w:rPr>
      </w:pPr>
    </w:p>
    <w:p w:rsidR="00BB1BDF" w:rsidRPr="00B00FED" w:rsidRDefault="00BB1BDF" w:rsidP="00FE750F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567" w:hanging="567"/>
        <w:jc w:val="both"/>
        <w:rPr>
          <w:rFonts w:ascii="Times New Roman" w:hAnsi="Times New Roman" w:cs="Times New Roman"/>
          <w:b/>
          <w:color w:val="1E1E1F"/>
        </w:rPr>
      </w:pPr>
      <w:proofErr w:type="gramStart"/>
      <w:r w:rsidRPr="00B00FED">
        <w:rPr>
          <w:rFonts w:ascii="Times New Roman" w:hAnsi="Times New Roman"/>
          <w:color w:val="212121"/>
        </w:rPr>
        <w:t>considérant</w:t>
      </w:r>
      <w:proofErr w:type="gramEnd"/>
      <w:r w:rsidRPr="00B00FED">
        <w:rPr>
          <w:rFonts w:ascii="Times New Roman" w:hAnsi="Times New Roman"/>
          <w:color w:val="212121"/>
        </w:rPr>
        <w:t xml:space="preserve"> que les prisonniers politiques, dont les chefs de parti </w:t>
      </w:r>
      <w:proofErr w:type="spellStart"/>
      <w:r w:rsidRPr="00B00FED">
        <w:rPr>
          <w:rFonts w:ascii="Times New Roman" w:hAnsi="Times New Roman"/>
          <w:color w:val="212121"/>
        </w:rPr>
        <w:t>Mikalaï</w:t>
      </w:r>
      <w:proofErr w:type="spellEnd"/>
      <w:r w:rsidRPr="00B00FED">
        <w:rPr>
          <w:rFonts w:ascii="Times New Roman" w:hAnsi="Times New Roman"/>
          <w:color w:val="212121"/>
        </w:rPr>
        <w:t xml:space="preserve"> </w:t>
      </w:r>
      <w:proofErr w:type="spellStart"/>
      <w:r w:rsidRPr="00B00FED">
        <w:rPr>
          <w:rFonts w:ascii="Times New Roman" w:hAnsi="Times New Roman"/>
          <w:color w:val="212121"/>
        </w:rPr>
        <w:t>Kazlou</w:t>
      </w:r>
      <w:proofErr w:type="spellEnd"/>
      <w:r w:rsidRPr="00B00FED">
        <w:rPr>
          <w:rFonts w:ascii="Times New Roman" w:hAnsi="Times New Roman"/>
          <w:color w:val="212121"/>
        </w:rPr>
        <w:t xml:space="preserve">, </w:t>
      </w:r>
      <w:proofErr w:type="spellStart"/>
      <w:r w:rsidRPr="00B00FED">
        <w:rPr>
          <w:rFonts w:ascii="Times New Roman" w:hAnsi="Times New Roman"/>
          <w:color w:val="212121"/>
        </w:rPr>
        <w:t>Ryhor</w:t>
      </w:r>
      <w:proofErr w:type="spellEnd"/>
      <w:r w:rsidRPr="00B00FED">
        <w:rPr>
          <w:rFonts w:ascii="Times New Roman" w:hAnsi="Times New Roman"/>
          <w:color w:val="212121"/>
        </w:rPr>
        <w:t xml:space="preserve"> </w:t>
      </w:r>
      <w:proofErr w:type="spellStart"/>
      <w:r w:rsidRPr="00B00FED">
        <w:rPr>
          <w:rFonts w:ascii="Times New Roman" w:hAnsi="Times New Roman"/>
          <w:color w:val="212121"/>
        </w:rPr>
        <w:t>Kastusiou</w:t>
      </w:r>
      <w:proofErr w:type="spellEnd"/>
      <w:r w:rsidRPr="00B00FED">
        <w:rPr>
          <w:rFonts w:ascii="Times New Roman" w:hAnsi="Times New Roman"/>
          <w:color w:val="212121"/>
        </w:rPr>
        <w:t xml:space="preserve">, </w:t>
      </w:r>
      <w:proofErr w:type="spellStart"/>
      <w:r w:rsidRPr="00B00FED">
        <w:rPr>
          <w:rFonts w:ascii="Times New Roman" w:hAnsi="Times New Roman"/>
          <w:color w:val="212121"/>
        </w:rPr>
        <w:t>Mikalaï</w:t>
      </w:r>
      <w:proofErr w:type="spellEnd"/>
      <w:r w:rsidRPr="00B00FED">
        <w:rPr>
          <w:rFonts w:ascii="Times New Roman" w:hAnsi="Times New Roman"/>
          <w:color w:val="212121"/>
        </w:rPr>
        <w:t xml:space="preserve"> </w:t>
      </w:r>
      <w:proofErr w:type="spellStart"/>
      <w:r w:rsidRPr="00B00FED">
        <w:rPr>
          <w:rFonts w:ascii="Times New Roman" w:hAnsi="Times New Roman"/>
          <w:color w:val="212121"/>
        </w:rPr>
        <w:t>Statkevitch</w:t>
      </w:r>
      <w:proofErr w:type="spellEnd"/>
      <w:r w:rsidRPr="00B00FED">
        <w:rPr>
          <w:rFonts w:ascii="Times New Roman" w:hAnsi="Times New Roman"/>
          <w:color w:val="212121"/>
        </w:rPr>
        <w:t xml:space="preserve"> et Pavel </w:t>
      </w:r>
      <w:proofErr w:type="spellStart"/>
      <w:r w:rsidRPr="00B00FED">
        <w:rPr>
          <w:rFonts w:ascii="Times New Roman" w:hAnsi="Times New Roman"/>
          <w:color w:val="212121"/>
        </w:rPr>
        <w:t>Seviarinets</w:t>
      </w:r>
      <w:proofErr w:type="spellEnd"/>
      <w:r w:rsidRPr="00B00FED">
        <w:rPr>
          <w:rFonts w:ascii="Times New Roman" w:hAnsi="Times New Roman"/>
          <w:color w:val="212121"/>
        </w:rPr>
        <w:t>, subissent isolement, torture, refus de soins médicaux et travail forcé;</w:t>
      </w:r>
    </w:p>
    <w:p w:rsidR="00BB1BDF" w:rsidRPr="00B00FED" w:rsidRDefault="00BB1BDF" w:rsidP="00BB1BDF">
      <w:pPr>
        <w:pStyle w:val="ListParagraph"/>
        <w:ind w:left="284" w:hanging="284"/>
        <w:jc w:val="both"/>
        <w:rPr>
          <w:rFonts w:ascii="Times New Roman" w:hAnsi="Times New Roman" w:cs="Times New Roman"/>
          <w:color w:val="212121"/>
        </w:rPr>
      </w:pPr>
    </w:p>
    <w:p w:rsidR="00BB1BDF" w:rsidRPr="00B00FED" w:rsidRDefault="00BB1BDF" w:rsidP="00FE750F">
      <w:pPr>
        <w:pStyle w:val="ListParagraph"/>
        <w:widowControl w:val="0"/>
        <w:numPr>
          <w:ilvl w:val="0"/>
          <w:numId w:val="45"/>
        </w:numPr>
        <w:tabs>
          <w:tab w:val="clear" w:pos="928"/>
        </w:tabs>
        <w:ind w:left="567" w:hanging="567"/>
        <w:jc w:val="both"/>
        <w:rPr>
          <w:rFonts w:ascii="Times New Roman" w:hAnsi="Times New Roman" w:cs="Times New Roman"/>
          <w:b/>
          <w:iCs/>
        </w:rPr>
      </w:pPr>
      <w:proofErr w:type="gramStart"/>
      <w:r w:rsidRPr="00B00FED">
        <w:rPr>
          <w:rFonts w:ascii="Times New Roman" w:hAnsi="Times New Roman"/>
        </w:rPr>
        <w:t>considérant</w:t>
      </w:r>
      <w:proofErr w:type="gramEnd"/>
      <w:r w:rsidRPr="00B00FED">
        <w:rPr>
          <w:rFonts w:ascii="Times New Roman" w:hAnsi="Times New Roman"/>
        </w:rPr>
        <w:t xml:space="preserve"> que la dernière répression a eu lieu avant les «élections» législatives et locales du 25 </w:t>
      </w:r>
      <w:r w:rsidRPr="00FE750F">
        <w:rPr>
          <w:rFonts w:ascii="Times New Roman" w:hAnsi="Times New Roman"/>
          <w:color w:val="212121"/>
        </w:rPr>
        <w:t>février</w:t>
      </w:r>
      <w:r w:rsidR="00B05058">
        <w:rPr>
          <w:rFonts w:ascii="Times New Roman" w:hAnsi="Times New Roman"/>
          <w:color w:val="212121"/>
        </w:rPr>
        <w:t xml:space="preserve"> 2024</w:t>
      </w:r>
      <w:bookmarkStart w:id="7" w:name="_GoBack"/>
      <w:bookmarkEnd w:id="7"/>
      <w:r w:rsidRPr="00B00FED">
        <w:rPr>
          <w:rFonts w:ascii="Times New Roman" w:hAnsi="Times New Roman"/>
        </w:rPr>
        <w:t>; que la «loi sur les partis politiques» de 2023 empêche les partis d’opposition démocratiques de participer aux élections;</w:t>
      </w:r>
    </w:p>
    <w:p w:rsidR="00BB1BDF" w:rsidRPr="00B00FED" w:rsidRDefault="00BB1BDF" w:rsidP="00BB1BDF">
      <w:pPr>
        <w:jc w:val="both"/>
        <w:rPr>
          <w:iCs/>
        </w:rPr>
      </w:pPr>
    </w:p>
    <w:p w:rsidR="00BB1BDF" w:rsidRPr="00B00FED" w:rsidRDefault="00BB1BDF" w:rsidP="00FE750F">
      <w:pPr>
        <w:pStyle w:val="NormalWeb"/>
        <w:ind w:left="567" w:hanging="567"/>
        <w:jc w:val="both"/>
      </w:pPr>
      <w:r w:rsidRPr="00B00FED">
        <w:lastRenderedPageBreak/>
        <w:t>1.</w:t>
      </w:r>
      <w:r w:rsidRPr="00B00FED">
        <w:tab/>
        <w:t xml:space="preserve">condamne fermement la récente vague d’arrestations de masse en Biélorussie, exhorte le régime illégitime de </w:t>
      </w:r>
      <w:proofErr w:type="spellStart"/>
      <w:r w:rsidRPr="00B00FED">
        <w:t>Loukachenka</w:t>
      </w:r>
      <w:proofErr w:type="spellEnd"/>
      <w:r w:rsidRPr="00B00FED">
        <w:t xml:space="preserve"> à cesser sa répression, et en particulier toute persécution fondée sur le genre, et rappelle au régime ses obligations internationales;</w:t>
      </w:r>
    </w:p>
    <w:p w:rsidR="00BB1BDF" w:rsidRPr="00B00FED" w:rsidRDefault="00BB1BDF" w:rsidP="00FE750F">
      <w:pPr>
        <w:pStyle w:val="NormalWeb"/>
        <w:ind w:left="567" w:hanging="567"/>
        <w:jc w:val="both"/>
        <w:rPr>
          <w:b/>
          <w:color w:val="212121"/>
        </w:rPr>
      </w:pPr>
      <w:r w:rsidRPr="00B00FED">
        <w:t>2.</w:t>
      </w:r>
      <w:r w:rsidRPr="00B00FED">
        <w:tab/>
        <w:t xml:space="preserve">demande la libération immédiate et inconditionnelle des plus de 1 400 prisonniers politiques, ainsi que des membres de leur famille et des personnes détenues arbitrairement, et la restauration intégrale de leurs droits; </w:t>
      </w:r>
    </w:p>
    <w:p w:rsidR="00BB1BDF" w:rsidRPr="00B00FED" w:rsidRDefault="00BB1BDF" w:rsidP="00FE750F">
      <w:pPr>
        <w:pStyle w:val="NormalWeb"/>
        <w:ind w:left="567" w:hanging="567"/>
        <w:jc w:val="both"/>
        <w:rPr>
          <w:b/>
        </w:rPr>
      </w:pPr>
      <w:r w:rsidRPr="00B00FED">
        <w:t>3.</w:t>
      </w:r>
      <w:r w:rsidRPr="00B00FED">
        <w:tab/>
        <w:t>réaffirme sa position sur le manque de transparence, de liberté et d’équité à l’approche des</w:t>
      </w:r>
      <w:proofErr w:type="gramStart"/>
      <w:r w:rsidRPr="00B00FED">
        <w:t xml:space="preserve"> «élections</w:t>
      </w:r>
      <w:proofErr w:type="gramEnd"/>
      <w:r w:rsidRPr="00B00FED">
        <w:t xml:space="preserve">» législatives et locales qui auront lieu en Biélorussie et demande à l’Union européenne, à ses États membres et à la communauté internationale de ne pas en reconnaître les résultats; </w:t>
      </w:r>
    </w:p>
    <w:p w:rsidR="00BB1BDF" w:rsidRPr="00B00FED" w:rsidRDefault="00BB1BDF" w:rsidP="00FE750F">
      <w:pPr>
        <w:pStyle w:val="NormalWeb"/>
        <w:ind w:left="567" w:hanging="567"/>
        <w:jc w:val="both"/>
        <w:rPr>
          <w:b/>
        </w:rPr>
      </w:pPr>
      <w:r w:rsidRPr="00B00FED">
        <w:t>4.</w:t>
      </w:r>
      <w:r w:rsidRPr="00B00FED">
        <w:tab/>
        <w:t xml:space="preserve">invite le VP/HR et le Conseil à réagir en imposant des sanctions plus sévères au régime de Loukachenko, y compris contre les biens issus du travail forcé des prisonniers politiques, des sanctions financières plus strictes et des sanctions à l’encontre des personnes responsables de graves violations des droits de l’homme, y compris des hauts fonctionnaires et des membres des forces de sécurité; appelle à une réduction supplémentaire de la présence diplomatique de la Biélorussie dans l’Union, à un soutien constant aux victimes du régime au moyen d’instruments spéciaux leur permettant d’obtenir des visas et des titres de séjour de l’Union et à une solution pour les cas d’apatridie; </w:t>
      </w:r>
    </w:p>
    <w:p w:rsidR="00BB1BDF" w:rsidRPr="00B00FED" w:rsidRDefault="00BB1BDF" w:rsidP="00FE750F">
      <w:pPr>
        <w:pStyle w:val="NormalWeb"/>
        <w:ind w:left="567" w:hanging="567"/>
        <w:jc w:val="both"/>
        <w:rPr>
          <w:rFonts w:eastAsiaTheme="minorHAnsi"/>
          <w:b/>
          <w:bCs/>
          <w:color w:val="212121"/>
        </w:rPr>
      </w:pPr>
      <w:r w:rsidRPr="00B00FED">
        <w:t>5.</w:t>
      </w:r>
      <w:r w:rsidRPr="00B00FED">
        <w:tab/>
        <w:t>invite la Commission et les États membres à appuyer davantage la documentation des violations des droits de l’homme en Biélorussie, à transformer l’examen de la situation des droits de l’homme en Biélorussie par le Haut-Commissariat des Nations unies aux droits de l’homme en un mécanisme d’enquête totalement indépendant, à respecter le mandat du rapporteur spécial des Nations unies sur les droits de l’homme en Biélorussie et à renforcer l’obligation de rendre des comptes par l’intermédiaire d’une juridiction extraterritoriale et universelle;</w:t>
      </w:r>
    </w:p>
    <w:p w:rsidR="00BB1BDF" w:rsidRPr="00B00FED" w:rsidRDefault="00BB1BDF" w:rsidP="00FE750F">
      <w:pPr>
        <w:pStyle w:val="NormalWeb"/>
        <w:ind w:left="567" w:hanging="567"/>
        <w:jc w:val="both"/>
        <w:rPr>
          <w:b/>
        </w:rPr>
      </w:pPr>
      <w:r w:rsidRPr="00B00FED">
        <w:t>6.</w:t>
      </w:r>
      <w:r w:rsidRPr="00B00FED">
        <w:tab/>
        <w:t>réaffirme sa solidarité avec le peuple biélorusse et son soutien à ses aspirations légitimes à un avenir démocratique et européen et reste déterminé à travailler sans relâche avec les forces démocratiques, la société civile et les médias indépendants dans l’intérêt du peuple biélorusse;</w:t>
      </w:r>
    </w:p>
    <w:p w:rsidR="00BB1BDF" w:rsidRPr="00B00FED" w:rsidRDefault="00BB1BDF" w:rsidP="00FE750F">
      <w:pPr>
        <w:pStyle w:val="NormalWeb"/>
        <w:ind w:left="567" w:hanging="567"/>
        <w:jc w:val="both"/>
      </w:pPr>
      <w:r w:rsidRPr="00B00FED">
        <w:t>7.</w:t>
      </w:r>
      <w:r w:rsidRPr="00B00FED">
        <w:tab/>
        <w:t>charge sa Présidente de transmettre la présente résolution au Conseil, à la Commission, au VP/HR, aux États membres, aux représentants des forces démocratiques biélorusses, aux autorités biélorusses de facto, aux Nations unies et à l’OSCE.</w:t>
      </w:r>
    </w:p>
    <w:sectPr w:rsidR="00BB1BDF" w:rsidRPr="00B00FED" w:rsidSect="00B00FE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0621" w:rsidRPr="00B00FED" w:rsidRDefault="00CA0621">
      <w:r w:rsidRPr="00B00FED">
        <w:separator/>
      </w:r>
    </w:p>
  </w:endnote>
  <w:endnote w:type="continuationSeparator" w:id="0">
    <w:p w:rsidR="00CA0621" w:rsidRPr="00B00FED" w:rsidRDefault="00CA0621">
      <w:r w:rsidRPr="00B00F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FE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FE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FE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0621" w:rsidRPr="00B00FED" w:rsidRDefault="00CA0621">
      <w:r w:rsidRPr="00B00FED">
        <w:separator/>
      </w:r>
    </w:p>
  </w:footnote>
  <w:footnote w:type="continuationSeparator" w:id="0">
    <w:p w:rsidR="00CA0621" w:rsidRPr="00B00FED" w:rsidRDefault="00CA0621">
      <w:r w:rsidRPr="00B00F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FE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FE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00FE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0EE686E"/>
    <w:multiLevelType w:val="hybridMultilevel"/>
    <w:tmpl w:val="CB1C7C7C"/>
    <w:lvl w:ilvl="0" w:tplc="099A92A6">
      <w:start w:val="1"/>
      <w:numFmt w:val="upperLetter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809000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10064AD"/>
    <w:multiLevelType w:val="hybridMultilevel"/>
    <w:tmpl w:val="FE6048D0"/>
    <w:lvl w:ilvl="0" w:tplc="A3DA55F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10/2024"/>
    <w:docVar w:name="dvlangue" w:val="FR"/>
    <w:docVar w:name="dvnumam" w:val="0"/>
    <w:docVar w:name="dvpe" w:val="756.852"/>
    <w:docVar w:name="dvtitre" w:val="Résolution du Parlement européen du ... 2024 sur la nouvelle vague d’arrestations de masse en Biélorussie contre les militants de l’opposition et les membres de leur famille(2024/2550(RSP))"/>
  </w:docVars>
  <w:rsids>
    <w:rsidRoot w:val="00CA062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2919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0FED"/>
    <w:rsid w:val="00B05058"/>
    <w:rsid w:val="00B12E95"/>
    <w:rsid w:val="00B22876"/>
    <w:rsid w:val="00B558F0"/>
    <w:rsid w:val="00BB1BDF"/>
    <w:rsid w:val="00BD48FE"/>
    <w:rsid w:val="00BD7BD8"/>
    <w:rsid w:val="00BE6ADC"/>
    <w:rsid w:val="00C05BFE"/>
    <w:rsid w:val="00C1235F"/>
    <w:rsid w:val="00C23CD4"/>
    <w:rsid w:val="00C61C0C"/>
    <w:rsid w:val="00C941CB"/>
    <w:rsid w:val="00CA062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5C59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4298C6"/>
  <w15:chartTrackingRefBased/>
  <w15:docId w15:val="{9D6D0306-22F4-4950-A6D0-8B55523D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styleId="NormalWeb">
    <w:name w:val="Normal (Web)"/>
    <w:basedOn w:val="Normal"/>
    <w:uiPriority w:val="99"/>
    <w:unhideWhenUsed/>
    <w:rsid w:val="00BB1BDF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ListParagraph">
    <w:name w:val="List Paragraph"/>
    <w:basedOn w:val="Normal"/>
    <w:uiPriority w:val="34"/>
    <w:qFormat/>
    <w:rsid w:val="00BB1BDF"/>
    <w:pPr>
      <w:widowControl/>
      <w:ind w:left="720"/>
      <w:contextualSpacing/>
    </w:pPr>
    <w:rPr>
      <w:rFonts w:asciiTheme="minorHAnsi" w:eastAsiaTheme="minorHAnsi" w:hAnsiTheme="minorHAnsi" w:cstheme="minorBidi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C62E92-750C-4E62-A165-FE5C4A14A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CHABOTEAU Viviane</dc:creator>
  <cp:keywords/>
  <cp:lastModifiedBy>VAN DEN RUL Olivier</cp:lastModifiedBy>
  <cp:revision>2</cp:revision>
  <cp:lastPrinted>2004-11-19T15:42:00Z</cp:lastPrinted>
  <dcterms:created xsi:type="dcterms:W3CDTF">2024-02-08T12:08:00Z</dcterms:created>
  <dcterms:modified xsi:type="dcterms:W3CDTF">2024-02-08T12:08:00Z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B9-0110/2024</vt:lpwstr>
  </property>
  <property fmtid="{D5CDD505-2E9C-101B-9397-08002B2CF9AE}" pid="4" name="&lt;Type&gt;">
    <vt:lpwstr>RR</vt:lpwstr>
  </property>
</Properties>
</file>