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3D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83D2C" w:rsidRDefault="007D1B2C" w:rsidP="0010095E">
            <w:pPr>
              <w:pStyle w:val="EPName"/>
            </w:pPr>
            <w:r w:rsidRPr="00983D2C">
              <w:t>Parlamento europeo</w:t>
            </w:r>
          </w:p>
          <w:p w:rsidR="00751A4A" w:rsidRPr="00983D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3D2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83D2C" w:rsidRDefault="00187494" w:rsidP="0010095E">
            <w:pPr>
              <w:pStyle w:val="EPLogo"/>
            </w:pPr>
            <w:r w:rsidRPr="00983D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83D2C" w:rsidRDefault="00D058B8" w:rsidP="004C5D52">
      <w:pPr>
        <w:pStyle w:val="LineTop"/>
      </w:pPr>
    </w:p>
    <w:p w:rsidR="00680577" w:rsidRPr="00983D2C" w:rsidRDefault="007D1B2C" w:rsidP="00680577">
      <w:pPr>
        <w:pStyle w:val="EPBodyTA1"/>
      </w:pPr>
      <w:r w:rsidRPr="00983D2C">
        <w:t>TESTI APPROVATI</w:t>
      </w:r>
    </w:p>
    <w:p w:rsidR="00D058B8" w:rsidRPr="00983D2C" w:rsidRDefault="00D058B8" w:rsidP="00D058B8">
      <w:pPr>
        <w:pStyle w:val="LineBottom"/>
      </w:pPr>
    </w:p>
    <w:p w:rsidR="007D1B2C" w:rsidRPr="00983D2C" w:rsidRDefault="007D1B2C" w:rsidP="007D1B2C">
      <w:pPr>
        <w:pStyle w:val="ATHeading1"/>
      </w:pPr>
      <w:bookmarkStart w:id="0" w:name="TANumber"/>
      <w:r w:rsidRPr="00983D2C">
        <w:t>P9_</w:t>
      </w:r>
      <w:proofErr w:type="gramStart"/>
      <w:r w:rsidRPr="00983D2C">
        <w:t>TA(</w:t>
      </w:r>
      <w:proofErr w:type="gramEnd"/>
      <w:r w:rsidRPr="00983D2C">
        <w:t>2024)00</w:t>
      </w:r>
      <w:bookmarkEnd w:id="0"/>
      <w:r w:rsidR="00983D2C" w:rsidRPr="00983D2C">
        <w:t>70</w:t>
      </w:r>
    </w:p>
    <w:p w:rsidR="007D1B2C" w:rsidRPr="00983D2C" w:rsidRDefault="007D1B2C" w:rsidP="007D1B2C">
      <w:pPr>
        <w:pStyle w:val="ATHeading2"/>
      </w:pPr>
      <w:bookmarkStart w:id="1" w:name="title"/>
      <w:r w:rsidRPr="00983D2C">
        <w:t>Nuova ondata di arresti di massa di attivisti dell'opposizione e dei loro familiari in Bielorussia</w:t>
      </w:r>
      <w:bookmarkEnd w:id="1"/>
    </w:p>
    <w:p w:rsidR="007D1B2C" w:rsidRPr="00983D2C" w:rsidRDefault="007D1B2C" w:rsidP="007D1B2C">
      <w:pPr>
        <w:rPr>
          <w:i/>
          <w:vanish/>
        </w:rPr>
      </w:pPr>
      <w:r w:rsidRPr="00983D2C">
        <w:rPr>
          <w:i/>
        </w:rPr>
        <w:fldChar w:fldCharType="begin"/>
      </w:r>
      <w:r w:rsidRPr="00983D2C">
        <w:rPr>
          <w:i/>
        </w:rPr>
        <w:instrText xml:space="preserve"> TC"(</w:instrText>
      </w:r>
      <w:bookmarkStart w:id="2" w:name="DocNumber"/>
      <w:r w:rsidRPr="00983D2C">
        <w:rPr>
          <w:i/>
        </w:rPr>
        <w:instrText>B9-0110</w:instrText>
      </w:r>
      <w:r w:rsidR="00F26D58">
        <w:rPr>
          <w:i/>
        </w:rPr>
        <w:instrText xml:space="preserve">, 0115, 0116, 0126 </w:instrText>
      </w:r>
      <w:r w:rsidR="00F26D58">
        <w:rPr>
          <w:i/>
        </w:rPr>
        <w:instrText>e</w:instrText>
      </w:r>
      <w:bookmarkStart w:id="3" w:name="_GoBack"/>
      <w:bookmarkEnd w:id="3"/>
      <w:r w:rsidR="00F26D58">
        <w:rPr>
          <w:i/>
        </w:rPr>
        <w:instrText xml:space="preserve"> 0129</w:instrText>
      </w:r>
      <w:r w:rsidRPr="00983D2C">
        <w:rPr>
          <w:i/>
        </w:rPr>
        <w:instrText>/2024</w:instrText>
      </w:r>
      <w:bookmarkEnd w:id="2"/>
      <w:r w:rsidRPr="00983D2C">
        <w:rPr>
          <w:i/>
        </w:rPr>
        <w:instrText xml:space="preserve">)"\l3 \n&gt; \* MERGEFORMAT </w:instrText>
      </w:r>
      <w:r w:rsidRPr="00983D2C">
        <w:rPr>
          <w:i/>
        </w:rPr>
        <w:fldChar w:fldCharType="end"/>
      </w:r>
    </w:p>
    <w:p w:rsidR="007D1B2C" w:rsidRPr="00983D2C" w:rsidRDefault="007D1B2C" w:rsidP="007D1B2C">
      <w:pPr>
        <w:rPr>
          <w:vanish/>
        </w:rPr>
      </w:pPr>
      <w:bookmarkStart w:id="4" w:name="PE"/>
      <w:r w:rsidRPr="00983D2C">
        <w:rPr>
          <w:vanish/>
        </w:rPr>
        <w:t>PE756.852</w:t>
      </w:r>
      <w:bookmarkEnd w:id="4"/>
    </w:p>
    <w:p w:rsidR="007D1B2C" w:rsidRPr="00983D2C" w:rsidRDefault="007D1B2C" w:rsidP="007D1B2C">
      <w:pPr>
        <w:pStyle w:val="ATHeading3"/>
      </w:pPr>
      <w:bookmarkStart w:id="5" w:name="Sujet"/>
      <w:r w:rsidRPr="00983D2C">
        <w:t>Risoluzione del Parlamento europeo dell'8 febbraio 2024 sulla nuova ondata di arresti di massa di attivisti dell'opposizione e dei loro familiari in Bielorussia</w:t>
      </w:r>
      <w:bookmarkEnd w:id="5"/>
      <w:r w:rsidRPr="00983D2C">
        <w:t xml:space="preserve"> </w:t>
      </w:r>
      <w:bookmarkStart w:id="6" w:name="References"/>
      <w:r w:rsidRPr="00983D2C">
        <w:t>(2024/2550(RSP))</w:t>
      </w:r>
      <w:bookmarkEnd w:id="6"/>
    </w:p>
    <w:p w:rsidR="007C5974" w:rsidRPr="00983D2C" w:rsidRDefault="007C5974" w:rsidP="00E44951">
      <w:pPr>
        <w:tabs>
          <w:tab w:val="left" w:pos="284"/>
          <w:tab w:val="left" w:pos="426"/>
        </w:tabs>
        <w:spacing w:before="360" w:after="240"/>
        <w:rPr>
          <w:i/>
          <w:iCs/>
        </w:rPr>
      </w:pPr>
      <w:bookmarkStart w:id="7" w:name="TextBodyBegin"/>
      <w:bookmarkEnd w:id="7"/>
      <w:r w:rsidRPr="00983D2C">
        <w:rPr>
          <w:i/>
        </w:rPr>
        <w:t>Il Parlamento europeo,</w:t>
      </w:r>
    </w:p>
    <w:p w:rsidR="007C5974" w:rsidRPr="00983D2C" w:rsidRDefault="007C5974" w:rsidP="00E44951">
      <w:pPr>
        <w:widowControl/>
        <w:tabs>
          <w:tab w:val="left" w:pos="2977"/>
        </w:tabs>
        <w:autoSpaceDE w:val="0"/>
        <w:autoSpaceDN w:val="0"/>
        <w:adjustRightInd w:val="0"/>
        <w:spacing w:after="120"/>
        <w:ind w:left="567" w:hanging="567"/>
      </w:pPr>
      <w:r w:rsidRPr="00983D2C">
        <w:t>–</w:t>
      </w:r>
      <w:r w:rsidRPr="00983D2C">
        <w:tab/>
        <w:t>viste le sue precedenti risoluzioni sulla Bielorussia,</w:t>
      </w:r>
    </w:p>
    <w:p w:rsidR="007C5974" w:rsidRPr="00983D2C" w:rsidRDefault="007C5974" w:rsidP="00E44951">
      <w:pPr>
        <w:widowControl/>
        <w:tabs>
          <w:tab w:val="left" w:pos="2835"/>
          <w:tab w:val="left" w:pos="4962"/>
        </w:tabs>
        <w:autoSpaceDE w:val="0"/>
        <w:autoSpaceDN w:val="0"/>
        <w:adjustRightInd w:val="0"/>
        <w:spacing w:after="120"/>
        <w:ind w:left="567" w:hanging="567"/>
      </w:pPr>
      <w:r w:rsidRPr="00983D2C">
        <w:t>–</w:t>
      </w:r>
      <w:r w:rsidRPr="00983D2C">
        <w:tab/>
        <w:t>visti l'articolo 144, paragrafo 5, e l'articolo 132, paragrafo 4, del suo regolamento,</w:t>
      </w:r>
    </w:p>
    <w:p w:rsidR="007C5974" w:rsidRPr="00983D2C" w:rsidRDefault="007C5974" w:rsidP="00E44951">
      <w:pPr>
        <w:spacing w:before="240" w:after="240"/>
        <w:ind w:left="568" w:hanging="568"/>
        <w:rPr>
          <w:b/>
          <w:color w:val="212121"/>
        </w:rPr>
      </w:pPr>
      <w:r w:rsidRPr="00983D2C">
        <w:rPr>
          <w:color w:val="212121"/>
        </w:rPr>
        <w:t>A.</w:t>
      </w:r>
      <w:r w:rsidRPr="00983D2C">
        <w:rPr>
          <w:color w:val="212121"/>
        </w:rPr>
        <w:tab/>
        <w:t>considerando che nel gennaio 2024 la commissione di sicurezza nazionale bielorussa (KGB) si è resa responsabile di incursioni, interrogatori e detenzioni che hanno coinvolto oltre 200 familiari di attuali ed ex prigionieri politici nonché beneficiari dell'iniziativa "</w:t>
      </w:r>
      <w:proofErr w:type="spellStart"/>
      <w:r w:rsidRPr="00983D2C">
        <w:rPr>
          <w:color w:val="212121"/>
        </w:rPr>
        <w:t>INeedHelpBY</w:t>
      </w:r>
      <w:proofErr w:type="spellEnd"/>
      <w:r w:rsidRPr="00983D2C">
        <w:rPr>
          <w:color w:val="212121"/>
        </w:rPr>
        <w:t xml:space="preserve">", accusati di "estremismo"; </w:t>
      </w:r>
      <w:r w:rsidRPr="00983D2C">
        <w:t xml:space="preserve">che la maggioranza di queste persone è costituita da madri e mogli di prigionieri politici, tra cui figurano Marina </w:t>
      </w:r>
      <w:proofErr w:type="spellStart"/>
      <w:r w:rsidRPr="00983D2C">
        <w:t>Adamovich</w:t>
      </w:r>
      <w:proofErr w:type="spellEnd"/>
      <w:r w:rsidRPr="00983D2C">
        <w:t xml:space="preserve">, moglie di </w:t>
      </w:r>
      <w:proofErr w:type="spellStart"/>
      <w:r w:rsidRPr="00983D2C">
        <w:t>Mikalai</w:t>
      </w:r>
      <w:proofErr w:type="spellEnd"/>
      <w:r w:rsidRPr="00983D2C">
        <w:t xml:space="preserve"> </w:t>
      </w:r>
      <w:proofErr w:type="spellStart"/>
      <w:r w:rsidRPr="00983D2C">
        <w:t>Statkevich</w:t>
      </w:r>
      <w:proofErr w:type="spellEnd"/>
      <w:r w:rsidRPr="00983D2C">
        <w:t xml:space="preserve">, </w:t>
      </w:r>
      <w:proofErr w:type="spellStart"/>
      <w:r w:rsidRPr="00983D2C">
        <w:t>Tatsiana</w:t>
      </w:r>
      <w:proofErr w:type="spellEnd"/>
      <w:r w:rsidRPr="00983D2C">
        <w:t xml:space="preserve"> </w:t>
      </w:r>
      <w:proofErr w:type="spellStart"/>
      <w:r w:rsidRPr="00983D2C">
        <w:t>Seviarynets</w:t>
      </w:r>
      <w:proofErr w:type="spellEnd"/>
      <w:r w:rsidRPr="00983D2C">
        <w:t xml:space="preserve">, madre di Pavel </w:t>
      </w:r>
      <w:proofErr w:type="spellStart"/>
      <w:r w:rsidRPr="00983D2C">
        <w:t>Seviarynets</w:t>
      </w:r>
      <w:proofErr w:type="spellEnd"/>
      <w:r w:rsidRPr="00983D2C">
        <w:t xml:space="preserve">, e Daria </w:t>
      </w:r>
      <w:proofErr w:type="spellStart"/>
      <w:r w:rsidRPr="00983D2C">
        <w:t>Losik</w:t>
      </w:r>
      <w:proofErr w:type="spellEnd"/>
      <w:r w:rsidRPr="00983D2C">
        <w:t xml:space="preserve">, arrestata precedentemente, moglie di </w:t>
      </w:r>
      <w:proofErr w:type="spellStart"/>
      <w:r w:rsidRPr="00983D2C">
        <w:t>Ihar</w:t>
      </w:r>
      <w:proofErr w:type="spellEnd"/>
      <w:r w:rsidRPr="00983D2C">
        <w:t xml:space="preserve"> </w:t>
      </w:r>
      <w:proofErr w:type="spellStart"/>
      <w:r w:rsidRPr="00983D2C">
        <w:t>Losik</w:t>
      </w:r>
      <w:proofErr w:type="spellEnd"/>
      <w:r w:rsidRPr="00983D2C">
        <w:t>;</w:t>
      </w:r>
    </w:p>
    <w:p w:rsidR="007C5974" w:rsidRPr="00983D2C" w:rsidRDefault="007C5974" w:rsidP="00E44951">
      <w:pPr>
        <w:spacing w:before="240" w:after="240"/>
        <w:ind w:left="568" w:hanging="568"/>
        <w:rPr>
          <w:b/>
          <w:color w:val="212121"/>
        </w:rPr>
      </w:pPr>
      <w:r w:rsidRPr="00983D2C">
        <w:t>B.</w:t>
      </w:r>
      <w:r w:rsidRPr="00983D2C">
        <w:tab/>
        <w:t xml:space="preserve">che sono state mosse ulteriori accuse nell'ambito di procedimenti giudiziari in contumacia nei confronti di 20 analisti politici, giornalisti e sociologi etichettati come "analisti di </w:t>
      </w:r>
      <w:proofErr w:type="spellStart"/>
      <w:r w:rsidRPr="00983D2C">
        <w:t>Tsikhanouskaya</w:t>
      </w:r>
      <w:proofErr w:type="spellEnd"/>
      <w:r w:rsidRPr="00983D2C">
        <w:t>", i quali rischiano la confisca dei beni e la revoca della cittadinanza in caso di condanna;</w:t>
      </w:r>
    </w:p>
    <w:p w:rsidR="007C5974" w:rsidRPr="00983D2C" w:rsidRDefault="007C5974" w:rsidP="00E44951">
      <w:pPr>
        <w:spacing w:after="240"/>
        <w:ind w:left="568" w:hanging="568"/>
        <w:rPr>
          <w:b/>
          <w:color w:val="1E1E1F"/>
        </w:rPr>
      </w:pPr>
      <w:r w:rsidRPr="00983D2C">
        <w:rPr>
          <w:color w:val="212121"/>
        </w:rPr>
        <w:t>C.</w:t>
      </w:r>
      <w:r w:rsidRPr="00983D2C">
        <w:rPr>
          <w:color w:val="212121"/>
        </w:rPr>
        <w:tab/>
        <w:t xml:space="preserve">che i prigionieri politici, compresi i leader di partito </w:t>
      </w:r>
      <w:proofErr w:type="spellStart"/>
      <w:r w:rsidRPr="00983D2C">
        <w:rPr>
          <w:color w:val="212121"/>
        </w:rPr>
        <w:t>Mikalai</w:t>
      </w:r>
      <w:proofErr w:type="spellEnd"/>
      <w:r w:rsidRPr="00983D2C">
        <w:rPr>
          <w:color w:val="212121"/>
        </w:rPr>
        <w:t xml:space="preserve"> </w:t>
      </w:r>
      <w:proofErr w:type="spellStart"/>
      <w:r w:rsidRPr="00983D2C">
        <w:rPr>
          <w:color w:val="212121"/>
        </w:rPr>
        <w:t>Kazlou</w:t>
      </w:r>
      <w:proofErr w:type="spellEnd"/>
      <w:r w:rsidRPr="00983D2C">
        <w:rPr>
          <w:color w:val="212121"/>
        </w:rPr>
        <w:t xml:space="preserve">, </w:t>
      </w:r>
      <w:proofErr w:type="spellStart"/>
      <w:r w:rsidRPr="00983D2C">
        <w:rPr>
          <w:color w:val="212121"/>
        </w:rPr>
        <w:t>Ryhor</w:t>
      </w:r>
      <w:proofErr w:type="spellEnd"/>
      <w:r w:rsidRPr="00983D2C">
        <w:rPr>
          <w:color w:val="212121"/>
        </w:rPr>
        <w:t xml:space="preserve"> </w:t>
      </w:r>
      <w:proofErr w:type="spellStart"/>
      <w:r w:rsidRPr="00983D2C">
        <w:rPr>
          <w:color w:val="212121"/>
        </w:rPr>
        <w:t>Kastusiou</w:t>
      </w:r>
      <w:proofErr w:type="spellEnd"/>
      <w:r w:rsidRPr="00983D2C">
        <w:rPr>
          <w:color w:val="212121"/>
        </w:rPr>
        <w:t xml:space="preserve">, </w:t>
      </w:r>
      <w:proofErr w:type="spellStart"/>
      <w:r w:rsidRPr="00983D2C">
        <w:rPr>
          <w:color w:val="212121"/>
        </w:rPr>
        <w:t>Mikalai</w:t>
      </w:r>
      <w:proofErr w:type="spellEnd"/>
      <w:r w:rsidRPr="00983D2C">
        <w:rPr>
          <w:color w:val="212121"/>
        </w:rPr>
        <w:t xml:space="preserve"> </w:t>
      </w:r>
      <w:proofErr w:type="spellStart"/>
      <w:r w:rsidRPr="00983D2C">
        <w:rPr>
          <w:color w:val="212121"/>
        </w:rPr>
        <w:t>Statkevich</w:t>
      </w:r>
      <w:proofErr w:type="spellEnd"/>
      <w:r w:rsidRPr="00983D2C">
        <w:rPr>
          <w:color w:val="212121"/>
        </w:rPr>
        <w:t xml:space="preserve"> e Pavel </w:t>
      </w:r>
      <w:proofErr w:type="spellStart"/>
      <w:r w:rsidRPr="00983D2C">
        <w:rPr>
          <w:color w:val="212121"/>
        </w:rPr>
        <w:t>Seviarynets</w:t>
      </w:r>
      <w:proofErr w:type="spellEnd"/>
      <w:r w:rsidRPr="00983D2C">
        <w:rPr>
          <w:color w:val="212121"/>
        </w:rPr>
        <w:t>, sono sottoposti a isolamento, tortura, lavoro forzato e che viene loro negata l'assistenza medica;</w:t>
      </w:r>
    </w:p>
    <w:p w:rsidR="007C5974" w:rsidRPr="00983D2C" w:rsidRDefault="007C5974" w:rsidP="00E44951">
      <w:pPr>
        <w:ind w:left="568" w:hanging="568"/>
        <w:rPr>
          <w:b/>
          <w:iCs/>
        </w:rPr>
      </w:pPr>
      <w:r w:rsidRPr="00983D2C">
        <w:t>D.</w:t>
      </w:r>
      <w:r w:rsidRPr="00983D2C">
        <w:tab/>
        <w:t>che l'episodio più recente di repressione è avvenuto prima delle "elezioni" parlamentari e locali del 25 febbraio</w:t>
      </w:r>
      <w:r w:rsidR="00E44951" w:rsidRPr="00983D2C">
        <w:t xml:space="preserve"> 2024</w:t>
      </w:r>
      <w:r w:rsidRPr="00983D2C">
        <w:t>; che la "legge sui partiti politici" del 2023 sta impedendo ai partiti democratici di opposizione di partecipare alle elezioni;</w:t>
      </w:r>
    </w:p>
    <w:p w:rsidR="007C5974" w:rsidRPr="00983D2C" w:rsidRDefault="007C5974" w:rsidP="00E44951">
      <w:pPr>
        <w:pStyle w:val="NormalWeb"/>
        <w:ind w:left="567" w:hanging="567"/>
      </w:pPr>
      <w:r w:rsidRPr="00983D2C">
        <w:t>1.</w:t>
      </w:r>
      <w:r w:rsidRPr="00983D2C">
        <w:tab/>
        <w:t>condanna fermamente la recente ondata di arresti di massa in Bielorussia ed esorta il regime illegittimo di Lukashenko a porre fine alla repressione, in particolare a qualsiasi persecuzione basata sul genere, e ricorda al regime di rispettare i suoi obblighi internazionali;</w:t>
      </w:r>
    </w:p>
    <w:p w:rsidR="007C5974" w:rsidRPr="00983D2C" w:rsidRDefault="007C5974" w:rsidP="00E44951">
      <w:pPr>
        <w:pStyle w:val="NormalWeb"/>
        <w:ind w:left="567" w:hanging="567"/>
        <w:rPr>
          <w:b/>
          <w:color w:val="212121"/>
        </w:rPr>
      </w:pPr>
      <w:r w:rsidRPr="00983D2C">
        <w:lastRenderedPageBreak/>
        <w:t>2.</w:t>
      </w:r>
      <w:r w:rsidRPr="00983D2C">
        <w:tab/>
        <w:t xml:space="preserve">chiede il rilascio immediato e incondizionato di tutti gli oltre 1 400 prigionieri politici, nonché il rilascio dei loro familiari e delle persone detenute arbitrariamente, e il risarcimento a loro dovuto, esigendo che nel contempo siano pienamente ripristinati i loro diritti; </w:t>
      </w:r>
    </w:p>
    <w:p w:rsidR="007C5974" w:rsidRPr="00983D2C" w:rsidRDefault="007C5974" w:rsidP="00E44951">
      <w:pPr>
        <w:pStyle w:val="NormalWeb"/>
        <w:ind w:left="567" w:hanging="567"/>
        <w:rPr>
          <w:b/>
        </w:rPr>
      </w:pPr>
      <w:r w:rsidRPr="00983D2C">
        <w:t>3.</w:t>
      </w:r>
      <w:r w:rsidRPr="00983D2C">
        <w:tab/>
        <w:t xml:space="preserve">ribadisce la sua posizione sulla mancanza di trasparenza, libertà ed equità in vista delle "elezioni" parlamentari e locali in Bielorussia e invita l'UE, i suoi Stati membri e la comunità internazionale a non riconoscerne i risultati; </w:t>
      </w:r>
    </w:p>
    <w:p w:rsidR="007C5974" w:rsidRPr="00983D2C" w:rsidRDefault="007C5974" w:rsidP="00E44951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ind w:left="567" w:hanging="567"/>
        <w:rPr>
          <w:b/>
        </w:rPr>
      </w:pPr>
      <w:r w:rsidRPr="00983D2C">
        <w:t>4.</w:t>
      </w:r>
      <w:r w:rsidRPr="00983D2C">
        <w:tab/>
        <w:t>invita il VP/AR e il Consiglio a rispondere imponendo sanzioni più severe al regime di Lukashenko, anche nei confronti di beni per la cui produzione si è ricorso al lavoro forzato imposto ai prigionieri politici, sanzioni finanziarie più severe nonché sanzioni nei confronti delle persone responsabili di gravi violazioni dei diritti umani, compresi i funzionari di alto livello e i membri delle forze di sicurezza; invita a ridurre ulteriormente la presenza diplomatica della Bielorussia nell'UE, a continuare a sostenere le vittime del regime attraverso strumenti speciali che consentano loro di ottenere visti e permessi di soggiorno dell'Unione e ad affrontare i casi di apolidia;</w:t>
      </w:r>
    </w:p>
    <w:p w:rsidR="007C5974" w:rsidRPr="00983D2C" w:rsidRDefault="007C5974" w:rsidP="00E44951">
      <w:pPr>
        <w:pStyle w:val="NormalWeb"/>
        <w:ind w:left="567" w:hanging="567"/>
        <w:rPr>
          <w:rFonts w:eastAsiaTheme="minorHAnsi"/>
          <w:b/>
          <w:bCs/>
          <w:color w:val="212121"/>
        </w:rPr>
      </w:pPr>
      <w:r w:rsidRPr="00983D2C">
        <w:t>5.</w:t>
      </w:r>
      <w:r w:rsidRPr="00983D2C">
        <w:tab/>
        <w:t>invita la Commissione e gli Stati membri a sostenere ulteriormente la documentazione relativa alle violazioni dei diritti umani in Bielorussia, ad appoggiare la trasformazione dell'esame della situazione dei diritti umani in Bielorussia da parte dell'Ufficio dell'Alto Commissario per i diritti umani (OHCHR) in un meccanismo investigativo pienamente indipendente, a difendere il mandato della relatrice speciale delle Nazioni Unite sui diritti umani in Bielorussia e a promuovere l'assunzione di responsabilità mediante la giurisdizione extraterritoriale e universale;</w:t>
      </w:r>
    </w:p>
    <w:p w:rsidR="007C5974" w:rsidRPr="00983D2C" w:rsidRDefault="007C5974" w:rsidP="00E44951">
      <w:pPr>
        <w:pStyle w:val="NormalWeb"/>
        <w:tabs>
          <w:tab w:val="num" w:pos="2804"/>
        </w:tabs>
        <w:ind w:left="567" w:hanging="567"/>
        <w:rPr>
          <w:b/>
        </w:rPr>
      </w:pPr>
      <w:r w:rsidRPr="00983D2C">
        <w:t>6.</w:t>
      </w:r>
      <w:r w:rsidRPr="00983D2C">
        <w:tab/>
        <w:t>ribadisce la sua solidarietà al popolo bielorusso e il suo sostegno alle legittime aspirazioni del paese a un futuro democratico ed europeo e mantiene il suo impegno a lavorare instancabilmente con le forze democratiche, la società civile e i media indipendenti a favore del popolo bielorusso;</w:t>
      </w:r>
    </w:p>
    <w:p w:rsidR="00E365E1" w:rsidRPr="00983D2C" w:rsidRDefault="007C5974" w:rsidP="00E44951">
      <w:pPr>
        <w:widowControl/>
        <w:ind w:left="567" w:hanging="567"/>
      </w:pPr>
      <w:r w:rsidRPr="00983D2C">
        <w:t>7.</w:t>
      </w:r>
      <w:r w:rsidRPr="00983D2C">
        <w:tab/>
      </w:r>
      <w:r w:rsidRPr="00983D2C">
        <w:rPr>
          <w:szCs w:val="24"/>
          <w:lang w:eastAsia="fr-FR"/>
        </w:rPr>
        <w:t>in</w:t>
      </w:r>
      <w:r w:rsidRPr="00983D2C">
        <w:t>carica la sua Presidente di trasmettere la presente risoluzione al Consiglio, alla Commissione, al VP/AR, agli Stati membri, ai rappresentanti delle forze democratiche bielorusse, alle autorità bielorusse de facto, alle Nazioni Unite e all'OSCE.</w:t>
      </w:r>
      <w:bookmarkStart w:id="8" w:name="TextBodyEnd"/>
      <w:bookmarkEnd w:id="8"/>
    </w:p>
    <w:sectPr w:rsidR="00E365E1" w:rsidRPr="00983D2C" w:rsidSect="00E82A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B2C" w:rsidRPr="00E82A61" w:rsidRDefault="007D1B2C">
      <w:r w:rsidRPr="00E82A61">
        <w:separator/>
      </w:r>
    </w:p>
  </w:endnote>
  <w:endnote w:type="continuationSeparator" w:id="0">
    <w:p w:rsidR="007D1B2C" w:rsidRPr="00E82A61" w:rsidRDefault="007D1B2C">
      <w:r w:rsidRPr="00E82A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2A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2A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2A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B2C" w:rsidRPr="00E82A61" w:rsidRDefault="007D1B2C">
      <w:r w:rsidRPr="00E82A61">
        <w:separator/>
      </w:r>
    </w:p>
  </w:footnote>
  <w:footnote w:type="continuationSeparator" w:id="0">
    <w:p w:rsidR="007D1B2C" w:rsidRPr="00E82A61" w:rsidRDefault="007D1B2C">
      <w:r w:rsidRPr="00E82A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2A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2A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2A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/2024"/>
    <w:docVar w:name="dvlangue" w:val="IT"/>
    <w:docVar w:name="dvnumam" w:val="0"/>
    <w:docVar w:name="dvpe" w:val="756.852"/>
    <w:docVar w:name="dvtitre" w:val="Risoluzione del Parlamento europeo dell'8 febbraio 2024 sulla nuova ondata di arresti di massa di attivisti dell'opposizione e dei loro familiari in Bielorussia(2024/2550(RSP))"/>
  </w:docVars>
  <w:rsids>
    <w:rsidRoot w:val="007D1B2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974"/>
    <w:rsid w:val="007D1690"/>
    <w:rsid w:val="007D1B2C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D2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951"/>
    <w:rsid w:val="00E820A4"/>
    <w:rsid w:val="00E82A61"/>
    <w:rsid w:val="00EB006A"/>
    <w:rsid w:val="00EB4772"/>
    <w:rsid w:val="00ED169E"/>
    <w:rsid w:val="00ED4235"/>
    <w:rsid w:val="00F04346"/>
    <w:rsid w:val="00F075DC"/>
    <w:rsid w:val="00F149E9"/>
    <w:rsid w:val="00F26D5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64FE6"/>
  <w15:chartTrackingRefBased/>
  <w15:docId w15:val="{93705A49-204B-49D4-918D-173A7942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NormalWeb">
    <w:name w:val="Normal (Web)"/>
    <w:basedOn w:val="Normal"/>
    <w:uiPriority w:val="99"/>
    <w:unhideWhenUsed/>
    <w:rsid w:val="007C5974"/>
    <w:pPr>
      <w:widowControl/>
      <w:spacing w:before="100" w:beforeAutospacing="1" w:after="100" w:afterAutospacing="1"/>
    </w:pPr>
    <w:rPr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78CBF-254A-4F38-B408-17D03C759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646</Words>
  <Characters>3913</Characters>
  <Application>Microsoft Office Word</Application>
  <DocSecurity>0</DocSecurity>
  <Lines>144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ARossi-C_STO.</dc:creator>
  <cp:keywords/>
  <cp:lastModifiedBy>ARossi-C_STO.</cp:lastModifiedBy>
  <cp:revision>2</cp:revision>
  <cp:lastPrinted>2004-11-19T15:42:00Z</cp:lastPrinted>
  <dcterms:created xsi:type="dcterms:W3CDTF">2024-02-08T13:27:00Z</dcterms:created>
  <dcterms:modified xsi:type="dcterms:W3CDTF">2024-02-08T13:27:00Z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B9-0110/2024</vt:lpwstr>
  </property>
  <property fmtid="{D5CDD505-2E9C-101B-9397-08002B2CF9AE}" pid="4" name="&lt;Type&gt;">
    <vt:lpwstr>RR</vt:lpwstr>
  </property>
</Properties>
</file>