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53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53D9" w:rsidRDefault="00BC1BB6" w:rsidP="0010095E">
            <w:pPr>
              <w:pStyle w:val="EPName"/>
            </w:pPr>
            <w:r w:rsidRPr="00C953D9">
              <w:t>Parlament Europejski</w:t>
            </w:r>
          </w:p>
          <w:p w:rsidR="00751A4A" w:rsidRPr="00C953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53D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53D9" w:rsidRDefault="00187494" w:rsidP="0010095E">
            <w:pPr>
              <w:pStyle w:val="EPLogo"/>
            </w:pPr>
            <w:r w:rsidRPr="00C953D9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53D9" w:rsidRDefault="00D058B8" w:rsidP="004C5D52">
      <w:pPr>
        <w:pStyle w:val="LineTop"/>
      </w:pPr>
    </w:p>
    <w:p w:rsidR="00680577" w:rsidRPr="00C953D9" w:rsidRDefault="00BC1BB6" w:rsidP="00680577">
      <w:pPr>
        <w:pStyle w:val="EPBodyTA1"/>
      </w:pPr>
      <w:r w:rsidRPr="00C953D9">
        <w:t>TEKSTY PRZYJĘTE</w:t>
      </w:r>
    </w:p>
    <w:p w:rsidR="00D058B8" w:rsidRPr="00C953D9" w:rsidRDefault="00D058B8" w:rsidP="00D058B8">
      <w:pPr>
        <w:pStyle w:val="LineBottom"/>
      </w:pPr>
    </w:p>
    <w:p w:rsidR="00BC1BB6" w:rsidRPr="00C953D9" w:rsidRDefault="00BC1BB6" w:rsidP="00BC1BB6">
      <w:pPr>
        <w:pStyle w:val="ATHeading1"/>
      </w:pPr>
      <w:bookmarkStart w:id="0" w:name="TANumber"/>
      <w:r w:rsidRPr="00C953D9">
        <w:t>P9_TA(2024)00</w:t>
      </w:r>
      <w:bookmarkEnd w:id="0"/>
      <w:r w:rsidR="00CB3F72">
        <w:t>70</w:t>
      </w:r>
    </w:p>
    <w:p w:rsidR="00BC1BB6" w:rsidRPr="00C953D9" w:rsidRDefault="00BC1BB6" w:rsidP="00BC1BB6">
      <w:pPr>
        <w:pStyle w:val="ATHeading2"/>
      </w:pPr>
      <w:bookmarkStart w:id="1" w:name="title"/>
      <w:r w:rsidRPr="00C953D9">
        <w:t>Nowa fala masowych aresztowań działaczy opozycji i członków ich rodzin na Białorusi</w:t>
      </w:r>
      <w:bookmarkEnd w:id="1"/>
    </w:p>
    <w:p w:rsidR="00BC1BB6" w:rsidRPr="00C953D9" w:rsidRDefault="00BC1BB6" w:rsidP="00BC1BB6">
      <w:pPr>
        <w:rPr>
          <w:i/>
          <w:vanish/>
        </w:rPr>
      </w:pPr>
      <w:r w:rsidRPr="00C953D9">
        <w:rPr>
          <w:i/>
        </w:rPr>
        <w:fldChar w:fldCharType="begin"/>
      </w:r>
      <w:r w:rsidRPr="00C953D9">
        <w:rPr>
          <w:i/>
        </w:rPr>
        <w:instrText xml:space="preserve"> TC"(</w:instrText>
      </w:r>
      <w:bookmarkStart w:id="2" w:name="DocNumber"/>
      <w:r w:rsidR="00EB194C" w:rsidRPr="004174B1">
        <w:rPr>
          <w:i/>
        </w:rPr>
        <w:instrText>B9-0110</w:instrText>
      </w:r>
      <w:r w:rsidR="00EB194C">
        <w:rPr>
          <w:i/>
        </w:rPr>
        <w:instrText>, 0115, 0116, 0126 and</w:instrText>
      </w:r>
      <w:proofErr w:type="gramStart"/>
      <w:r w:rsidR="00EB194C">
        <w:rPr>
          <w:i/>
        </w:rPr>
        <w:instrText xml:space="preserve"> 0129</w:instrText>
      </w:r>
      <w:r w:rsidR="00EB194C" w:rsidRPr="004174B1">
        <w:rPr>
          <w:i/>
        </w:rPr>
        <w:instrText>/2024</w:instrText>
      </w:r>
      <w:bookmarkEnd w:id="2"/>
      <w:r w:rsidRPr="00C953D9">
        <w:rPr>
          <w:i/>
        </w:rPr>
        <w:instrText>)"\l</w:instrText>
      </w:r>
      <w:proofErr w:type="gramEnd"/>
      <w:r w:rsidRPr="00C953D9">
        <w:rPr>
          <w:i/>
        </w:rPr>
        <w:instrText xml:space="preserve">3 \n&gt; \* MERGEFORMAT </w:instrText>
      </w:r>
      <w:r w:rsidRPr="00C953D9">
        <w:rPr>
          <w:i/>
        </w:rPr>
        <w:fldChar w:fldCharType="end"/>
      </w:r>
    </w:p>
    <w:p w:rsidR="00BC1BB6" w:rsidRPr="00C953D9" w:rsidRDefault="00BC1BB6" w:rsidP="00BC1BB6">
      <w:pPr>
        <w:rPr>
          <w:vanish/>
        </w:rPr>
      </w:pPr>
      <w:bookmarkStart w:id="3" w:name="PE"/>
      <w:r w:rsidRPr="00C953D9">
        <w:rPr>
          <w:vanish/>
        </w:rPr>
        <w:t>PE756.852</w:t>
      </w:r>
      <w:bookmarkEnd w:id="3"/>
    </w:p>
    <w:p w:rsidR="00BC1BB6" w:rsidRPr="00C953D9" w:rsidRDefault="00BC1BB6" w:rsidP="00BC1BB6">
      <w:pPr>
        <w:pStyle w:val="ATHeading3"/>
      </w:pPr>
      <w:bookmarkStart w:id="4" w:name="Sujet"/>
      <w:r w:rsidRPr="00C953D9">
        <w:t xml:space="preserve">Rezolucja Parlamentu Europejskiego z dnia </w:t>
      </w:r>
      <w:r w:rsidR="00EB194C">
        <w:t>8 lutego</w:t>
      </w:r>
      <w:r w:rsidRPr="00C953D9">
        <w:t xml:space="preserve"> 2024 r. w sprawie nowej fali masowych aresztowań działaczy opozycji i członków ich rodzin na Białorusi</w:t>
      </w:r>
      <w:bookmarkEnd w:id="4"/>
      <w:r w:rsidRPr="00C953D9">
        <w:t xml:space="preserve"> </w:t>
      </w:r>
      <w:bookmarkStart w:id="5" w:name="References"/>
      <w:r w:rsidRPr="00C953D9">
        <w:t>(2024/2550(RSP))</w:t>
      </w:r>
      <w:bookmarkEnd w:id="5"/>
    </w:p>
    <w:p w:rsidR="00725F08" w:rsidRPr="00C953D9" w:rsidRDefault="00725F08" w:rsidP="00EB194C">
      <w:pPr>
        <w:tabs>
          <w:tab w:val="left" w:pos="284"/>
          <w:tab w:val="left" w:pos="426"/>
        </w:tabs>
        <w:spacing w:before="480" w:after="120"/>
        <w:jc w:val="both"/>
        <w:rPr>
          <w:i/>
          <w:iCs/>
        </w:rPr>
      </w:pPr>
      <w:bookmarkStart w:id="6" w:name="TextBodyBegin"/>
      <w:bookmarkEnd w:id="6"/>
      <w:r w:rsidRPr="00C953D9">
        <w:rPr>
          <w:i/>
        </w:rPr>
        <w:t>Parlament Europejski,</w:t>
      </w:r>
    </w:p>
    <w:p w:rsidR="00725F08" w:rsidRPr="00C953D9" w:rsidRDefault="00725F08" w:rsidP="00725F08">
      <w:pPr>
        <w:widowControl/>
        <w:numPr>
          <w:ilvl w:val="0"/>
          <w:numId w:val="46"/>
        </w:numPr>
        <w:tabs>
          <w:tab w:val="left" w:pos="426"/>
        </w:tabs>
        <w:autoSpaceDE w:val="0"/>
        <w:autoSpaceDN w:val="0"/>
        <w:adjustRightInd w:val="0"/>
        <w:spacing w:after="240"/>
        <w:ind w:left="408" w:hanging="408"/>
        <w:jc w:val="both"/>
      </w:pPr>
      <w:proofErr w:type="gramStart"/>
      <w:r w:rsidRPr="00C953D9">
        <w:t>uwzględniając</w:t>
      </w:r>
      <w:proofErr w:type="gramEnd"/>
      <w:r w:rsidRPr="00C953D9">
        <w:t xml:space="preserve"> swoje wcześniejsze rezolucje w sprawie Białorusi,</w:t>
      </w:r>
    </w:p>
    <w:p w:rsidR="00725F08" w:rsidRPr="00C953D9" w:rsidRDefault="00725F08" w:rsidP="00725F08">
      <w:pPr>
        <w:widowControl/>
        <w:numPr>
          <w:ilvl w:val="0"/>
          <w:numId w:val="46"/>
        </w:numPr>
        <w:tabs>
          <w:tab w:val="left" w:pos="426"/>
        </w:tabs>
        <w:autoSpaceDE w:val="0"/>
        <w:autoSpaceDN w:val="0"/>
        <w:adjustRightInd w:val="0"/>
        <w:spacing w:after="240"/>
        <w:ind w:left="0" w:firstLine="0"/>
        <w:jc w:val="both"/>
      </w:pPr>
      <w:proofErr w:type="gramStart"/>
      <w:r w:rsidRPr="00C953D9">
        <w:t>uwzględniając</w:t>
      </w:r>
      <w:proofErr w:type="gramEnd"/>
      <w:r w:rsidRPr="00C953D9">
        <w:t xml:space="preserve"> art. 144 ust. 5 i art. 132 ust. 4 Regulaminu,</w:t>
      </w:r>
    </w:p>
    <w:p w:rsidR="00725F08" w:rsidRPr="00C953D9" w:rsidRDefault="00725F08" w:rsidP="00725F08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408" w:hanging="408"/>
        <w:rPr>
          <w:rFonts w:ascii="Times New Roman" w:hAnsi="Times New Roman" w:cs="Times New Roman"/>
          <w:b/>
          <w:color w:val="212121"/>
        </w:rPr>
      </w:pPr>
      <w:proofErr w:type="gramStart"/>
      <w:r w:rsidRPr="00C953D9">
        <w:rPr>
          <w:rFonts w:ascii="Times New Roman" w:hAnsi="Times New Roman"/>
          <w:color w:val="212121"/>
        </w:rPr>
        <w:t>mając</w:t>
      </w:r>
      <w:proofErr w:type="gramEnd"/>
      <w:r w:rsidRPr="00C953D9">
        <w:rPr>
          <w:rFonts w:ascii="Times New Roman" w:hAnsi="Times New Roman"/>
          <w:color w:val="212121"/>
        </w:rPr>
        <w:t xml:space="preserve"> na uwadze, że w styczniu 2024 r. Komitet Bezpieczeństwa Państwowego Białorusi przeprowadził naloty, przesłuchania i zatrzymania wymierzone w ponad 200 członków rodzin obecnych i byłych więźniów politycznych, a także beneficjentów inicjatywy „</w:t>
      </w:r>
      <w:proofErr w:type="spellStart"/>
      <w:r w:rsidRPr="00C953D9">
        <w:rPr>
          <w:rFonts w:ascii="Times New Roman" w:hAnsi="Times New Roman"/>
          <w:color w:val="212121"/>
        </w:rPr>
        <w:t>INeedHelpBY</w:t>
      </w:r>
      <w:proofErr w:type="spellEnd"/>
      <w:r w:rsidRPr="00C953D9">
        <w:rPr>
          <w:rFonts w:ascii="Times New Roman" w:hAnsi="Times New Roman"/>
          <w:color w:val="212121"/>
        </w:rPr>
        <w:t xml:space="preserve">”, którym postawiono zarzuty związane z „ekstremizmem”; </w:t>
      </w:r>
      <w:r w:rsidRPr="00C953D9">
        <w:rPr>
          <w:rFonts w:ascii="Times New Roman" w:hAnsi="Times New Roman"/>
        </w:rPr>
        <w:t xml:space="preserve">mając na uwadze, że większość tych osób stanowią matki i żony więźniów politycznych – to m.in. Marina Adamowicz, żona </w:t>
      </w:r>
      <w:proofErr w:type="spellStart"/>
      <w:r w:rsidRPr="00C953D9">
        <w:rPr>
          <w:rFonts w:ascii="Times New Roman" w:hAnsi="Times New Roman"/>
        </w:rPr>
        <w:t>Mikałaja</w:t>
      </w:r>
      <w:proofErr w:type="spellEnd"/>
      <w:r w:rsidRPr="00C953D9">
        <w:rPr>
          <w:rFonts w:ascii="Times New Roman" w:hAnsi="Times New Roman"/>
        </w:rPr>
        <w:t xml:space="preserve"> Statkiewicza, </w:t>
      </w:r>
      <w:proofErr w:type="spellStart"/>
      <w:r w:rsidRPr="00C953D9">
        <w:rPr>
          <w:rFonts w:ascii="Times New Roman" w:hAnsi="Times New Roman"/>
        </w:rPr>
        <w:t>Tacianna</w:t>
      </w:r>
      <w:proofErr w:type="spellEnd"/>
      <w:r w:rsidRPr="00C953D9">
        <w:rPr>
          <w:rFonts w:ascii="Times New Roman" w:hAnsi="Times New Roman"/>
        </w:rPr>
        <w:t xml:space="preserve"> </w:t>
      </w:r>
      <w:proofErr w:type="spellStart"/>
      <w:r w:rsidRPr="00C953D9">
        <w:rPr>
          <w:rFonts w:ascii="Times New Roman" w:hAnsi="Times New Roman"/>
        </w:rPr>
        <w:t>Siewiaryniec</w:t>
      </w:r>
      <w:proofErr w:type="spellEnd"/>
      <w:r w:rsidRPr="00C953D9">
        <w:rPr>
          <w:rFonts w:ascii="Times New Roman" w:hAnsi="Times New Roman"/>
        </w:rPr>
        <w:t xml:space="preserve">, matka </w:t>
      </w:r>
      <w:proofErr w:type="spellStart"/>
      <w:r w:rsidRPr="00C953D9">
        <w:rPr>
          <w:rFonts w:ascii="Times New Roman" w:hAnsi="Times New Roman"/>
        </w:rPr>
        <w:t>Pawieła</w:t>
      </w:r>
      <w:proofErr w:type="spellEnd"/>
      <w:r w:rsidRPr="00C953D9">
        <w:rPr>
          <w:rFonts w:ascii="Times New Roman" w:hAnsi="Times New Roman"/>
        </w:rPr>
        <w:t xml:space="preserve"> </w:t>
      </w:r>
      <w:proofErr w:type="spellStart"/>
      <w:r w:rsidRPr="00C953D9">
        <w:rPr>
          <w:rFonts w:ascii="Times New Roman" w:hAnsi="Times New Roman"/>
        </w:rPr>
        <w:t>Siewiarynieca</w:t>
      </w:r>
      <w:proofErr w:type="spellEnd"/>
      <w:r w:rsidRPr="00C953D9">
        <w:rPr>
          <w:rFonts w:ascii="Times New Roman" w:hAnsi="Times New Roman"/>
        </w:rPr>
        <w:t xml:space="preserve"> oraz już wcześniej aresztowana </w:t>
      </w:r>
      <w:proofErr w:type="spellStart"/>
      <w:r w:rsidRPr="00C953D9">
        <w:rPr>
          <w:rFonts w:ascii="Times New Roman" w:hAnsi="Times New Roman"/>
        </w:rPr>
        <w:t>Darja</w:t>
      </w:r>
      <w:proofErr w:type="spellEnd"/>
      <w:r w:rsidRPr="00C953D9">
        <w:rPr>
          <w:rFonts w:ascii="Times New Roman" w:hAnsi="Times New Roman"/>
        </w:rPr>
        <w:t xml:space="preserve"> </w:t>
      </w:r>
      <w:proofErr w:type="spellStart"/>
      <w:r w:rsidRPr="00C953D9">
        <w:rPr>
          <w:rFonts w:ascii="Times New Roman" w:hAnsi="Times New Roman"/>
        </w:rPr>
        <w:t>Łoskik</w:t>
      </w:r>
      <w:proofErr w:type="spellEnd"/>
      <w:r w:rsidRPr="00C953D9">
        <w:rPr>
          <w:rFonts w:ascii="Times New Roman" w:hAnsi="Times New Roman"/>
        </w:rPr>
        <w:t xml:space="preserve">, żona </w:t>
      </w:r>
      <w:proofErr w:type="spellStart"/>
      <w:r w:rsidRPr="00C953D9">
        <w:rPr>
          <w:rFonts w:ascii="Times New Roman" w:hAnsi="Times New Roman"/>
        </w:rPr>
        <w:t>Ihara</w:t>
      </w:r>
      <w:proofErr w:type="spellEnd"/>
      <w:r w:rsidRPr="00C953D9">
        <w:rPr>
          <w:rFonts w:ascii="Times New Roman" w:hAnsi="Times New Roman"/>
        </w:rPr>
        <w:t xml:space="preserve"> Łosika;</w:t>
      </w:r>
    </w:p>
    <w:p w:rsidR="00725F08" w:rsidRPr="00C953D9" w:rsidRDefault="00725F08" w:rsidP="00725F08">
      <w:pPr>
        <w:ind w:left="426" w:hanging="426"/>
        <w:rPr>
          <w:color w:val="212121"/>
        </w:rPr>
      </w:pPr>
    </w:p>
    <w:p w:rsidR="00725F08" w:rsidRPr="00C953D9" w:rsidRDefault="00725F08" w:rsidP="00725F08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408" w:hanging="408"/>
        <w:rPr>
          <w:rFonts w:ascii="Times New Roman" w:hAnsi="Times New Roman" w:cs="Times New Roman"/>
          <w:b/>
          <w:color w:val="212121"/>
        </w:rPr>
      </w:pPr>
      <w:proofErr w:type="gramStart"/>
      <w:r w:rsidRPr="00C953D9">
        <w:rPr>
          <w:rFonts w:ascii="Times New Roman" w:hAnsi="Times New Roman"/>
        </w:rPr>
        <w:t>mając</w:t>
      </w:r>
      <w:proofErr w:type="gramEnd"/>
      <w:r w:rsidRPr="00C953D9">
        <w:rPr>
          <w:rFonts w:ascii="Times New Roman" w:hAnsi="Times New Roman"/>
        </w:rPr>
        <w:t xml:space="preserve"> na uwadze, że 20 analitykom politycznym, dziennikarzom i socjologom zwanym „analitykami </w:t>
      </w:r>
      <w:proofErr w:type="spellStart"/>
      <w:r w:rsidRPr="00C953D9">
        <w:rPr>
          <w:rFonts w:ascii="Times New Roman" w:hAnsi="Times New Roman"/>
        </w:rPr>
        <w:t>Cichanouskiej</w:t>
      </w:r>
      <w:proofErr w:type="spellEnd"/>
      <w:r w:rsidRPr="00C953D9">
        <w:rPr>
          <w:rFonts w:ascii="Times New Roman" w:hAnsi="Times New Roman"/>
        </w:rPr>
        <w:t>” postawiono zaocznie dodatkowe zarzuty, a w przypadku skazania grozi im konfiskata mienia i odebranie obywatelstwa;</w:t>
      </w:r>
    </w:p>
    <w:p w:rsidR="00725F08" w:rsidRPr="00C953D9" w:rsidRDefault="00725F08" w:rsidP="00725F08">
      <w:pPr>
        <w:ind w:left="426" w:hanging="426"/>
        <w:rPr>
          <w:color w:val="212121"/>
        </w:rPr>
      </w:pPr>
    </w:p>
    <w:p w:rsidR="00725F08" w:rsidRPr="00C953D9" w:rsidRDefault="00725F08" w:rsidP="00725F08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408" w:hanging="408"/>
        <w:rPr>
          <w:rFonts w:ascii="Times New Roman" w:hAnsi="Times New Roman" w:cs="Times New Roman"/>
          <w:b/>
          <w:color w:val="1E1E1F"/>
        </w:rPr>
      </w:pPr>
      <w:proofErr w:type="gramStart"/>
      <w:r w:rsidRPr="00C953D9">
        <w:rPr>
          <w:rFonts w:ascii="Times New Roman" w:hAnsi="Times New Roman"/>
          <w:color w:val="212121"/>
        </w:rPr>
        <w:t>mając</w:t>
      </w:r>
      <w:proofErr w:type="gramEnd"/>
      <w:r w:rsidRPr="00C953D9">
        <w:rPr>
          <w:rFonts w:ascii="Times New Roman" w:hAnsi="Times New Roman"/>
          <w:color w:val="212121"/>
        </w:rPr>
        <w:t xml:space="preserve"> na uwadze, że więźniowie polityczni, w tym partyjni przywódcy </w:t>
      </w:r>
      <w:proofErr w:type="spellStart"/>
      <w:r w:rsidRPr="00C953D9">
        <w:rPr>
          <w:rFonts w:ascii="Times New Roman" w:hAnsi="Times New Roman"/>
          <w:color w:val="212121"/>
        </w:rPr>
        <w:t>Mikałaj</w:t>
      </w:r>
      <w:proofErr w:type="spellEnd"/>
      <w:r w:rsidRPr="00C953D9">
        <w:rPr>
          <w:rFonts w:ascii="Times New Roman" w:hAnsi="Times New Roman"/>
          <w:color w:val="212121"/>
        </w:rPr>
        <w:t xml:space="preserve"> </w:t>
      </w:r>
      <w:proofErr w:type="spellStart"/>
      <w:r w:rsidRPr="00C953D9">
        <w:rPr>
          <w:rFonts w:ascii="Times New Roman" w:hAnsi="Times New Roman"/>
          <w:color w:val="212121"/>
        </w:rPr>
        <w:t>Kazłou</w:t>
      </w:r>
      <w:proofErr w:type="spellEnd"/>
      <w:r w:rsidRPr="00C953D9">
        <w:rPr>
          <w:rFonts w:ascii="Times New Roman" w:hAnsi="Times New Roman"/>
          <w:color w:val="212121"/>
        </w:rPr>
        <w:t xml:space="preserve">, </w:t>
      </w:r>
      <w:proofErr w:type="spellStart"/>
      <w:r w:rsidRPr="00C953D9">
        <w:rPr>
          <w:rFonts w:ascii="Times New Roman" w:hAnsi="Times New Roman"/>
          <w:color w:val="212121"/>
        </w:rPr>
        <w:t>Ryhor</w:t>
      </w:r>
      <w:proofErr w:type="spellEnd"/>
      <w:r w:rsidRPr="00C953D9">
        <w:rPr>
          <w:rFonts w:ascii="Times New Roman" w:hAnsi="Times New Roman"/>
          <w:color w:val="212121"/>
        </w:rPr>
        <w:t xml:space="preserve"> </w:t>
      </w:r>
      <w:proofErr w:type="spellStart"/>
      <w:r w:rsidRPr="00C953D9">
        <w:rPr>
          <w:rFonts w:ascii="Times New Roman" w:hAnsi="Times New Roman"/>
          <w:color w:val="212121"/>
        </w:rPr>
        <w:t>Kastusiou</w:t>
      </w:r>
      <w:proofErr w:type="spellEnd"/>
      <w:r w:rsidRPr="00C953D9">
        <w:rPr>
          <w:rFonts w:ascii="Times New Roman" w:hAnsi="Times New Roman"/>
          <w:color w:val="212121"/>
        </w:rPr>
        <w:t xml:space="preserve">, </w:t>
      </w:r>
      <w:proofErr w:type="spellStart"/>
      <w:r w:rsidRPr="00C953D9">
        <w:rPr>
          <w:rFonts w:ascii="Times New Roman" w:hAnsi="Times New Roman"/>
          <w:color w:val="212121"/>
        </w:rPr>
        <w:t>Mikałaj</w:t>
      </w:r>
      <w:proofErr w:type="spellEnd"/>
      <w:r w:rsidRPr="00C953D9">
        <w:rPr>
          <w:rFonts w:ascii="Times New Roman" w:hAnsi="Times New Roman"/>
          <w:color w:val="212121"/>
        </w:rPr>
        <w:t xml:space="preserve"> Statkiewicz i </w:t>
      </w:r>
      <w:proofErr w:type="spellStart"/>
      <w:r w:rsidRPr="00C953D9">
        <w:rPr>
          <w:rFonts w:ascii="Times New Roman" w:hAnsi="Times New Roman"/>
          <w:color w:val="212121"/>
        </w:rPr>
        <w:t>Pawieł</w:t>
      </w:r>
      <w:proofErr w:type="spellEnd"/>
      <w:r w:rsidRPr="00C953D9">
        <w:rPr>
          <w:rFonts w:ascii="Times New Roman" w:hAnsi="Times New Roman"/>
          <w:color w:val="212121"/>
        </w:rPr>
        <w:t xml:space="preserve"> </w:t>
      </w:r>
      <w:proofErr w:type="spellStart"/>
      <w:r w:rsidRPr="00C953D9">
        <w:rPr>
          <w:rFonts w:ascii="Times New Roman" w:hAnsi="Times New Roman"/>
          <w:color w:val="212121"/>
        </w:rPr>
        <w:t>Siewiaryniec</w:t>
      </w:r>
      <w:proofErr w:type="spellEnd"/>
      <w:r w:rsidRPr="00C953D9">
        <w:rPr>
          <w:rFonts w:ascii="Times New Roman" w:hAnsi="Times New Roman"/>
          <w:color w:val="212121"/>
        </w:rPr>
        <w:t>, są izolowani, torturowani, a także odmawia im się opieki medycznej i zmusza do pracy;</w:t>
      </w:r>
    </w:p>
    <w:p w:rsidR="00725F08" w:rsidRPr="00C953D9" w:rsidRDefault="00725F08" w:rsidP="00725F08">
      <w:pPr>
        <w:pStyle w:val="ListParagraph"/>
        <w:ind w:left="426" w:hanging="426"/>
        <w:rPr>
          <w:rFonts w:ascii="Times New Roman" w:hAnsi="Times New Roman" w:cs="Times New Roman"/>
          <w:color w:val="212121"/>
        </w:rPr>
      </w:pPr>
    </w:p>
    <w:p w:rsidR="00725F08" w:rsidRPr="00C953D9" w:rsidRDefault="00725F08" w:rsidP="00725F08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408" w:hanging="408"/>
        <w:rPr>
          <w:rFonts w:ascii="Times New Roman" w:hAnsi="Times New Roman" w:cs="Times New Roman"/>
          <w:b/>
          <w:iCs/>
        </w:rPr>
      </w:pPr>
      <w:proofErr w:type="gramStart"/>
      <w:r w:rsidRPr="00C953D9">
        <w:rPr>
          <w:rFonts w:ascii="Times New Roman" w:hAnsi="Times New Roman"/>
        </w:rPr>
        <w:t>mając</w:t>
      </w:r>
      <w:proofErr w:type="gramEnd"/>
      <w:r w:rsidRPr="00C953D9">
        <w:rPr>
          <w:rFonts w:ascii="Times New Roman" w:hAnsi="Times New Roman"/>
        </w:rPr>
        <w:t xml:space="preserve"> na uwadze, że do represji tych dochodzi przed „wyborami” parlamentarnymi i samorządowymi, które mają odbyć się 25 lutego</w:t>
      </w:r>
      <w:r w:rsidR="005D782A">
        <w:rPr>
          <w:rFonts w:ascii="Times New Roman" w:hAnsi="Times New Roman"/>
        </w:rPr>
        <w:t xml:space="preserve"> 2024 r.</w:t>
      </w:r>
      <w:bookmarkStart w:id="7" w:name="_GoBack"/>
      <w:bookmarkEnd w:id="7"/>
      <w:r w:rsidRPr="00C953D9">
        <w:rPr>
          <w:rFonts w:ascii="Times New Roman" w:hAnsi="Times New Roman"/>
        </w:rPr>
        <w:t>; mając na uwadze, że ustawa o partiach politycznych z 2023 r. uniemożliwia demokratycznym partiom opozycyjnym udział w wyborach;</w:t>
      </w:r>
    </w:p>
    <w:p w:rsidR="00725F08" w:rsidRPr="00C953D9" w:rsidRDefault="00725F08" w:rsidP="00725F08">
      <w:pPr>
        <w:pStyle w:val="NormalWeb"/>
        <w:ind w:left="408" w:hanging="408"/>
      </w:pPr>
      <w:r w:rsidRPr="00C953D9">
        <w:t>1.</w:t>
      </w:r>
      <w:r w:rsidRPr="00C953D9">
        <w:tab/>
      </w:r>
      <w:proofErr w:type="gramStart"/>
      <w:r w:rsidRPr="00C953D9">
        <w:t>zdecydowanie</w:t>
      </w:r>
      <w:proofErr w:type="gramEnd"/>
      <w:r w:rsidRPr="00C953D9">
        <w:t xml:space="preserve"> potępia niedawną falę masowych aresztowań na Białorusi i wzywa nielegalny reżim Łukaszenki do zaprzestania represji, zwłaszcza wszelkich prześladowań </w:t>
      </w:r>
      <w:r w:rsidRPr="00C953D9">
        <w:lastRenderedPageBreak/>
        <w:t>ze względu na płeć, oraz przypomina reżimowi o jego zobowiązaniach międzynarodowych;</w:t>
      </w:r>
    </w:p>
    <w:p w:rsidR="00725F08" w:rsidRPr="00C953D9" w:rsidRDefault="00725F08" w:rsidP="00725F08">
      <w:pPr>
        <w:pStyle w:val="NormalWeb"/>
        <w:ind w:left="408" w:hanging="408"/>
        <w:rPr>
          <w:b/>
          <w:color w:val="212121"/>
        </w:rPr>
      </w:pPr>
      <w:r w:rsidRPr="00C953D9">
        <w:t>2.</w:t>
      </w:r>
      <w:r w:rsidRPr="00C953D9">
        <w:tab/>
      </w:r>
      <w:proofErr w:type="gramStart"/>
      <w:r w:rsidRPr="00C953D9">
        <w:t>apeluje</w:t>
      </w:r>
      <w:proofErr w:type="gramEnd"/>
      <w:r w:rsidRPr="00C953D9">
        <w:t xml:space="preserve">, by natychmiastowo i bezwarunkowo uwolnić wszystkich ponad 1,4 tys. więźniów politycznych, a także ich rodziny i arbitralnie zatrzymane osoby, którym należy przywrócić pełne prawa oraz zapewnić odszkodowanie; </w:t>
      </w:r>
    </w:p>
    <w:p w:rsidR="00725F08" w:rsidRPr="00C953D9" w:rsidRDefault="00725F08" w:rsidP="00725F08">
      <w:pPr>
        <w:pStyle w:val="NormalWeb"/>
        <w:ind w:left="408" w:hanging="408"/>
        <w:rPr>
          <w:b/>
        </w:rPr>
      </w:pPr>
      <w:r w:rsidRPr="00C953D9">
        <w:t>3.</w:t>
      </w:r>
      <w:r w:rsidRPr="00C953D9">
        <w:tab/>
      </w:r>
      <w:proofErr w:type="gramStart"/>
      <w:r w:rsidRPr="00C953D9">
        <w:t>przypomina</w:t>
      </w:r>
      <w:proofErr w:type="gramEnd"/>
      <w:r w:rsidRPr="00C953D9">
        <w:t xml:space="preserve"> swoje stanowisko w sprawie braku przejrzystości, wolności i uczciwości przed „wyborami” parlamentarnymi i samorządowymi na Białorusi oraz wzywa UE, jej państwa członkowskie i społeczność międzynarodową, by nie uznawały wyników tych „wyborów”; </w:t>
      </w:r>
    </w:p>
    <w:p w:rsidR="00725F08" w:rsidRPr="00C953D9" w:rsidRDefault="00725F08" w:rsidP="00725F08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ind w:left="408" w:hanging="408"/>
        <w:rPr>
          <w:b/>
        </w:rPr>
      </w:pPr>
      <w:r w:rsidRPr="00C953D9">
        <w:t>4.</w:t>
      </w:r>
      <w:r w:rsidRPr="00C953D9">
        <w:tab/>
      </w:r>
      <w:proofErr w:type="gramStart"/>
      <w:r w:rsidRPr="00C953D9">
        <w:t>wzywa</w:t>
      </w:r>
      <w:proofErr w:type="gramEnd"/>
      <w:r w:rsidRPr="00C953D9">
        <w:t xml:space="preserve"> wiceprzewodniczącego / wysokiego przedstawiciela i Radę do reakcji poprzez nałożenie na reżim Łukaszenki surowszych sankcji, w tym dotyczących towarów wytwarzanych z wykorzystaniem pracy przymusowej więźniów politycznych, surowszych sankcji finansowych i sankcji wobec osób odpowiedzialnych za poważne naruszenia praw człowieka, w tym urzędników wysokiego szczebla i członków sił bezpieczeństwa; apeluje o dalsze ograniczenie obecności dyplomatycznej Białorusi w UE, dalsze wspieranie ofiar reżimu za pomocą specjalnych instrumentów umożliwiających im uzyskanie wiz i dokumentów pobytowych UE oraz zajmowanie się przypadkami bezpaństwowości; </w:t>
      </w:r>
    </w:p>
    <w:p w:rsidR="00725F08" w:rsidRPr="00C953D9" w:rsidRDefault="00725F08" w:rsidP="00725F08">
      <w:pPr>
        <w:pStyle w:val="NormalWeb"/>
        <w:ind w:left="408" w:hanging="408"/>
        <w:rPr>
          <w:rFonts w:eastAsiaTheme="minorHAnsi"/>
          <w:b/>
          <w:bCs/>
          <w:color w:val="212121"/>
        </w:rPr>
      </w:pPr>
      <w:r w:rsidRPr="00C953D9">
        <w:t>5.</w:t>
      </w:r>
      <w:r w:rsidRPr="00C953D9">
        <w:tab/>
      </w:r>
      <w:proofErr w:type="gramStart"/>
      <w:r w:rsidRPr="00C953D9">
        <w:t>wzywa</w:t>
      </w:r>
      <w:proofErr w:type="gramEnd"/>
      <w:r w:rsidRPr="00C953D9">
        <w:t xml:space="preserve"> Komisję i państwa członkowskie, by dalej wspierały dokumentowanie przypadków łamania praw człowieka na Białorusi, ponownie przekształciły analizę OHCHR dotyczącą sytuacji w zakresie praw człowieka na Białorusi w pełni niezależny mechanizm śledczy, utrzymały w mocy mandat specjalnego sprawozdawcy ONZ ds. praw człowieka na Białorusi oraz zwiększały rozliczalność za pośrednictwem jurysdykcji eksterytorialnej i uniwersalnej;</w:t>
      </w:r>
    </w:p>
    <w:p w:rsidR="00725F08" w:rsidRPr="00C953D9" w:rsidRDefault="00725F08" w:rsidP="00725F08">
      <w:pPr>
        <w:pStyle w:val="NormalWeb"/>
        <w:tabs>
          <w:tab w:val="num" w:pos="2804"/>
        </w:tabs>
        <w:ind w:left="408" w:hanging="408"/>
        <w:rPr>
          <w:b/>
        </w:rPr>
      </w:pPr>
      <w:r w:rsidRPr="00C953D9">
        <w:t>6.</w:t>
      </w:r>
      <w:r w:rsidRPr="00C953D9">
        <w:tab/>
      </w:r>
      <w:proofErr w:type="gramStart"/>
      <w:r w:rsidRPr="00C953D9">
        <w:t>ponownie</w:t>
      </w:r>
      <w:proofErr w:type="gramEnd"/>
      <w:r w:rsidRPr="00C953D9">
        <w:t xml:space="preserve"> wyraża solidarność z narodem białoruskim oraz poparcie dla jego uzasadnionych dążeń do demokratycznej i europejskiej przyszłości, a także podtrzymuje swoje zobowiązanie do niestrudzonej współpracy z siłami demokratycznymi, społeczeństwem obywatelskim i niezależnymi mediami, aby przynieść korzyści mieszkańcom Białorusi;</w:t>
      </w:r>
    </w:p>
    <w:p w:rsidR="00725F08" w:rsidRPr="00C953D9" w:rsidRDefault="00725F08" w:rsidP="00725F08">
      <w:pPr>
        <w:widowControl/>
        <w:ind w:left="408" w:hanging="408"/>
      </w:pPr>
      <w:r w:rsidRPr="00C953D9">
        <w:t>7.</w:t>
      </w:r>
      <w:r w:rsidRPr="00C953D9">
        <w:tab/>
      </w:r>
      <w:proofErr w:type="gramStart"/>
      <w:r w:rsidRPr="00C953D9">
        <w:t>zobowiązuje</w:t>
      </w:r>
      <w:proofErr w:type="gramEnd"/>
      <w:r w:rsidRPr="00C953D9">
        <w:t xml:space="preserve"> swoją przewodniczącą do przekazania niniejszej rezolucji Radzie, Komisji, wiceprzewodniczącemu / wysokiemu przedstawicielowi, państwom członkowskim, przedstawicielom białoruskich sił demokratycznych, de facto władzom Białorusi, ONZ i MKCK.</w:t>
      </w:r>
    </w:p>
    <w:p w:rsidR="00E365E1" w:rsidRPr="00C953D9" w:rsidRDefault="00E365E1" w:rsidP="00BC1BB6"/>
    <w:sectPr w:rsidR="00E365E1" w:rsidRPr="00C953D9" w:rsidSect="00C953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BB6" w:rsidRPr="00C953D9" w:rsidRDefault="00BC1BB6">
      <w:r w:rsidRPr="00C953D9">
        <w:separator/>
      </w:r>
    </w:p>
  </w:endnote>
  <w:endnote w:type="continuationSeparator" w:id="0">
    <w:p w:rsidR="00BC1BB6" w:rsidRPr="00C953D9" w:rsidRDefault="00BC1BB6">
      <w:r w:rsidRPr="00C953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3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3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3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BB6" w:rsidRPr="00C953D9" w:rsidRDefault="00BC1BB6">
      <w:r w:rsidRPr="00C953D9">
        <w:separator/>
      </w:r>
    </w:p>
  </w:footnote>
  <w:footnote w:type="continuationSeparator" w:id="0">
    <w:p w:rsidR="00BC1BB6" w:rsidRPr="00C953D9" w:rsidRDefault="00BC1BB6">
      <w:r w:rsidRPr="00C953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3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3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53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099A92A6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10064AD"/>
    <w:multiLevelType w:val="hybridMultilevel"/>
    <w:tmpl w:val="FE6048D0"/>
    <w:lvl w:ilvl="0" w:tplc="A3DA55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/2024"/>
    <w:docVar w:name="dvlangue" w:val="PL"/>
    <w:docVar w:name="dvnumam" w:val="0"/>
    <w:docVar w:name="dvpe" w:val="756.852"/>
    <w:docVar w:name="dvtitre" w:val="Rezolucja Parlamentu Europejskiego z dnia  2024 r. w sprawie nowej fali masowych aresztowań działaczy opozycji i członków ich rodzin na Białorusi(2024/2550(RSP))"/>
  </w:docVars>
  <w:rsids>
    <w:rsidRoot w:val="00BC1B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82A"/>
    <w:rsid w:val="006037C0"/>
    <w:rsid w:val="006631B6"/>
    <w:rsid w:val="00680577"/>
    <w:rsid w:val="006F74FA"/>
    <w:rsid w:val="00725F0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BB6"/>
    <w:rsid w:val="00BD48FE"/>
    <w:rsid w:val="00BD7BD8"/>
    <w:rsid w:val="00BE6ADC"/>
    <w:rsid w:val="00C05BFE"/>
    <w:rsid w:val="00C23CD4"/>
    <w:rsid w:val="00C61C0C"/>
    <w:rsid w:val="00C941CB"/>
    <w:rsid w:val="00C953D9"/>
    <w:rsid w:val="00CB3F7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94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D15CB"/>
  <w15:chartTrackingRefBased/>
  <w15:docId w15:val="{44FB0593-B990-4BE2-A94A-E7208971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725F08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25F08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3C161-26B5-42CD-BD47-E5C72EE72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3714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Lukas Lemcke</cp:lastModifiedBy>
  <cp:revision>2</cp:revision>
  <cp:lastPrinted>2004-11-19T15:42:00Z</cp:lastPrinted>
  <dcterms:created xsi:type="dcterms:W3CDTF">2024-06-14T08:05:00Z</dcterms:created>
  <dcterms:modified xsi:type="dcterms:W3CDTF">2024-06-14T08:05:00Z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B9-0110/2024</vt:lpwstr>
  </property>
  <property fmtid="{D5CDD505-2E9C-101B-9397-08002B2CF9AE}" pid="4" name="&lt;Type&gt;">
    <vt:lpwstr>RR</vt:lpwstr>
  </property>
</Properties>
</file>