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D37" w:rsidTr="0010095E">
        <w:trPr>
          <w:trHeight w:hRule="exact" w:val="1418"/>
        </w:trPr>
        <w:tc>
          <w:tcPr>
            <w:tcW w:w="6804" w:type="dxa"/>
            <w:shd w:val="clear" w:color="auto" w:fill="auto"/>
            <w:vAlign w:val="center"/>
          </w:tcPr>
          <w:p w:rsidR="00751A4A" w:rsidRPr="000B5D37" w:rsidRDefault="00D21622" w:rsidP="0010095E">
            <w:pPr>
              <w:pStyle w:val="EPName"/>
            </w:pPr>
            <w:r w:rsidRPr="000B5D37">
              <w:t>Europaparlamentet</w:t>
            </w:r>
          </w:p>
          <w:p w:rsidR="00751A4A" w:rsidRPr="000B5D37" w:rsidRDefault="00817416" w:rsidP="00756632">
            <w:pPr>
              <w:pStyle w:val="EPTerm"/>
              <w:rPr>
                <w:rStyle w:val="HideTWBExt"/>
                <w:noProof w:val="0"/>
                <w:vanish w:val="0"/>
                <w:color w:val="auto"/>
              </w:rPr>
            </w:pPr>
            <w:r w:rsidRPr="000B5D37">
              <w:t>2019-2024</w:t>
            </w:r>
          </w:p>
        </w:tc>
        <w:tc>
          <w:tcPr>
            <w:tcW w:w="2268" w:type="dxa"/>
            <w:shd w:val="clear" w:color="auto" w:fill="auto"/>
          </w:tcPr>
          <w:p w:rsidR="00751A4A" w:rsidRPr="000B5D37" w:rsidRDefault="00187494" w:rsidP="0010095E">
            <w:pPr>
              <w:pStyle w:val="EPLogo"/>
            </w:pPr>
            <w:r w:rsidRPr="000B5D3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D37" w:rsidRDefault="00D058B8" w:rsidP="004C5D52">
      <w:pPr>
        <w:pStyle w:val="LineTop"/>
      </w:pPr>
    </w:p>
    <w:p w:rsidR="00680577" w:rsidRPr="000B5D37" w:rsidRDefault="00D21622" w:rsidP="00680577">
      <w:pPr>
        <w:pStyle w:val="EPBodyTA1"/>
      </w:pPr>
      <w:r w:rsidRPr="000B5D37">
        <w:t>ANTAGNA TEXTER</w:t>
      </w:r>
    </w:p>
    <w:p w:rsidR="00D058B8" w:rsidRPr="000B5D37" w:rsidRDefault="00D058B8" w:rsidP="00D058B8">
      <w:pPr>
        <w:pStyle w:val="LineBottom"/>
      </w:pPr>
    </w:p>
    <w:p w:rsidR="00D21622" w:rsidRPr="000B5D37" w:rsidRDefault="00D21622" w:rsidP="00D21622">
      <w:pPr>
        <w:pStyle w:val="ATHeading1"/>
      </w:pPr>
      <w:bookmarkStart w:id="0" w:name="TANumber"/>
      <w:r w:rsidRPr="000B5D37">
        <w:t>P9_TA(2024)00</w:t>
      </w:r>
      <w:r w:rsidR="000B5D37" w:rsidRPr="000B5D37">
        <w:t>70</w:t>
      </w:r>
      <w:bookmarkEnd w:id="0"/>
    </w:p>
    <w:p w:rsidR="00D21622" w:rsidRPr="000B5D37" w:rsidRDefault="00D21622" w:rsidP="00D21622">
      <w:pPr>
        <w:pStyle w:val="ATHeading2"/>
      </w:pPr>
      <w:bookmarkStart w:id="1" w:name="title"/>
      <w:r w:rsidRPr="000B5D37">
        <w:t>Ny våg av massarresteringar av oppositionsaktivister och deras</w:t>
      </w:r>
      <w:r w:rsidR="00B968AC" w:rsidRPr="000B5D37">
        <w:t xml:space="preserve"> </w:t>
      </w:r>
      <w:r w:rsidRPr="000B5D37">
        <w:t>familjemedlemmar i Belarus</w:t>
      </w:r>
      <w:bookmarkEnd w:id="1"/>
    </w:p>
    <w:p w:rsidR="00D21622" w:rsidRPr="000B5D37" w:rsidRDefault="00D21622" w:rsidP="00D21622">
      <w:pPr>
        <w:rPr>
          <w:i/>
          <w:vanish/>
        </w:rPr>
      </w:pPr>
      <w:r w:rsidRPr="000B5D37">
        <w:rPr>
          <w:i/>
        </w:rPr>
        <w:fldChar w:fldCharType="begin"/>
      </w:r>
      <w:r w:rsidRPr="000B5D37">
        <w:rPr>
          <w:i/>
        </w:rPr>
        <w:instrText xml:space="preserve"> TC"(</w:instrText>
      </w:r>
      <w:bookmarkStart w:id="2" w:name="DocNumber"/>
      <w:r w:rsidRPr="000B5D37">
        <w:rPr>
          <w:i/>
        </w:rPr>
        <w:instrText>B9-0110</w:instrText>
      </w:r>
      <w:r w:rsidR="007C6262" w:rsidRPr="000B5D37">
        <w:rPr>
          <w:i/>
        </w:rPr>
        <w:instrText>, 0115, 0116, 0126 och 0129</w:instrText>
      </w:r>
      <w:bookmarkStart w:id="3" w:name="_GoBack"/>
      <w:bookmarkEnd w:id="3"/>
      <w:r w:rsidRPr="000B5D37">
        <w:rPr>
          <w:i/>
        </w:rPr>
        <w:instrText>/2024</w:instrText>
      </w:r>
      <w:bookmarkEnd w:id="2"/>
      <w:r w:rsidRPr="000B5D37">
        <w:rPr>
          <w:i/>
        </w:rPr>
        <w:instrText xml:space="preserve">)"\l3 \n&gt; \* MERGEFORMAT </w:instrText>
      </w:r>
      <w:r w:rsidRPr="000B5D37">
        <w:rPr>
          <w:i/>
        </w:rPr>
        <w:fldChar w:fldCharType="end"/>
      </w:r>
    </w:p>
    <w:p w:rsidR="00D21622" w:rsidRPr="000B5D37" w:rsidRDefault="00D21622" w:rsidP="00D21622">
      <w:pPr>
        <w:rPr>
          <w:vanish/>
        </w:rPr>
      </w:pPr>
      <w:bookmarkStart w:id="4" w:name="PE"/>
      <w:r w:rsidRPr="000B5D37">
        <w:rPr>
          <w:vanish/>
        </w:rPr>
        <w:t>PE756.852</w:t>
      </w:r>
      <w:bookmarkEnd w:id="4"/>
    </w:p>
    <w:p w:rsidR="00D21622" w:rsidRPr="000B5D37" w:rsidRDefault="00D21622" w:rsidP="00D21622">
      <w:pPr>
        <w:pStyle w:val="ATHeading3"/>
      </w:pPr>
      <w:bookmarkStart w:id="5" w:name="Sujet"/>
      <w:r w:rsidRPr="000B5D37">
        <w:t xml:space="preserve">Europaparlamentets resolution av den </w:t>
      </w:r>
      <w:r w:rsidR="00B968AC" w:rsidRPr="000B5D37">
        <w:t>8 februari</w:t>
      </w:r>
      <w:r w:rsidRPr="000B5D37">
        <w:t xml:space="preserve"> 2024 om den nya vågen av massarresteringar av oppositionsaktivister och deras familjemedlemmar i Belarus</w:t>
      </w:r>
      <w:bookmarkEnd w:id="5"/>
      <w:r w:rsidRPr="000B5D37">
        <w:t xml:space="preserve"> </w:t>
      </w:r>
      <w:bookmarkStart w:id="6" w:name="References"/>
      <w:r w:rsidRPr="000B5D37">
        <w:t>(2024/2550(RSP))</w:t>
      </w:r>
      <w:bookmarkEnd w:id="6"/>
    </w:p>
    <w:p w:rsidR="006B7D76" w:rsidRPr="000B5D37" w:rsidRDefault="006B7D76" w:rsidP="006B7D76">
      <w:pPr>
        <w:tabs>
          <w:tab w:val="left" w:pos="284"/>
          <w:tab w:val="left" w:pos="426"/>
        </w:tabs>
        <w:jc w:val="both"/>
        <w:rPr>
          <w:i/>
          <w:iCs/>
        </w:rPr>
      </w:pPr>
    </w:p>
    <w:p w:rsidR="006B7D76" w:rsidRPr="000B5D37" w:rsidRDefault="006B7D76" w:rsidP="006B7D76">
      <w:pPr>
        <w:tabs>
          <w:tab w:val="left" w:pos="284"/>
          <w:tab w:val="left" w:pos="426"/>
        </w:tabs>
        <w:jc w:val="both"/>
        <w:rPr>
          <w:i/>
          <w:iCs/>
        </w:rPr>
      </w:pPr>
      <w:r w:rsidRPr="000B5D37">
        <w:rPr>
          <w:i/>
        </w:rPr>
        <w:t>Europaparlamentet utfärdar denna resolution</w:t>
      </w:r>
    </w:p>
    <w:p w:rsidR="006B7D76" w:rsidRPr="000B5D37" w:rsidRDefault="006B7D76" w:rsidP="006B7D76">
      <w:pPr>
        <w:tabs>
          <w:tab w:val="left" w:pos="284"/>
          <w:tab w:val="left" w:pos="426"/>
        </w:tabs>
        <w:jc w:val="both"/>
        <w:rPr>
          <w:i/>
          <w:iCs/>
        </w:rPr>
      </w:pPr>
    </w:p>
    <w:p w:rsidR="006B7D76" w:rsidRPr="000B5D37" w:rsidRDefault="006B7D76" w:rsidP="006B7D76">
      <w:pPr>
        <w:widowControl/>
        <w:autoSpaceDE w:val="0"/>
        <w:autoSpaceDN w:val="0"/>
        <w:adjustRightInd w:val="0"/>
        <w:spacing w:after="120"/>
        <w:ind w:left="567" w:hanging="567"/>
        <w:jc w:val="both"/>
      </w:pPr>
      <w:r w:rsidRPr="000B5D37">
        <w:t>–</w:t>
      </w:r>
      <w:r w:rsidRPr="000B5D37">
        <w:tab/>
        <w:t>med beaktande av sina tidigare resolutioner om Belarus,</w:t>
      </w:r>
    </w:p>
    <w:p w:rsidR="006B7D76" w:rsidRPr="000B5D37" w:rsidRDefault="006B7D76" w:rsidP="006B7D76">
      <w:pPr>
        <w:widowControl/>
        <w:autoSpaceDE w:val="0"/>
        <w:autoSpaceDN w:val="0"/>
        <w:adjustRightInd w:val="0"/>
        <w:spacing w:after="240"/>
        <w:ind w:left="567" w:hanging="567"/>
        <w:jc w:val="both"/>
      </w:pPr>
      <w:r w:rsidRPr="000B5D37">
        <w:t>–</w:t>
      </w:r>
      <w:r w:rsidRPr="000B5D37">
        <w:tab/>
        <w:t>med beaktande av artiklarna 144.5 och 132.4 i arbetsordningen, och av följande skäl:</w:t>
      </w:r>
    </w:p>
    <w:p w:rsidR="006B7D76" w:rsidRPr="000B5D37" w:rsidRDefault="006B7D76" w:rsidP="006B7D76">
      <w:pPr>
        <w:pStyle w:val="ListParagraph"/>
        <w:widowControl w:val="0"/>
        <w:numPr>
          <w:ilvl w:val="0"/>
          <w:numId w:val="45"/>
        </w:numPr>
        <w:tabs>
          <w:tab w:val="clear" w:pos="928"/>
        </w:tabs>
        <w:spacing w:after="240"/>
        <w:ind w:left="567" w:hanging="567"/>
        <w:rPr>
          <w:rFonts w:ascii="Times New Roman" w:hAnsi="Times New Roman" w:cs="Times New Roman"/>
          <w:b/>
          <w:color w:val="212121"/>
        </w:rPr>
      </w:pPr>
      <w:r w:rsidRPr="000B5D37">
        <w:rPr>
          <w:rFonts w:ascii="Times New Roman" w:hAnsi="Times New Roman"/>
          <w:color w:val="212121"/>
        </w:rPr>
        <w:t xml:space="preserve">I januari 2024 genomförde den belarusiska statssäkerhetskommittén (KGB) razzior, förhör och frihetsberövanden som avsåg över 200 familjemedlemmar till nuvarande och tidigare politiska fångar samt mottagare av stöd från INeedHelpBY-initiativet till följd av anklagelser om extremism. </w:t>
      </w:r>
      <w:r w:rsidRPr="000B5D37">
        <w:rPr>
          <w:rFonts w:ascii="Times New Roman" w:hAnsi="Times New Roman"/>
        </w:rPr>
        <w:t>Majoriteten är mödrar och makar till politiska fångar, bland annat Marina Adamovitj, maka till Mikalaj Statkevitj, Tatsiana Sevjarynets, mor till Pavel Sevjarynets, och den tidigare arresterade Daria Losik, maka till Ihar Losik.</w:t>
      </w:r>
    </w:p>
    <w:p w:rsidR="006B7D76" w:rsidRPr="000B5D37" w:rsidRDefault="006B7D76" w:rsidP="006B7D76">
      <w:pPr>
        <w:pStyle w:val="ListParagraph"/>
        <w:widowControl w:val="0"/>
        <w:spacing w:after="360"/>
        <w:ind w:left="567"/>
        <w:rPr>
          <w:rFonts w:ascii="Times New Roman" w:hAnsi="Times New Roman" w:cs="Times New Roman"/>
          <w:b/>
          <w:color w:val="212121"/>
        </w:rPr>
      </w:pPr>
    </w:p>
    <w:p w:rsidR="006B7D76" w:rsidRPr="000B5D37" w:rsidRDefault="006B7D76" w:rsidP="006B7D76">
      <w:pPr>
        <w:pStyle w:val="ListParagraph"/>
        <w:widowControl w:val="0"/>
        <w:numPr>
          <w:ilvl w:val="0"/>
          <w:numId w:val="45"/>
        </w:numPr>
        <w:tabs>
          <w:tab w:val="clear" w:pos="928"/>
        </w:tabs>
        <w:ind w:left="567" w:hanging="567"/>
        <w:rPr>
          <w:rFonts w:ascii="Times New Roman" w:hAnsi="Times New Roman" w:cs="Times New Roman"/>
          <w:b/>
          <w:color w:val="212121"/>
        </w:rPr>
      </w:pPr>
      <w:r w:rsidRPr="000B5D37">
        <w:rPr>
          <w:rFonts w:ascii="Times New Roman" w:hAnsi="Times New Roman"/>
        </w:rPr>
        <w:t>Ytterligare anklagelser framfördes i deras frånvaro mot 20 politiska analytiker, journalister och sociologer, de så kallade ”Tsichanouskajas analytiker”, som i händelse av en fällande dom kan få sin egendom konfiskerad och medborgarskap indraget.</w:t>
      </w:r>
    </w:p>
    <w:p w:rsidR="006B7D76" w:rsidRPr="000B5D37" w:rsidRDefault="006B7D76" w:rsidP="006B7D76">
      <w:pPr>
        <w:ind w:left="284" w:hanging="284"/>
        <w:rPr>
          <w:color w:val="212121"/>
        </w:rPr>
      </w:pPr>
    </w:p>
    <w:p w:rsidR="006B7D76" w:rsidRPr="000B5D37" w:rsidRDefault="006B7D76" w:rsidP="006B7D76">
      <w:pPr>
        <w:pStyle w:val="ListParagraph"/>
        <w:widowControl w:val="0"/>
        <w:numPr>
          <w:ilvl w:val="0"/>
          <w:numId w:val="45"/>
        </w:numPr>
        <w:tabs>
          <w:tab w:val="clear" w:pos="928"/>
        </w:tabs>
        <w:ind w:left="567" w:hanging="567"/>
        <w:rPr>
          <w:rFonts w:ascii="Times New Roman" w:hAnsi="Times New Roman" w:cs="Times New Roman"/>
          <w:b/>
          <w:color w:val="1E1E1F"/>
        </w:rPr>
      </w:pPr>
      <w:r w:rsidRPr="000B5D37">
        <w:rPr>
          <w:rFonts w:ascii="Times New Roman" w:hAnsi="Times New Roman"/>
          <w:color w:val="212121"/>
        </w:rPr>
        <w:t>Politiska fångar, däribland partiledarna Mikalaj Kazlou, Ryhor Kastusiou, Mikalaj Statkevitj och Pavel Sevjarynets, utsätts för isolering, tortyr, nekande av sjukvård och tvångsarbete.</w:t>
      </w:r>
    </w:p>
    <w:p w:rsidR="006B7D76" w:rsidRPr="000B5D37" w:rsidRDefault="006B7D76" w:rsidP="006B7D76">
      <w:pPr>
        <w:pStyle w:val="ListParagraph"/>
        <w:ind w:left="284" w:hanging="284"/>
        <w:rPr>
          <w:rFonts w:ascii="Times New Roman" w:hAnsi="Times New Roman" w:cs="Times New Roman"/>
          <w:color w:val="212121"/>
        </w:rPr>
      </w:pPr>
    </w:p>
    <w:p w:rsidR="006B7D76" w:rsidRPr="000B5D37" w:rsidRDefault="006B7D76" w:rsidP="006B7D76">
      <w:pPr>
        <w:pStyle w:val="ListParagraph"/>
        <w:widowControl w:val="0"/>
        <w:numPr>
          <w:ilvl w:val="0"/>
          <w:numId w:val="45"/>
        </w:numPr>
        <w:tabs>
          <w:tab w:val="clear" w:pos="928"/>
        </w:tabs>
        <w:ind w:left="567" w:hanging="567"/>
        <w:rPr>
          <w:rFonts w:ascii="Times New Roman" w:hAnsi="Times New Roman" w:cs="Times New Roman"/>
          <w:b/>
          <w:iCs/>
        </w:rPr>
      </w:pPr>
      <w:r w:rsidRPr="000B5D37">
        <w:rPr>
          <w:rFonts w:ascii="Times New Roman" w:hAnsi="Times New Roman"/>
        </w:rPr>
        <w:t>De senaste tillslagen ägde rum före parlamentsvalet och de lokala ”valen” den 25 februari</w:t>
      </w:r>
      <w:r w:rsidR="00B968AC" w:rsidRPr="000B5D37">
        <w:rPr>
          <w:rFonts w:ascii="Times New Roman" w:hAnsi="Times New Roman"/>
        </w:rPr>
        <w:t xml:space="preserve"> 2024</w:t>
      </w:r>
      <w:r w:rsidRPr="000B5D37">
        <w:rPr>
          <w:rFonts w:ascii="Times New Roman" w:hAnsi="Times New Roman"/>
        </w:rPr>
        <w:t>. Lagen om politiska partier från 2023 hindrar demokratiska oppositionspartier från att delta i valen.</w:t>
      </w:r>
    </w:p>
    <w:p w:rsidR="006B7D76" w:rsidRPr="000B5D37" w:rsidRDefault="006B7D76" w:rsidP="006B7D76">
      <w:pPr>
        <w:pStyle w:val="NormalWeb"/>
        <w:ind w:left="567" w:hanging="567"/>
      </w:pPr>
      <w:r w:rsidRPr="000B5D37">
        <w:t>1.</w:t>
      </w:r>
      <w:r w:rsidRPr="000B5D37">
        <w:tab/>
        <w:t>Europaparlamentet fördömer skarpt den senaste vågen av massarresteringar i Belarus och uppmanar med kraft den illegitima Lukasjenkaregimen att upphöra med förtrycket, särskilt all könsrelaterad förföljelse, och påminner regimen om dess internationella förpliktelser.</w:t>
      </w:r>
    </w:p>
    <w:p w:rsidR="006B7D76" w:rsidRPr="000B5D37" w:rsidRDefault="006B7D76" w:rsidP="006B7D76">
      <w:pPr>
        <w:pStyle w:val="NormalWeb"/>
        <w:ind w:left="567" w:hanging="567"/>
        <w:rPr>
          <w:b/>
          <w:color w:val="212121"/>
        </w:rPr>
      </w:pPr>
      <w:r w:rsidRPr="000B5D37">
        <w:lastRenderedPageBreak/>
        <w:t>2.</w:t>
      </w:r>
      <w:r w:rsidRPr="000B5D37">
        <w:tab/>
        <w:t xml:space="preserve">Europaparlamentet efterlyser ett omedelbart och villkorslöst frigivande av och ersättning för alla över 1 400 politiska fångar, liksom deras familjer och godtyckligt frihetsberövade personer, samtidigt som deras fulla rättigheter återställs. </w:t>
      </w:r>
    </w:p>
    <w:p w:rsidR="006B7D76" w:rsidRPr="000B5D37" w:rsidRDefault="006B7D76" w:rsidP="006B7D76">
      <w:pPr>
        <w:pStyle w:val="NormalWeb"/>
        <w:ind w:left="567" w:hanging="567"/>
        <w:rPr>
          <w:b/>
        </w:rPr>
      </w:pPr>
      <w:r w:rsidRPr="000B5D37">
        <w:t>3.</w:t>
      </w:r>
      <w:r w:rsidRPr="000B5D37">
        <w:tab/>
        <w:t xml:space="preserve">Europaparlamentet upprepar sin ståndpunkt om bristen på transparens, frihet och rättvisa inför parlamentsvalet och de lokala ”valen” i Belarus och uppmanar EU, dess medlemsstater och det internationella samfundet att inte erkänna resultaten. </w:t>
      </w:r>
    </w:p>
    <w:p w:rsidR="006B7D76" w:rsidRPr="000B5D37" w:rsidRDefault="006B7D76" w:rsidP="006B7D76">
      <w:pPr>
        <w:pBdr>
          <w:top w:val="nil"/>
          <w:left w:val="nil"/>
          <w:bottom w:val="nil"/>
          <w:right w:val="nil"/>
          <w:between w:val="nil"/>
        </w:pBdr>
        <w:spacing w:before="100" w:beforeAutospacing="1" w:after="100" w:afterAutospacing="1"/>
        <w:ind w:left="567" w:hanging="567"/>
        <w:rPr>
          <w:b/>
        </w:rPr>
      </w:pPr>
      <w:r w:rsidRPr="000B5D37">
        <w:t>4.</w:t>
      </w:r>
      <w:r w:rsidRPr="000B5D37">
        <w:tab/>
        <w:t xml:space="preserve">Europaparlamentet uppmanar vice ordföranden/den höga representanten och rådet att reagera genom att införa strängare sanktioner mot Lukasjenkaregimen, bland annat mot varor som inbegriper tvångsarbete som utförs av politiska fångar, strängare ekonomiska sanktioner och sanktioner mot personer som är ansvariga för allvarliga kränkningar av de mänskliga rättigheterna, inbegripet högt uppsatta tjänstemän och medlemmar av säkerhetsstyrkorna. Parlamentet efterlyser en ytterligare minskning av Belarus diplomatiska närvaro i EU, fortsatt stöd till regimens offer genom särskilda instrument som gör det möjligt för dem att erhålla EU-visum och uppehållstillstånd och som tar itu med fall av statslöshet. </w:t>
      </w:r>
    </w:p>
    <w:p w:rsidR="006B7D76" w:rsidRPr="000B5D37" w:rsidRDefault="006B7D76" w:rsidP="006B7D76">
      <w:pPr>
        <w:pStyle w:val="NormalWeb"/>
        <w:ind w:left="567" w:hanging="567"/>
        <w:rPr>
          <w:rFonts w:eastAsiaTheme="minorHAnsi"/>
          <w:b/>
          <w:bCs/>
          <w:color w:val="212121"/>
        </w:rPr>
      </w:pPr>
      <w:r w:rsidRPr="000B5D37">
        <w:t>5.</w:t>
      </w:r>
      <w:r w:rsidRPr="000B5D37">
        <w:tab/>
        <w:t>Europaparlamentet uppmanar kommissionen och medlemsstaterna att ytterligare stödja dokumentationen av kränkningar av de mänskliga rättigheterna i Belarus, ställa sig bakom omvandlingen av den undersökning av människorättssituationen i Belarus som utförs av kontoret för FN:s högkommissarie för mänskliga rättigheter till en helt oberoende utredningsmekanism, upprätthålla mandatet för FN:s särskilda rapportör om mänskliga rättigheter i Belarus och stärka ansvarsskyldigheten genom extraterritoriell och universell jurisdiktion.</w:t>
      </w:r>
    </w:p>
    <w:p w:rsidR="006B7D76" w:rsidRPr="000B5D37" w:rsidRDefault="006B7D76" w:rsidP="006B7D76">
      <w:pPr>
        <w:pStyle w:val="NormalWeb"/>
        <w:tabs>
          <w:tab w:val="num" w:pos="2804"/>
        </w:tabs>
        <w:ind w:left="567" w:hanging="567"/>
        <w:rPr>
          <w:b/>
        </w:rPr>
      </w:pPr>
      <w:r w:rsidRPr="000B5D37">
        <w:t>6.</w:t>
      </w:r>
      <w:r w:rsidRPr="000B5D37">
        <w:tab/>
        <w:t>Europaparlamentet upprepar sin solidaritet med det belarusiska folket och sitt stöd för dess legitima strävanden efter en demokratisk och europeisk framtid och står fast vid sitt åtagande att outtröttligt arbeta med demokratiska krafter, det civila samhället och oberoende medier för det belarusiska folket.</w:t>
      </w:r>
    </w:p>
    <w:p w:rsidR="006B7D76" w:rsidRPr="007E4479" w:rsidRDefault="006B7D76" w:rsidP="006B7D76">
      <w:pPr>
        <w:widowControl/>
        <w:ind w:left="567" w:hanging="567"/>
      </w:pPr>
      <w:r w:rsidRPr="000B5D37">
        <w:t>7.</w:t>
      </w:r>
      <w:r w:rsidRPr="000B5D37">
        <w:tab/>
        <w:t>Europaparlamentet uppdrar åt talmannen att översända denna resolution till rådet, kommissionen, unionens höga representant för utrikes frågor och säkerhetspolitik/vice ordföranden för kommissionen, medlemsstaterna, företrädarna för de belarusiska demokratiska krafterna, de facto-myndigheterna i Belarus, FN och Internationella OSSE.</w:t>
      </w:r>
    </w:p>
    <w:p w:rsidR="00E365E1" w:rsidRPr="007E4479" w:rsidRDefault="00E365E1" w:rsidP="00D21622">
      <w:bookmarkStart w:id="7" w:name="TextBodyEnd"/>
      <w:bookmarkEnd w:id="7"/>
    </w:p>
    <w:sectPr w:rsidR="00E365E1" w:rsidRPr="007E4479" w:rsidSect="007E44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622" w:rsidRPr="007E4479" w:rsidRDefault="00D21622">
      <w:r w:rsidRPr="007E4479">
        <w:separator/>
      </w:r>
    </w:p>
  </w:endnote>
  <w:endnote w:type="continuationSeparator" w:id="0">
    <w:p w:rsidR="00D21622" w:rsidRPr="007E4479" w:rsidRDefault="00D21622">
      <w:r w:rsidRPr="007E44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622" w:rsidRPr="007E4479" w:rsidRDefault="00D21622">
      <w:r w:rsidRPr="007E4479">
        <w:separator/>
      </w:r>
    </w:p>
  </w:footnote>
  <w:footnote w:type="continuationSeparator" w:id="0">
    <w:p w:rsidR="00D21622" w:rsidRPr="007E4479" w:rsidRDefault="00D21622">
      <w:r w:rsidRPr="007E44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4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EE686E"/>
    <w:multiLevelType w:val="hybridMultilevel"/>
    <w:tmpl w:val="CB1C7C7C"/>
    <w:lvl w:ilvl="0" w:tplc="42AAF17E">
      <w:start w:val="1"/>
      <w:numFmt w:val="upperLetter"/>
      <w:lvlText w:val="%1."/>
      <w:lvlJc w:val="left"/>
      <w:pPr>
        <w:tabs>
          <w:tab w:val="num" w:pos="928"/>
        </w:tabs>
        <w:ind w:left="928" w:hanging="360"/>
      </w:pPr>
      <w:rPr>
        <w:b w:val="0"/>
      </w:rPr>
    </w:lvl>
    <w:lvl w:ilvl="1" w:tplc="0838CD64" w:tentative="1">
      <w:start w:val="1"/>
      <w:numFmt w:val="lowerLetter"/>
      <w:lvlText w:val="%2."/>
      <w:lvlJc w:val="left"/>
      <w:pPr>
        <w:tabs>
          <w:tab w:val="num" w:pos="1648"/>
        </w:tabs>
        <w:ind w:left="1648" w:hanging="360"/>
      </w:pPr>
    </w:lvl>
    <w:lvl w:ilvl="2" w:tplc="FBA0C5B0">
      <w:start w:val="1"/>
      <w:numFmt w:val="lowerRoman"/>
      <w:lvlText w:val="%3."/>
      <w:lvlJc w:val="right"/>
      <w:pPr>
        <w:tabs>
          <w:tab w:val="num" w:pos="2368"/>
        </w:tabs>
        <w:ind w:left="2368" w:hanging="180"/>
      </w:pPr>
    </w:lvl>
    <w:lvl w:ilvl="3" w:tplc="A1165A4E">
      <w:start w:val="1"/>
      <w:numFmt w:val="decimal"/>
      <w:lvlText w:val="%4."/>
      <w:lvlJc w:val="left"/>
      <w:pPr>
        <w:tabs>
          <w:tab w:val="num" w:pos="3088"/>
        </w:tabs>
        <w:ind w:left="3088" w:hanging="360"/>
      </w:pPr>
    </w:lvl>
    <w:lvl w:ilvl="4" w:tplc="FD18160A" w:tentative="1">
      <w:start w:val="1"/>
      <w:numFmt w:val="lowerLetter"/>
      <w:lvlText w:val="%5."/>
      <w:lvlJc w:val="left"/>
      <w:pPr>
        <w:tabs>
          <w:tab w:val="num" w:pos="3808"/>
        </w:tabs>
        <w:ind w:left="3808" w:hanging="360"/>
      </w:pPr>
    </w:lvl>
    <w:lvl w:ilvl="5" w:tplc="EEC6C3F2" w:tentative="1">
      <w:start w:val="1"/>
      <w:numFmt w:val="lowerRoman"/>
      <w:lvlText w:val="%6."/>
      <w:lvlJc w:val="right"/>
      <w:pPr>
        <w:tabs>
          <w:tab w:val="num" w:pos="4528"/>
        </w:tabs>
        <w:ind w:left="4528" w:hanging="180"/>
      </w:pPr>
    </w:lvl>
    <w:lvl w:ilvl="6" w:tplc="B7B40AC6" w:tentative="1">
      <w:start w:val="1"/>
      <w:numFmt w:val="decimal"/>
      <w:lvlText w:val="%7."/>
      <w:lvlJc w:val="left"/>
      <w:pPr>
        <w:tabs>
          <w:tab w:val="num" w:pos="5248"/>
        </w:tabs>
        <w:ind w:left="5248" w:hanging="360"/>
      </w:pPr>
    </w:lvl>
    <w:lvl w:ilvl="7" w:tplc="CE041182" w:tentative="1">
      <w:start w:val="1"/>
      <w:numFmt w:val="lowerLetter"/>
      <w:lvlText w:val="%8."/>
      <w:lvlJc w:val="left"/>
      <w:pPr>
        <w:tabs>
          <w:tab w:val="num" w:pos="5968"/>
        </w:tabs>
        <w:ind w:left="5968" w:hanging="360"/>
      </w:pPr>
    </w:lvl>
    <w:lvl w:ilvl="8" w:tplc="188892A6" w:tentative="1">
      <w:start w:val="1"/>
      <w:numFmt w:val="lowerRoman"/>
      <w:lvlText w:val="%9."/>
      <w:lvlJc w:val="right"/>
      <w:pPr>
        <w:tabs>
          <w:tab w:val="num" w:pos="6688"/>
        </w:tabs>
        <w:ind w:left="668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SV"/>
    <w:docVar w:name="dvnumam" w:val="0"/>
    <w:docVar w:name="dvpe" w:val="756.852"/>
    <w:docVar w:name="dvtitre" w:val="Europaparlamentets resolution av den xx xx 2024 om den nya vågen av massarresteringar av oppositionsaktivister och deras familjemedlemmar i Belarus(2024/2550(RSP))"/>
  </w:docVars>
  <w:rsids>
    <w:rsidRoot w:val="00D21622"/>
    <w:rsid w:val="00002272"/>
    <w:rsid w:val="00064002"/>
    <w:rsid w:val="000677B9"/>
    <w:rsid w:val="000831BA"/>
    <w:rsid w:val="000A42CC"/>
    <w:rsid w:val="000B5D3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D76"/>
    <w:rsid w:val="006F74FA"/>
    <w:rsid w:val="00731ADD"/>
    <w:rsid w:val="00734777"/>
    <w:rsid w:val="00747932"/>
    <w:rsid w:val="00751A4A"/>
    <w:rsid w:val="00756632"/>
    <w:rsid w:val="00762C74"/>
    <w:rsid w:val="00786EC0"/>
    <w:rsid w:val="007C6262"/>
    <w:rsid w:val="007D1690"/>
    <w:rsid w:val="007E22AD"/>
    <w:rsid w:val="007E4479"/>
    <w:rsid w:val="00817416"/>
    <w:rsid w:val="00842779"/>
    <w:rsid w:val="00865F67"/>
    <w:rsid w:val="00881A7B"/>
    <w:rsid w:val="008840E5"/>
    <w:rsid w:val="00887B3E"/>
    <w:rsid w:val="008C2AC6"/>
    <w:rsid w:val="00930C23"/>
    <w:rsid w:val="0093193B"/>
    <w:rsid w:val="009509D8"/>
    <w:rsid w:val="00950B64"/>
    <w:rsid w:val="00981893"/>
    <w:rsid w:val="009F1D49"/>
    <w:rsid w:val="00A1687D"/>
    <w:rsid w:val="00A43E52"/>
    <w:rsid w:val="00A4678D"/>
    <w:rsid w:val="00A778C7"/>
    <w:rsid w:val="00AB441E"/>
    <w:rsid w:val="00AB6293"/>
    <w:rsid w:val="00AE0928"/>
    <w:rsid w:val="00AF3B82"/>
    <w:rsid w:val="00B12E95"/>
    <w:rsid w:val="00B22876"/>
    <w:rsid w:val="00B558F0"/>
    <w:rsid w:val="00B968AC"/>
    <w:rsid w:val="00BD48FE"/>
    <w:rsid w:val="00BD7BD8"/>
    <w:rsid w:val="00BE6ADC"/>
    <w:rsid w:val="00C05BFE"/>
    <w:rsid w:val="00C23CD4"/>
    <w:rsid w:val="00C61C0C"/>
    <w:rsid w:val="00C941CB"/>
    <w:rsid w:val="00CC2357"/>
    <w:rsid w:val="00CF071A"/>
    <w:rsid w:val="00D058B8"/>
    <w:rsid w:val="00D2162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1E4089-02E0-412F-9785-BD2986F8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B7D76"/>
    <w:rPr>
      <w:b/>
    </w:rPr>
  </w:style>
  <w:style w:type="paragraph" w:styleId="NormalWeb">
    <w:name w:val="Normal (Web)"/>
    <w:basedOn w:val="Normal"/>
    <w:uiPriority w:val="99"/>
    <w:unhideWhenUsed/>
    <w:rsid w:val="006B7D76"/>
    <w:pPr>
      <w:widowControl/>
      <w:spacing w:before="100" w:beforeAutospacing="1" w:after="100" w:afterAutospacing="1"/>
    </w:pPr>
    <w:rPr>
      <w:szCs w:val="24"/>
      <w:lang w:eastAsia="fr-FR"/>
    </w:rPr>
  </w:style>
  <w:style w:type="paragraph" w:styleId="ListParagraph">
    <w:name w:val="List Paragraph"/>
    <w:basedOn w:val="Normal"/>
    <w:uiPriority w:val="34"/>
    <w:qFormat/>
    <w:rsid w:val="006B7D76"/>
    <w:pPr>
      <w:widowControl/>
      <w:ind w:left="720"/>
      <w:contextualSpacing/>
    </w:pPr>
    <w:rPr>
      <w:rFonts w:asciiTheme="minorHAnsi" w:eastAsiaTheme="minorHAnsi" w:hAnsiTheme="minorHAnsi" w:cstheme="minorBidi"/>
      <w:szCs w:val="24"/>
      <w:lang w:eastAsia="en-US"/>
    </w:rPr>
  </w:style>
  <w:style w:type="paragraph" w:styleId="BalloonText">
    <w:name w:val="Balloon Text"/>
    <w:basedOn w:val="Normal"/>
    <w:link w:val="BalloonTextChar"/>
    <w:rsid w:val="00B968AC"/>
    <w:rPr>
      <w:rFonts w:ascii="Segoe UI" w:hAnsi="Segoe UI" w:cs="Segoe UI"/>
      <w:sz w:val="18"/>
      <w:szCs w:val="18"/>
    </w:rPr>
  </w:style>
  <w:style w:type="character" w:customStyle="1" w:styleId="BalloonTextChar">
    <w:name w:val="Balloon Text Char"/>
    <w:basedOn w:val="DefaultParagraphFont"/>
    <w:link w:val="BalloonText"/>
    <w:rsid w:val="00B968A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360CE-2D6F-462D-ABF5-BBC6DF3E7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3837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Lukas Lemcke</cp:lastModifiedBy>
  <cp:revision>2</cp:revision>
  <cp:lastPrinted>2004-11-19T15:42:00Z</cp:lastPrinted>
  <dcterms:created xsi:type="dcterms:W3CDTF">2024-06-14T07:49:00Z</dcterms:created>
  <dcterms:modified xsi:type="dcterms:W3CDTF">2024-06-14T07:49:00Z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B9-0110/2024</vt:lpwstr>
  </property>
  <property fmtid="{D5CDD505-2E9C-101B-9397-08002B2CF9AE}" pid="4" name="&lt;Type&gt;">
    <vt:lpwstr>RR</vt:lpwstr>
  </property>
</Properties>
</file>