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736D3" w14:paraId="4F7F70C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74EB492" w14:textId="77777777" w:rsidR="00751A4A" w:rsidRPr="006736D3" w:rsidRDefault="00577371" w:rsidP="0010095E">
            <w:pPr>
              <w:pStyle w:val="EPName"/>
            </w:pPr>
            <w:r w:rsidRPr="006736D3">
              <w:t>Parlamento Europeo</w:t>
            </w:r>
          </w:p>
          <w:p w14:paraId="4171F6F1" w14:textId="77777777" w:rsidR="00751A4A" w:rsidRPr="006736D3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736D3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4C1B5457" w14:textId="77777777" w:rsidR="00751A4A" w:rsidRPr="006736D3" w:rsidRDefault="00187494" w:rsidP="0010095E">
            <w:pPr>
              <w:pStyle w:val="EPLogo"/>
            </w:pPr>
            <w:r w:rsidRPr="006736D3">
              <w:rPr>
                <w:noProof/>
                <w:lang w:val="en-GB"/>
              </w:rPr>
              <w:drawing>
                <wp:inline distT="0" distB="0" distL="0" distR="0" wp14:anchorId="48E16E3F" wp14:editId="0B4F524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717A1EB" w14:textId="77777777" w:rsidR="00D058B8" w:rsidRPr="006736D3" w:rsidRDefault="00D058B8" w:rsidP="004C5D52">
      <w:pPr>
        <w:pStyle w:val="LineTop"/>
      </w:pPr>
    </w:p>
    <w:p w14:paraId="10ABA3B8" w14:textId="77777777" w:rsidR="00680577" w:rsidRPr="006736D3" w:rsidRDefault="00577371" w:rsidP="00680577">
      <w:pPr>
        <w:pStyle w:val="EPBodyTA1"/>
      </w:pPr>
      <w:r w:rsidRPr="006736D3">
        <w:t>TEXTOS APROBADOS</w:t>
      </w:r>
    </w:p>
    <w:p w14:paraId="23B47A2D" w14:textId="77777777" w:rsidR="00D058B8" w:rsidRPr="006736D3" w:rsidRDefault="00D058B8" w:rsidP="00D058B8">
      <w:pPr>
        <w:pStyle w:val="LineBottom"/>
      </w:pPr>
    </w:p>
    <w:p w14:paraId="5DBFC9E4" w14:textId="058E2295" w:rsidR="00577371" w:rsidRPr="006736D3" w:rsidRDefault="00577371" w:rsidP="00577371">
      <w:pPr>
        <w:pStyle w:val="ATHeading1"/>
      </w:pPr>
      <w:bookmarkStart w:id="0" w:name="TANumber"/>
      <w:r w:rsidRPr="006736D3">
        <w:t>P9_TA(2024)00</w:t>
      </w:r>
      <w:r w:rsidR="00E36432">
        <w:t>71</w:t>
      </w:r>
      <w:bookmarkEnd w:id="0"/>
    </w:p>
    <w:p w14:paraId="21B11CDA" w14:textId="77777777" w:rsidR="00577371" w:rsidRPr="006736D3" w:rsidRDefault="00577371" w:rsidP="00577371">
      <w:pPr>
        <w:pStyle w:val="ATHeading2"/>
      </w:pPr>
      <w:bookmarkStart w:id="1" w:name="title"/>
      <w:r w:rsidRPr="006736D3">
        <w:t>Incremento del número de ejecuciones en Irán, en particular el caso de Mohamed Gobadlu</w:t>
      </w:r>
      <w:bookmarkEnd w:id="1"/>
    </w:p>
    <w:p w14:paraId="22AC95B0" w14:textId="77777777" w:rsidR="00577371" w:rsidRPr="006736D3" w:rsidRDefault="00577371" w:rsidP="00577371">
      <w:pPr>
        <w:rPr>
          <w:i/>
          <w:vanish/>
        </w:rPr>
      </w:pPr>
      <w:r w:rsidRPr="006736D3">
        <w:rPr>
          <w:i/>
        </w:rPr>
        <w:fldChar w:fldCharType="begin"/>
      </w:r>
      <w:r w:rsidRPr="006736D3">
        <w:rPr>
          <w:i/>
        </w:rPr>
        <w:instrText xml:space="preserve"> TC"(</w:instrText>
      </w:r>
      <w:bookmarkStart w:id="2" w:name="DocNumber"/>
      <w:r w:rsidRPr="006736D3">
        <w:rPr>
          <w:i/>
        </w:rPr>
        <w:instrText>B9-0102, 0109, 0113, 0120, 0121, 0122/2024</w:instrText>
      </w:r>
      <w:bookmarkEnd w:id="2"/>
      <w:r w:rsidRPr="006736D3">
        <w:rPr>
          <w:i/>
        </w:rPr>
        <w:instrText xml:space="preserve">)"\l3 \n&gt; \* MERGEFORMAT </w:instrText>
      </w:r>
      <w:r w:rsidRPr="006736D3">
        <w:rPr>
          <w:i/>
        </w:rPr>
        <w:fldChar w:fldCharType="end"/>
      </w:r>
    </w:p>
    <w:p w14:paraId="51F74725" w14:textId="77777777" w:rsidR="00577371" w:rsidRPr="006736D3" w:rsidRDefault="00577371" w:rsidP="00577371">
      <w:pPr>
        <w:rPr>
          <w:vanish/>
        </w:rPr>
      </w:pPr>
      <w:bookmarkStart w:id="3" w:name="PE"/>
      <w:r w:rsidRPr="006736D3">
        <w:rPr>
          <w:vanish/>
        </w:rPr>
        <w:t>PE756.844</w:t>
      </w:r>
      <w:bookmarkEnd w:id="3"/>
    </w:p>
    <w:p w14:paraId="167137DA" w14:textId="77777777" w:rsidR="00577371" w:rsidRPr="006736D3" w:rsidRDefault="00577371" w:rsidP="00577371">
      <w:pPr>
        <w:pStyle w:val="ATHeading3"/>
      </w:pPr>
      <w:bookmarkStart w:id="4" w:name="Sujet"/>
      <w:r w:rsidRPr="006736D3">
        <w:t>Resolución del Parlamento Europeo, de 8 de febrero de 2024, sobre el incremento del número de ejecuciones en Irán, en particular el caso de Mohamed Gobadlu</w:t>
      </w:r>
      <w:bookmarkEnd w:id="4"/>
      <w:r w:rsidRPr="006736D3">
        <w:t xml:space="preserve"> </w:t>
      </w:r>
      <w:bookmarkStart w:id="5" w:name="References"/>
      <w:r w:rsidRPr="006736D3">
        <w:t>(2024/2551(RSP))</w:t>
      </w:r>
      <w:bookmarkEnd w:id="5"/>
    </w:p>
    <w:p w14:paraId="10785EC5" w14:textId="77777777" w:rsidR="00577371" w:rsidRPr="006736D3" w:rsidRDefault="00577371" w:rsidP="00577371"/>
    <w:p w14:paraId="74D8645C" w14:textId="77777777" w:rsidR="00692694" w:rsidRPr="006736D3" w:rsidRDefault="00692694" w:rsidP="00914769">
      <w:pPr>
        <w:pStyle w:val="EPComma"/>
        <w:spacing w:before="120"/>
      </w:pPr>
      <w:bookmarkStart w:id="6" w:name="TextBodyBegin"/>
      <w:bookmarkEnd w:id="6"/>
      <w:r w:rsidRPr="006736D3">
        <w:rPr>
          <w:i/>
        </w:rPr>
        <w:t>El Parlamento Europeo</w:t>
      </w:r>
      <w:r w:rsidRPr="006736D3">
        <w:t>,</w:t>
      </w:r>
    </w:p>
    <w:p w14:paraId="2C8F117D" w14:textId="77777777" w:rsidR="00692694" w:rsidRPr="006736D3" w:rsidRDefault="00692694" w:rsidP="00692694">
      <w:pPr>
        <w:pStyle w:val="NormalHanging12a"/>
      </w:pPr>
      <w:r w:rsidRPr="006736D3">
        <w:t>–</w:t>
      </w:r>
      <w:r w:rsidRPr="006736D3">
        <w:tab/>
        <w:t>Vistos el artículo 144, apartado 5, y el artículo 132, apartado 4, de su Reglamento interno,</w:t>
      </w:r>
    </w:p>
    <w:p w14:paraId="079EA9D4" w14:textId="77777777" w:rsidR="00692694" w:rsidRPr="006736D3" w:rsidRDefault="00692694" w:rsidP="00692694">
      <w:pPr>
        <w:pStyle w:val="NormalHanging12a"/>
        <w:rPr>
          <w:shd w:val="clear" w:color="auto" w:fill="FFFFFF"/>
        </w:rPr>
      </w:pPr>
      <w:r w:rsidRPr="006736D3">
        <w:t>A.</w:t>
      </w:r>
      <w:r w:rsidRPr="006736D3">
        <w:tab/>
        <w:t xml:space="preserve">Considerando que más de ochocientas personas fueron ejecutadas en Irán en 2023, la cifra más alta desde 2015, y que más de quinientos manifestantes fueron asesinados como parte de la actual represión del movimiento </w:t>
      </w:r>
      <w:r w:rsidRPr="006736D3">
        <w:rPr>
          <w:shd w:val="clear" w:color="auto" w:fill="FFFFFF"/>
        </w:rPr>
        <w:t>«Mujer, vida, libertad»</w:t>
      </w:r>
      <w:r w:rsidRPr="006736D3">
        <w:t>; que las minorías se ven afectadas de manera desproporcionada;</w:t>
      </w:r>
    </w:p>
    <w:p w14:paraId="6CE5CD14" w14:textId="77777777" w:rsidR="00692694" w:rsidRPr="006736D3" w:rsidRDefault="00692694" w:rsidP="00692694">
      <w:pPr>
        <w:pStyle w:val="NormalHanging12a"/>
      </w:pPr>
      <w:r w:rsidRPr="006736D3">
        <w:t>B.</w:t>
      </w:r>
      <w:r w:rsidRPr="006736D3">
        <w:tab/>
        <w:t>Considerando que el recurso interpuesto por Mohamed Gobadlu, un joven de veintitrés años con discapacidad intelectual, contra su sentencia de muerte fue rechazado el 23 de enero de 2024 y Gobadlu fue ejecutado; que este juicio injusto se vio empañado por acusaciones de tortura y falta de transparencia;</w:t>
      </w:r>
    </w:p>
    <w:p w14:paraId="46F978C4" w14:textId="77777777" w:rsidR="00692694" w:rsidRPr="006736D3" w:rsidRDefault="00692694" w:rsidP="00692694">
      <w:pPr>
        <w:pStyle w:val="NormalHanging12a"/>
        <w:rPr>
          <w14:textOutline w14:w="12700" w14:cap="flat" w14:cmpd="sng" w14:algn="ctr">
            <w14:noFill/>
            <w14:prstDash w14:val="solid"/>
            <w14:miter w14:lim="100000"/>
          </w14:textOutline>
        </w:rPr>
      </w:pPr>
      <w:r w:rsidRPr="006736D3">
        <w:t>C.</w:t>
      </w:r>
      <w:r w:rsidRPr="006736D3">
        <w:tab/>
      </w:r>
      <w:r w:rsidRPr="006736D3">
        <w:rPr>
          <w14:textOutline w14:w="12700" w14:cap="flat" w14:cmpd="sng" w14:algn="ctr">
            <w14:noFill/>
            <w14:prstDash w14:val="solid"/>
            <w14:miter w14:lim="100000"/>
          </w14:textOutline>
        </w:rPr>
        <w:t>Considerando que el Consejo de Derechos Humanos de las Naciones Unidas informó de que en enero de 2024 fueron ejecutadas al menos cincuenta y cuatro personas; que, según Human Rights Watch, al menos once presos, entre ellos Anwar Jezri, Kamran Sheiyeh y Josrow Basharat, están actualmente en peligro inminente de ser ejecutados;</w:t>
      </w:r>
    </w:p>
    <w:p w14:paraId="6B9AE4D2" w14:textId="77777777" w:rsidR="00692694" w:rsidRPr="006736D3" w:rsidRDefault="00692694" w:rsidP="00692694">
      <w:pPr>
        <w:pStyle w:val="NormalHanging12a"/>
        <w:rPr>
          <w:shd w:val="clear" w:color="auto" w:fill="FFFFFF"/>
        </w:rPr>
      </w:pPr>
      <w:r w:rsidRPr="006736D3">
        <w:t>D.</w:t>
      </w:r>
      <w:r w:rsidRPr="006736D3">
        <w:tab/>
      </w:r>
      <w:r w:rsidRPr="006736D3">
        <w:rPr>
          <w:shd w:val="clear" w:color="auto" w:fill="FFFFFF"/>
        </w:rPr>
        <w:t xml:space="preserve">Considerando que Irán </w:t>
      </w:r>
      <w:r w:rsidRPr="006736D3">
        <w:t>utiliza sistemáticamente la diplomacia de los rehenes como herramienta de política exterior</w:t>
      </w:r>
      <w:r w:rsidRPr="006736D3">
        <w:rPr>
          <w:shd w:val="clear" w:color="auto" w:fill="FFFFFF"/>
        </w:rPr>
        <w:t>;</w:t>
      </w:r>
    </w:p>
    <w:p w14:paraId="30494287" w14:textId="77777777" w:rsidR="00692694" w:rsidRPr="006736D3" w:rsidRDefault="00692694" w:rsidP="00692694">
      <w:pPr>
        <w:pStyle w:val="NormalHanging12a"/>
      </w:pPr>
      <w:r w:rsidRPr="006736D3">
        <w:t>1.</w:t>
      </w:r>
      <w:r w:rsidRPr="006736D3">
        <w:tab/>
      </w:r>
      <w:r w:rsidRPr="006736D3">
        <w:rPr>
          <w:shd w:val="clear" w:color="auto" w:fill="FFFFFF"/>
        </w:rPr>
        <w:t xml:space="preserve">Condena enérgicamente las ejecuciones de manifestantes pacíficos en Irán, incluida la de Mohamed Gobadlu; </w:t>
      </w:r>
      <w:r w:rsidR="00E36432" w:rsidRPr="00293A44">
        <w:rPr>
          <w:shd w:val="clear" w:color="auto" w:fill="FFFFFF"/>
        </w:rPr>
        <w:t>lamenta el uso generalizado de la pena de muerte por parte del régimen para aterrorizar a la sociedad y poner fin a la disidencia</w:t>
      </w:r>
      <w:r w:rsidR="00E36432" w:rsidRPr="00E36432">
        <w:rPr>
          <w:shd w:val="clear" w:color="auto" w:fill="FFFFFF"/>
        </w:rPr>
        <w:t xml:space="preserve">; </w:t>
      </w:r>
      <w:r w:rsidR="00E36432" w:rsidRPr="00293A44">
        <w:rPr>
          <w:shd w:val="clear" w:color="auto" w:fill="FFFFFF"/>
        </w:rPr>
        <w:t xml:space="preserve">destaca que se trata de asesinatos sancionados por el Estado; </w:t>
      </w:r>
      <w:r w:rsidRPr="006736D3">
        <w:rPr>
          <w:shd w:val="clear" w:color="auto" w:fill="FFFFFF"/>
        </w:rPr>
        <w:t>insta a Irán a conmutar todas las penas de muerte y a abolir por completo la pena de muerte; reitera su oposición inquebrantable a la pena de muerte en todo momento y cualesquiera que sean las circunstancias;</w:t>
      </w:r>
      <w:r w:rsidRPr="006736D3">
        <w:t xml:space="preserve"> apoya plenamente la campaña de abolición iniciada por la premio nobel de la paz Narges </w:t>
      </w:r>
      <w:r w:rsidRPr="006736D3">
        <w:lastRenderedPageBreak/>
        <w:t>Mohamadi, actualmente en prisión; reitera su apoyo continuo al movimiento iraní «Mujer, vida, libertad»;</w:t>
      </w:r>
    </w:p>
    <w:p w14:paraId="058A00CD" w14:textId="77777777" w:rsidR="00692694" w:rsidRPr="006736D3" w:rsidRDefault="00692694" w:rsidP="00692694">
      <w:pPr>
        <w:pStyle w:val="NormalHanging12a"/>
        <w:rPr>
          <w:shd w:val="clear" w:color="auto" w:fill="FFFFFF"/>
        </w:rPr>
      </w:pPr>
      <w:r w:rsidRPr="006736D3">
        <w:t>2.</w:t>
      </w:r>
      <w:r w:rsidRPr="006736D3">
        <w:tab/>
        <w:t>Pide la liberación incondicional e inmediata de todas las personas que se encuentran arbitrariamente en el corredor de la muerte y de todos los presos de conciencia, incluidos los nacionales de la Unión, en particular Ahmad Reza Yalali y Johan Floderus;</w:t>
      </w:r>
    </w:p>
    <w:p w14:paraId="1A4D5E17" w14:textId="77777777" w:rsidR="00692694" w:rsidRPr="006736D3" w:rsidRDefault="00692694" w:rsidP="00692694">
      <w:pPr>
        <w:pStyle w:val="NormalHanging12a"/>
        <w:rPr>
          <w:shd w:val="clear" w:color="auto" w:fill="FFFFFF"/>
        </w:rPr>
      </w:pPr>
      <w:r w:rsidRPr="006736D3">
        <w:t>3.</w:t>
      </w:r>
      <w:r w:rsidRPr="006736D3">
        <w:tab/>
      </w:r>
      <w:r w:rsidRPr="006736D3">
        <w:rPr>
          <w:shd w:val="clear" w:color="auto" w:fill="FFFFFF"/>
        </w:rPr>
        <w:t>Pide una nueva y audaz estrategia de la Unión para Irán, incluida la lucha contra la diplomacia de los rehenes;</w:t>
      </w:r>
    </w:p>
    <w:p w14:paraId="251F52E0" w14:textId="77777777" w:rsidR="00692694" w:rsidRPr="006736D3" w:rsidRDefault="00692694" w:rsidP="00692694">
      <w:pPr>
        <w:pStyle w:val="NormalHanging12a"/>
      </w:pPr>
      <w:r w:rsidRPr="006736D3">
        <w:t>4.</w:t>
      </w:r>
      <w:r w:rsidRPr="006736D3">
        <w:tab/>
        <w:t>Reitera su llamamiento inquebrantable al Consejo para que designe al Cuerpo de los Guardianes de la Revolución Islámica como organización terrorista e imponga nuevas sanciones de la Unión a los funcionarios y entidades implicados en graves violaciones de los derechos humanos, incluidos el líder supremo, el presidente y el fiscal general;</w:t>
      </w:r>
    </w:p>
    <w:p w14:paraId="3DBB2FE5" w14:textId="77777777" w:rsidR="00692694" w:rsidRPr="006736D3" w:rsidRDefault="00692694" w:rsidP="00692694">
      <w:pPr>
        <w:pStyle w:val="NormalHanging12a"/>
      </w:pPr>
      <w:r w:rsidRPr="006736D3">
        <w:t>5.</w:t>
      </w:r>
      <w:r w:rsidRPr="006736D3">
        <w:tab/>
        <w:t>Reitera su condena de la brutal represión por parte de Irán contra manifestantes pacíficos, en particular mujeres y minorías; pide una investigación imparcial, independiente y transparente de las denuncias de violaciones de los derechos humanos contra manifestantes;</w:t>
      </w:r>
    </w:p>
    <w:p w14:paraId="512939D5" w14:textId="77777777" w:rsidR="00692694" w:rsidRPr="006736D3" w:rsidRDefault="00692694" w:rsidP="00692694">
      <w:pPr>
        <w:pStyle w:val="NormalHanging12a"/>
      </w:pPr>
      <w:r w:rsidRPr="006736D3">
        <w:t>6.</w:t>
      </w:r>
      <w:r w:rsidRPr="006736D3">
        <w:tab/>
        <w:t>Pide a Irán que respete las garantías procesales; condena las terribles condiciones de detención, el uso generalizado de la tortura, incluida la violencia sexual, y la falta de acceso a tratamientos médicos y a representación legal;</w:t>
      </w:r>
    </w:p>
    <w:p w14:paraId="359C91D2" w14:textId="77777777" w:rsidR="00692694" w:rsidRPr="006736D3" w:rsidRDefault="00692694" w:rsidP="00692694">
      <w:pPr>
        <w:pStyle w:val="NormalHanging12a"/>
      </w:pPr>
      <w:r w:rsidRPr="006736D3">
        <w:t>7.</w:t>
      </w:r>
      <w:r w:rsidRPr="006736D3">
        <w:tab/>
        <w:t>Insta a los Estados miembros a que hagan seguimiento de los juicios y organicen visitas a prisiones en las que estén detenidos presos de conciencia, incluidos los nacionales de la Unión, en consonancia con las Directrices de la UE sobre Defensores de los Derechos Humanos;</w:t>
      </w:r>
    </w:p>
    <w:p w14:paraId="5292FF47" w14:textId="77777777" w:rsidR="00692694" w:rsidRPr="006736D3" w:rsidRDefault="00692694" w:rsidP="00692694">
      <w:pPr>
        <w:pStyle w:val="NormalHanging12a"/>
        <w:rPr>
          <w:shd w:val="clear" w:color="auto" w:fill="FFFFFF"/>
        </w:rPr>
      </w:pPr>
      <w:r w:rsidRPr="006736D3">
        <w:t>8.</w:t>
      </w:r>
      <w:r w:rsidRPr="006736D3">
        <w:tab/>
        <w:t>Pide a los Estados miembros que inicien una instrucción penal sobre los funcionarios responsables de violaciones graves de los derechos humanos, también bajo jurisdicción universal;</w:t>
      </w:r>
    </w:p>
    <w:p w14:paraId="6C582666" w14:textId="77777777" w:rsidR="00692694" w:rsidRPr="006736D3" w:rsidRDefault="00692694" w:rsidP="00692694">
      <w:pPr>
        <w:pStyle w:val="NormalHanging12a"/>
        <w:rPr>
          <w:shd w:val="clear" w:color="auto" w:fill="FFFFFF"/>
        </w:rPr>
      </w:pPr>
      <w:r w:rsidRPr="006736D3">
        <w:t>9.</w:t>
      </w:r>
      <w:r w:rsidRPr="006736D3">
        <w:tab/>
        <w:t xml:space="preserve">Insta a la Comisión a que aumente el apoyo técnico y presupuestario a la sociedad civil iraní, con el fin de fortalecerla y lograr que sea independiente; </w:t>
      </w:r>
      <w:r w:rsidRPr="006736D3">
        <w:rPr>
          <w:shd w:val="clear" w:color="auto" w:fill="FFFFFF"/>
        </w:rPr>
        <w:t>pide a los Estados miembros que faciliten visados, den asilo y pro</w:t>
      </w:r>
      <w:bookmarkStart w:id="7" w:name="_GoBack"/>
      <w:bookmarkEnd w:id="7"/>
      <w:r w:rsidRPr="006736D3">
        <w:rPr>
          <w:shd w:val="clear" w:color="auto" w:fill="FFFFFF"/>
        </w:rPr>
        <w:t>porcionen subvenciones de emergencia a quienes necesiten huir de Irán;</w:t>
      </w:r>
    </w:p>
    <w:p w14:paraId="0CC60E92" w14:textId="77777777" w:rsidR="00692694" w:rsidRPr="006736D3" w:rsidRDefault="00692694" w:rsidP="00692694">
      <w:pPr>
        <w:pStyle w:val="NormalHanging12a"/>
        <w:rPr>
          <w:shd w:val="clear" w:color="auto" w:fill="FFFFFF"/>
        </w:rPr>
      </w:pPr>
      <w:r w:rsidRPr="006736D3">
        <w:t>10.</w:t>
      </w:r>
      <w:r w:rsidRPr="006736D3">
        <w:tab/>
      </w:r>
      <w:r w:rsidRPr="006736D3">
        <w:rPr>
          <w:shd w:val="clear" w:color="auto" w:fill="FFFFFF"/>
        </w:rPr>
        <w:t>Pide a los Estados miembros que apoyen la renovación de los mandatos del relator especial de las Naciones Unidas sobre la República Islámica de Irán y de la Misión Internacional Independiente de Investigación en el próximo período de sesiones del Consejo de Derechos Humanos de las Naciones Unidas;</w:t>
      </w:r>
    </w:p>
    <w:p w14:paraId="25299FBA" w14:textId="77777777" w:rsidR="00E365E1" w:rsidRPr="006736D3" w:rsidRDefault="00692694" w:rsidP="00914769">
      <w:pPr>
        <w:pStyle w:val="NormalHanging12a"/>
      </w:pPr>
      <w:r w:rsidRPr="006736D3">
        <w:t>11.</w:t>
      </w:r>
      <w:r w:rsidRPr="006736D3">
        <w:tab/>
      </w:r>
      <w:r w:rsidRPr="006736D3">
        <w:rPr>
          <w:shd w:val="clear" w:color="auto" w:fill="FFFFFF"/>
        </w:rPr>
        <w:t>Encarga a su presidenta que transmita la presente Resolución al Consejo, a la Comisión, al vicepresidente de la Comisión / alto representante de la Unión para Asuntos Exteriores y Política de Seguridad y a las autoridades iraníes.</w:t>
      </w:r>
      <w:bookmarkStart w:id="8" w:name="TextBodyEnd"/>
      <w:bookmarkEnd w:id="8"/>
    </w:p>
    <w:sectPr w:rsidR="00E365E1" w:rsidRPr="006736D3" w:rsidSect="006736D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1A905F" w14:textId="77777777" w:rsidR="00577371" w:rsidRPr="006736D3" w:rsidRDefault="00577371">
      <w:r w:rsidRPr="006736D3">
        <w:separator/>
      </w:r>
    </w:p>
  </w:endnote>
  <w:endnote w:type="continuationSeparator" w:id="0">
    <w:p w14:paraId="3A192DA4" w14:textId="77777777" w:rsidR="00577371" w:rsidRPr="006736D3" w:rsidRDefault="00577371">
      <w:r w:rsidRPr="006736D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3B4D5D" w14:textId="77777777" w:rsidR="00064002" w:rsidRPr="006736D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20FA29" w14:textId="77777777" w:rsidR="00064002" w:rsidRPr="006736D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FFF4EC" w14:textId="77777777" w:rsidR="00064002" w:rsidRPr="006736D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5AB8D7" w14:textId="77777777" w:rsidR="00577371" w:rsidRPr="006736D3" w:rsidRDefault="00577371">
      <w:r w:rsidRPr="006736D3">
        <w:separator/>
      </w:r>
    </w:p>
  </w:footnote>
  <w:footnote w:type="continuationSeparator" w:id="0">
    <w:p w14:paraId="7653D8A5" w14:textId="77777777" w:rsidR="00577371" w:rsidRPr="006736D3" w:rsidRDefault="00577371">
      <w:r w:rsidRPr="006736D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652E1B" w14:textId="77777777" w:rsidR="00064002" w:rsidRPr="006736D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6F1AD7" w14:textId="77777777" w:rsidR="00064002" w:rsidRPr="006736D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513AFB" w14:textId="77777777" w:rsidR="00064002" w:rsidRPr="006736D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102, 0109, 0113, 0120, 0121, 0122/2024"/>
    <w:docVar w:name="dvlangue" w:val="ES"/>
    <w:docVar w:name="dvnumam" w:val="0"/>
    <w:docVar w:name="dvpe" w:val="756.844"/>
    <w:docVar w:name="dvtitre" w:val="Resolución del Parlamento Europeo, de 8 de febrero de 2024, sobre el incremento del número de ejecuciones en Irán, en particular el caso de Mohamed Gobadlu(2024/2551(RSP))"/>
  </w:docVars>
  <w:rsids>
    <w:rsidRoot w:val="00577371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93A44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77371"/>
    <w:rsid w:val="005C2568"/>
    <w:rsid w:val="006037C0"/>
    <w:rsid w:val="006631B6"/>
    <w:rsid w:val="006736D3"/>
    <w:rsid w:val="00680577"/>
    <w:rsid w:val="00692694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14769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432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0D36335"/>
  <w15:chartTrackingRefBased/>
  <w15:docId w15:val="{41AD8AB3-EAA9-4298-84C4-87AAAB9E5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692694"/>
    <w:pPr>
      <w:spacing w:after="240"/>
      <w:ind w:left="567" w:hanging="567"/>
    </w:pPr>
  </w:style>
  <w:style w:type="paragraph" w:customStyle="1" w:styleId="EPComma">
    <w:name w:val="EPComma"/>
    <w:basedOn w:val="Normal"/>
    <w:rsid w:val="00692694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692694"/>
    <w:rPr>
      <w:sz w:val="24"/>
      <w:lang w:val="es-ES_tradnl"/>
    </w:rPr>
  </w:style>
  <w:style w:type="paragraph" w:styleId="BalloonText">
    <w:name w:val="Balloon Text"/>
    <w:basedOn w:val="Normal"/>
    <w:link w:val="BalloonTextChar"/>
    <w:rsid w:val="00E3643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36432"/>
    <w:rPr>
      <w:rFonts w:ascii="Segoe UI" w:hAnsi="Segoe UI" w:cs="Segoe UI"/>
      <w:sz w:val="18"/>
      <w:szCs w:val="18"/>
      <w:lang w:val="es-ES_tradnl"/>
    </w:rPr>
  </w:style>
  <w:style w:type="character" w:styleId="CommentReference">
    <w:name w:val="annotation reference"/>
    <w:basedOn w:val="DefaultParagraphFont"/>
    <w:rsid w:val="00E36432"/>
    <w:rPr>
      <w:sz w:val="16"/>
      <w:szCs w:val="16"/>
    </w:rPr>
  </w:style>
  <w:style w:type="paragraph" w:styleId="CommentText">
    <w:name w:val="annotation text"/>
    <w:basedOn w:val="Normal"/>
    <w:link w:val="CommentTextChar"/>
    <w:rsid w:val="00E36432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E36432"/>
    <w:rPr>
      <w:lang w:val="es-ES_tradnl"/>
    </w:rPr>
  </w:style>
  <w:style w:type="paragraph" w:styleId="CommentSubject">
    <w:name w:val="annotation subject"/>
    <w:basedOn w:val="CommentText"/>
    <w:next w:val="CommentText"/>
    <w:link w:val="CommentSubjectChar"/>
    <w:rsid w:val="00E3643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36432"/>
    <w:rPr>
      <w:b/>
      <w:bCs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8522D0-2D71-40F6-BBDA-5251114A43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744</Words>
  <Characters>4066</Characters>
  <Application>Microsoft Office Word</Application>
  <DocSecurity>0</DocSecurity>
  <Lines>156</Lines>
  <Paragraphs>100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Rodríguez Fernán</dc:creator>
  <cp:keywords/>
  <cp:lastModifiedBy>César Castelló Relec</cp:lastModifiedBy>
  <cp:revision>2</cp:revision>
  <cp:lastPrinted>2004-11-19T15:42:00Z</cp:lastPrinted>
  <dcterms:created xsi:type="dcterms:W3CDTF">2024-02-08T14:25:00Z</dcterms:created>
  <dcterms:modified xsi:type="dcterms:W3CDTF">2024-02-08T14:25:00Z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B9-0102, 0109, 0113, 0120, 0121, 0122/2024</vt:lpwstr>
  </property>
  <property fmtid="{D5CDD505-2E9C-101B-9397-08002B2CF9AE}" pid="4" name="&lt;Type&gt;">
    <vt:lpwstr>RR</vt:lpwstr>
  </property>
</Properties>
</file>