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63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6380" w:rsidRDefault="005466C1" w:rsidP="0010095E">
            <w:pPr>
              <w:pStyle w:val="EPName"/>
            </w:pPr>
            <w:r w:rsidRPr="00C36380">
              <w:t>Parlamento europeo</w:t>
            </w:r>
          </w:p>
          <w:p w:rsidR="00751A4A" w:rsidRPr="00C363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638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36380" w:rsidRDefault="00187494" w:rsidP="0010095E">
            <w:pPr>
              <w:pStyle w:val="EPLogo"/>
            </w:pPr>
            <w:r w:rsidRPr="00C363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6380" w:rsidRDefault="00D058B8" w:rsidP="004C5D52">
      <w:pPr>
        <w:pStyle w:val="LineTop"/>
      </w:pPr>
    </w:p>
    <w:p w:rsidR="00680577" w:rsidRPr="00C36380" w:rsidRDefault="005466C1" w:rsidP="00680577">
      <w:pPr>
        <w:pStyle w:val="EPBodyTA1"/>
      </w:pPr>
      <w:r w:rsidRPr="00C36380">
        <w:t>TESTI APPROVATI</w:t>
      </w:r>
    </w:p>
    <w:p w:rsidR="00D058B8" w:rsidRPr="00C36380" w:rsidRDefault="00D058B8" w:rsidP="00D058B8">
      <w:pPr>
        <w:pStyle w:val="LineBottom"/>
      </w:pPr>
    </w:p>
    <w:p w:rsidR="005466C1" w:rsidRPr="00C36380" w:rsidRDefault="005466C1" w:rsidP="005466C1">
      <w:pPr>
        <w:pStyle w:val="ATHeading1"/>
      </w:pPr>
      <w:bookmarkStart w:id="0" w:name="TANumber"/>
      <w:r w:rsidRPr="00C36380">
        <w:t>P9_</w:t>
      </w:r>
      <w:proofErr w:type="gramStart"/>
      <w:r w:rsidRPr="00C36380">
        <w:t>TA(</w:t>
      </w:r>
      <w:proofErr w:type="gramEnd"/>
      <w:r w:rsidRPr="00C36380">
        <w:t>2024)00</w:t>
      </w:r>
      <w:bookmarkEnd w:id="0"/>
      <w:r w:rsidR="00C36380">
        <w:t>71</w:t>
      </w:r>
      <w:bookmarkStart w:id="1" w:name="_GoBack"/>
      <w:bookmarkEnd w:id="1"/>
    </w:p>
    <w:p w:rsidR="005466C1" w:rsidRPr="00C36380" w:rsidRDefault="005466C1" w:rsidP="005466C1">
      <w:pPr>
        <w:pStyle w:val="ATHeading2"/>
      </w:pPr>
      <w:bookmarkStart w:id="2" w:name="title"/>
      <w:r w:rsidRPr="00C36380">
        <w:t xml:space="preserve">L'aumento del numero di esecuzioni in Iran, in particolare il caso di Mohammad </w:t>
      </w:r>
      <w:proofErr w:type="spellStart"/>
      <w:r w:rsidRPr="00C36380">
        <w:t>Ghobadlou</w:t>
      </w:r>
      <w:bookmarkEnd w:id="2"/>
      <w:proofErr w:type="spellEnd"/>
    </w:p>
    <w:p w:rsidR="005466C1" w:rsidRPr="00C36380" w:rsidRDefault="005466C1" w:rsidP="005466C1">
      <w:pPr>
        <w:rPr>
          <w:i/>
          <w:vanish/>
        </w:rPr>
      </w:pPr>
      <w:r w:rsidRPr="00C36380">
        <w:rPr>
          <w:i/>
        </w:rPr>
        <w:fldChar w:fldCharType="begin"/>
      </w:r>
      <w:r w:rsidRPr="00C36380">
        <w:rPr>
          <w:i/>
        </w:rPr>
        <w:instrText xml:space="preserve"> TC"(</w:instrText>
      </w:r>
      <w:bookmarkStart w:id="3" w:name="DocNumber"/>
      <w:r w:rsidRPr="00C36380">
        <w:rPr>
          <w:i/>
        </w:rPr>
        <w:instrText>B9-0102</w:instrText>
      </w:r>
      <w:r w:rsidR="009E1420" w:rsidRPr="00C36380">
        <w:rPr>
          <w:i/>
        </w:rPr>
        <w:instrText>, 0109, 0113, 0120, 0121 e 0122</w:instrText>
      </w:r>
      <w:r w:rsidRPr="00C36380">
        <w:rPr>
          <w:i/>
        </w:rPr>
        <w:instrText>/2024</w:instrText>
      </w:r>
      <w:bookmarkEnd w:id="3"/>
      <w:r w:rsidRPr="00C36380">
        <w:rPr>
          <w:i/>
        </w:rPr>
        <w:instrText xml:space="preserve">)"\l3 \n&gt; \* MERGEFORMAT </w:instrText>
      </w:r>
      <w:r w:rsidRPr="00C36380">
        <w:rPr>
          <w:i/>
        </w:rPr>
        <w:fldChar w:fldCharType="end"/>
      </w:r>
    </w:p>
    <w:p w:rsidR="005466C1" w:rsidRPr="00C36380" w:rsidRDefault="005466C1" w:rsidP="005466C1">
      <w:pPr>
        <w:rPr>
          <w:vanish/>
        </w:rPr>
      </w:pPr>
      <w:bookmarkStart w:id="4" w:name="PE"/>
      <w:r w:rsidRPr="00C36380">
        <w:rPr>
          <w:vanish/>
        </w:rPr>
        <w:t>PE756.844</w:t>
      </w:r>
      <w:bookmarkEnd w:id="4"/>
    </w:p>
    <w:p w:rsidR="005466C1" w:rsidRPr="00C36380" w:rsidRDefault="005466C1" w:rsidP="009E1420">
      <w:pPr>
        <w:pStyle w:val="ATHeading3"/>
      </w:pPr>
      <w:bookmarkStart w:id="5" w:name="Sujet"/>
      <w:r w:rsidRPr="00C36380">
        <w:t xml:space="preserve">Risoluzione del Parlamento europeo dell'8 febbraio 2024 sull'aumento del numero di esecuzioni in Iran, in particolare il caso di Mohammad </w:t>
      </w:r>
      <w:proofErr w:type="spellStart"/>
      <w:r w:rsidRPr="00C36380">
        <w:t>Ghobadlou</w:t>
      </w:r>
      <w:bookmarkEnd w:id="5"/>
      <w:proofErr w:type="spellEnd"/>
      <w:r w:rsidRPr="00C36380">
        <w:t xml:space="preserve"> </w:t>
      </w:r>
      <w:bookmarkStart w:id="6" w:name="References"/>
      <w:r w:rsidRPr="00C36380">
        <w:t>(2024/2551(RSP))</w:t>
      </w:r>
      <w:bookmarkEnd w:id="6"/>
    </w:p>
    <w:p w:rsidR="00C049C7" w:rsidRPr="00C36380" w:rsidRDefault="00C049C7" w:rsidP="00C049C7">
      <w:pPr>
        <w:pStyle w:val="EPComma"/>
      </w:pPr>
      <w:bookmarkStart w:id="7" w:name="TextBodyBegin"/>
      <w:bookmarkEnd w:id="7"/>
      <w:r w:rsidRPr="00C36380">
        <w:rPr>
          <w:i/>
          <w:iCs/>
        </w:rPr>
        <w:t>Il Parlamento europeo</w:t>
      </w:r>
      <w:r w:rsidRPr="00C36380">
        <w:t>,</w:t>
      </w:r>
    </w:p>
    <w:p w:rsidR="00C049C7" w:rsidRPr="00C36380" w:rsidRDefault="00C049C7" w:rsidP="00C049C7">
      <w:pPr>
        <w:pStyle w:val="NormalHanging12a"/>
      </w:pPr>
      <w:r w:rsidRPr="00C36380">
        <w:t>–</w:t>
      </w:r>
      <w:r w:rsidRPr="00C36380">
        <w:tab/>
        <w:t>visti l'articolo 144, paragrafo 5, e l'articolo 132, paragrafo 4, del suo regolamento,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A.</w:t>
      </w:r>
      <w:r w:rsidRPr="00C36380">
        <w:tab/>
        <w:t>considerando che nel 2023 in Iran sono state giustiziate oltre 800 persone, la cifra più alta dal 2015, e che oltre 500 manifestanti sono stati uccisi nell'ambito della repressione in corso del movimento "Donna, vita, libertà"; che le minoranze sono colpite in modo sproporzionato;</w:t>
      </w:r>
    </w:p>
    <w:p w:rsidR="00C049C7" w:rsidRPr="00C36380" w:rsidRDefault="00C049C7" w:rsidP="00C049C7">
      <w:pPr>
        <w:pStyle w:val="NormalHanging12a"/>
      </w:pPr>
      <w:r w:rsidRPr="00C36380">
        <w:t>B.</w:t>
      </w:r>
      <w:r w:rsidRPr="00C36380">
        <w:tab/>
        <w:t xml:space="preserve">considerando che il 23 gennaio 2024 è stato respinto il ricorso di Mohammad </w:t>
      </w:r>
      <w:proofErr w:type="spellStart"/>
      <w:r w:rsidRPr="00C36380">
        <w:t>Ghobadlou</w:t>
      </w:r>
      <w:proofErr w:type="spellEnd"/>
      <w:r w:rsidRPr="00C36380">
        <w:t>, ventitreenne con disabilità intellettive, contro la sua condanna a morte e il ragazzo è stato giustiziato; che il suo processo iniquo è stato viziato da presunte torture e dalla segretezza;</w:t>
      </w:r>
    </w:p>
    <w:p w:rsidR="00C049C7" w:rsidRPr="00C36380" w:rsidRDefault="00C049C7" w:rsidP="00C049C7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C36380">
        <w:t>C.</w:t>
      </w:r>
      <w:r w:rsidRPr="00C36380">
        <w:tab/>
      </w:r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considerando che il Consiglio dei diritti umani delle Nazioni Unite ha riferito che nel gennaio 2024 sono state giustiziate almeno 54 persone; che, secondo Human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Watch, almeno 11 prigionieri, tra cui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e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Khosrow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</w:t>
      </w:r>
      <w:proofErr w:type="spellEnd"/>
      <w:r w:rsidRPr="00C36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, sono attualmente a rischio di esecuzione imminente;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D.</w:t>
      </w:r>
      <w:r w:rsidRPr="00C36380">
        <w:tab/>
        <w:t>considerando che l'Iran ricorre sistematicamente alla diplomazia degli ostaggi come strumento di politica estera;</w:t>
      </w:r>
    </w:p>
    <w:p w:rsidR="00C049C7" w:rsidRPr="00C36380" w:rsidRDefault="00C049C7" w:rsidP="00C049C7">
      <w:pPr>
        <w:pStyle w:val="NormalHanging12a"/>
      </w:pPr>
      <w:r w:rsidRPr="00C36380">
        <w:t>1.</w:t>
      </w:r>
      <w:r w:rsidRPr="00C36380">
        <w:tab/>
      </w:r>
      <w:r w:rsidR="00C36380" w:rsidRPr="00C36380">
        <w:rPr>
          <w:shd w:val="clear" w:color="auto" w:fill="FFFFFF"/>
        </w:rPr>
        <w:t xml:space="preserve">condanna fermamente le esecuzioni di manifestanti pacifici in Iran, compresa quella di Mohammad </w:t>
      </w:r>
      <w:proofErr w:type="spellStart"/>
      <w:r w:rsidR="00C36380" w:rsidRPr="00C36380">
        <w:rPr>
          <w:shd w:val="clear" w:color="auto" w:fill="FFFFFF"/>
        </w:rPr>
        <w:t>Ghobadlou</w:t>
      </w:r>
      <w:proofErr w:type="spellEnd"/>
      <w:r w:rsidR="00C36380" w:rsidRPr="00C36380">
        <w:rPr>
          <w:shd w:val="clear" w:color="auto" w:fill="FFFFFF"/>
        </w:rPr>
        <w:t xml:space="preserve">; deplora l'ampio ricorso da parte del regime alla pena di morte per terrorizzare la società e reprimere il dissenso; sottolinea che si tratta di uccisioni avallate dallo Stato; esorta l'Iran a commutare tutte le condanne a morte e ad abolire del tutto la pena di morte; ribadisce la propria ferma contrarietà alla pena capitale, sempre e comunque; sostiene pienamente la campagna di abolizione lanciata da </w:t>
      </w:r>
      <w:proofErr w:type="spellStart"/>
      <w:r w:rsidR="00C36380" w:rsidRPr="00C36380">
        <w:rPr>
          <w:shd w:val="clear" w:color="auto" w:fill="FFFFFF"/>
        </w:rPr>
        <w:t>Narges</w:t>
      </w:r>
      <w:proofErr w:type="spellEnd"/>
      <w:r w:rsidR="00C36380" w:rsidRPr="00C36380">
        <w:rPr>
          <w:shd w:val="clear" w:color="auto" w:fill="FFFFFF"/>
        </w:rPr>
        <w:t xml:space="preserve"> </w:t>
      </w:r>
      <w:proofErr w:type="spellStart"/>
      <w:r w:rsidR="00C36380" w:rsidRPr="00C36380">
        <w:rPr>
          <w:shd w:val="clear" w:color="auto" w:fill="FFFFFF"/>
        </w:rPr>
        <w:t>Mohammadi</w:t>
      </w:r>
      <w:proofErr w:type="spellEnd"/>
      <w:r w:rsidR="00C36380" w:rsidRPr="00C36380">
        <w:rPr>
          <w:shd w:val="clear" w:color="auto" w:fill="FFFFFF"/>
        </w:rPr>
        <w:t>, vincitrice del premio Nobel per la pace attualmente in carcere; ribadisce il suo continuo sostegno al movimento iraniano "Donna, vita, libertà";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lastRenderedPageBreak/>
        <w:t>2.</w:t>
      </w:r>
      <w:r w:rsidRPr="00C36380">
        <w:tab/>
        <w:t xml:space="preserve">chiede il rilascio incondizionato e immediato di tutti coloro che sono arbitrariamente detenuti nel braccio della morte e di tutti i prigionieri di coscienza, compresi i cittadini dell'UE, in particolare </w:t>
      </w:r>
      <w:proofErr w:type="spellStart"/>
      <w:r w:rsidRPr="00C36380">
        <w:t>Ahmadreza</w:t>
      </w:r>
      <w:proofErr w:type="spellEnd"/>
      <w:r w:rsidRPr="00C36380">
        <w:t xml:space="preserve"> </w:t>
      </w:r>
      <w:proofErr w:type="spellStart"/>
      <w:r w:rsidRPr="00C36380">
        <w:t>Djalali</w:t>
      </w:r>
      <w:proofErr w:type="spellEnd"/>
      <w:r w:rsidRPr="00C36380">
        <w:t xml:space="preserve"> e Johan </w:t>
      </w:r>
      <w:proofErr w:type="spellStart"/>
      <w:r w:rsidRPr="00C36380">
        <w:t>Floderus</w:t>
      </w:r>
      <w:proofErr w:type="spellEnd"/>
      <w:r w:rsidRPr="00C36380">
        <w:t>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3.</w:t>
      </w:r>
      <w:r w:rsidRPr="00C36380">
        <w:tab/>
      </w:r>
      <w:r w:rsidRPr="00C36380">
        <w:rPr>
          <w:shd w:val="clear" w:color="auto" w:fill="FFFFFF"/>
        </w:rPr>
        <w:t>chiede una nuova e coraggiosa strategia dell'UE nei confronti dell'Iran, volta anche a contrastarne la diplomazia degli ostaggi;</w:t>
      </w:r>
    </w:p>
    <w:p w:rsidR="00C049C7" w:rsidRPr="00C36380" w:rsidRDefault="00C049C7" w:rsidP="00C049C7">
      <w:pPr>
        <w:pStyle w:val="NormalHanging12a"/>
      </w:pPr>
      <w:r w:rsidRPr="00C36380">
        <w:t>4.</w:t>
      </w:r>
      <w:r w:rsidRPr="00C36380">
        <w:tab/>
        <w:t>ribadisce il suo fermo invito al Consiglio a designare l'IRGC un'organizzazione terroristica e a imporre ulteriori sanzioni dell'UE ai funzionari e alle entità coinvolti in gravi violazioni dei diritti umani, tra cui la Guida suprema, il presidente e il procuratore generale;</w:t>
      </w:r>
    </w:p>
    <w:p w:rsidR="00C049C7" w:rsidRPr="00C36380" w:rsidRDefault="00C049C7" w:rsidP="00C049C7">
      <w:pPr>
        <w:pStyle w:val="NormalHanging12a"/>
      </w:pPr>
      <w:r w:rsidRPr="00C36380">
        <w:t>5.</w:t>
      </w:r>
      <w:r w:rsidRPr="00C36380">
        <w:tab/>
        <w:t>ribadisce la propria condanna della brutale repressione da parte dell'Iran nei confronti di manifestanti pacifici, in particolare donne e minoranze; chiede un'indagine imparziale, indipendente e trasparente sulle accuse di violazioni dei diritti umani nei confronti dei manifestanti;</w:t>
      </w:r>
    </w:p>
    <w:p w:rsidR="00C049C7" w:rsidRPr="00C36380" w:rsidRDefault="00C049C7" w:rsidP="00C049C7">
      <w:pPr>
        <w:pStyle w:val="NormalHanging12a"/>
      </w:pPr>
      <w:r w:rsidRPr="00C36380">
        <w:t>6.</w:t>
      </w:r>
      <w:r w:rsidRPr="00C36380">
        <w:tab/>
        <w:t>invita l'Iran a rispettare il giusto processo; condanna le terribili condizioni di detenzione, il diffuso ricorso alla tortura, compresa la violenza sessuale, e il mancato accesso alle cure mediche e alla rappresentanza legale;</w:t>
      </w:r>
    </w:p>
    <w:p w:rsidR="00C049C7" w:rsidRPr="00C36380" w:rsidRDefault="00C049C7" w:rsidP="00C049C7">
      <w:pPr>
        <w:pStyle w:val="NormalHanging12a"/>
      </w:pPr>
      <w:r w:rsidRPr="00C36380">
        <w:t>7.</w:t>
      </w:r>
      <w:r w:rsidRPr="00C36380">
        <w:tab/>
        <w:t>esorta gli Stati membri a monitorare i processi e a organizzare visite nelle carceri in cui sono detenuti prigionieri di coscienza, compresi i cittadini dell'UE, in linea con gli orientamenti dell'UE sui difensori dei diritti umani;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8.</w:t>
      </w:r>
      <w:r w:rsidRPr="00C36380">
        <w:tab/>
        <w:t>invita gli Stati membri ad avviare indagini penali nei confronti dei funzionari responsabili di gravi violazioni dei diritti umani, anche in virtù della giurisdizione universale;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9.</w:t>
      </w:r>
      <w:r w:rsidRPr="00C36380">
        <w:tab/>
        <w:t xml:space="preserve">esorta la Commissione ad aumentare il sostegno tecnico e di bilancio a favore di una società civile iraniana forte e indipendente; </w:t>
      </w:r>
      <w:r w:rsidRPr="00C36380">
        <w:rPr>
          <w:shd w:val="clear" w:color="auto" w:fill="FFFFFF"/>
        </w:rPr>
        <w:t>invita gli Stati membri ad agevolare i visti, l'asilo e le sovvenzioni di emergenza per coloro che devono fuggire dall'Iran;</w:t>
      </w:r>
    </w:p>
    <w:p w:rsidR="00C049C7" w:rsidRPr="00C36380" w:rsidRDefault="00C049C7" w:rsidP="00C049C7">
      <w:pPr>
        <w:pStyle w:val="NormalHanging12a"/>
        <w:rPr>
          <w:shd w:val="clear" w:color="auto" w:fill="FFFFFF"/>
        </w:rPr>
      </w:pPr>
      <w:r w:rsidRPr="00C36380">
        <w:t>10.</w:t>
      </w:r>
      <w:r w:rsidRPr="00C36380">
        <w:tab/>
      </w:r>
      <w:r w:rsidRPr="00C36380">
        <w:rPr>
          <w:shd w:val="clear" w:color="auto" w:fill="FFFFFF"/>
        </w:rPr>
        <w:t>invita gli Stati membri a sostenere il rinnovo dei mandati del relatore speciale delle Nazioni Unite sull'Iran e della missione internazionale indipendente di accertamento dei fatti in occasione della prossima sessione del Consiglio dei diritti umani delle Nazioni Unite;</w:t>
      </w:r>
    </w:p>
    <w:p w:rsidR="00E365E1" w:rsidRPr="00C36380" w:rsidRDefault="00C049C7" w:rsidP="009E1420">
      <w:pPr>
        <w:pStyle w:val="NormalHanging12a"/>
      </w:pPr>
      <w:r w:rsidRPr="00C36380">
        <w:t>11.</w:t>
      </w:r>
      <w:r w:rsidRPr="00C36380">
        <w:tab/>
      </w:r>
      <w:r w:rsidRPr="00C36380">
        <w:rPr>
          <w:shd w:val="clear" w:color="auto" w:fill="FFFFFF"/>
        </w:rPr>
        <w:t>incarica la sua Presidente di trasmettere la presente risoluzione al Consiglio, alla Commissione, al VP</w:t>
      </w:r>
      <w:r w:rsidR="009E1420" w:rsidRPr="00C36380">
        <w:rPr>
          <w:shd w:val="clear" w:color="auto" w:fill="FFFFFF"/>
        </w:rPr>
        <w:t> </w:t>
      </w:r>
      <w:r w:rsidRPr="00C36380">
        <w:rPr>
          <w:shd w:val="clear" w:color="auto" w:fill="FFFFFF"/>
        </w:rPr>
        <w:t>/</w:t>
      </w:r>
      <w:r w:rsidR="009E1420" w:rsidRPr="00C36380">
        <w:rPr>
          <w:shd w:val="clear" w:color="auto" w:fill="FFFFFF"/>
        </w:rPr>
        <w:t> </w:t>
      </w:r>
      <w:r w:rsidRPr="00C36380">
        <w:rPr>
          <w:shd w:val="clear" w:color="auto" w:fill="FFFFFF"/>
        </w:rPr>
        <w:t>AR e alle autorità iraniane.</w:t>
      </w:r>
      <w:bookmarkStart w:id="8" w:name="TextBodyEnd"/>
      <w:bookmarkEnd w:id="8"/>
    </w:p>
    <w:sectPr w:rsidR="00E365E1" w:rsidRPr="00C36380" w:rsidSect="009D7C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6C1" w:rsidRPr="009D7C64" w:rsidRDefault="005466C1">
      <w:r w:rsidRPr="009D7C64">
        <w:separator/>
      </w:r>
    </w:p>
  </w:endnote>
  <w:endnote w:type="continuationSeparator" w:id="0">
    <w:p w:rsidR="005466C1" w:rsidRPr="009D7C64" w:rsidRDefault="005466C1">
      <w:r w:rsidRPr="009D7C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6C1" w:rsidRPr="009D7C64" w:rsidRDefault="005466C1">
      <w:r w:rsidRPr="009D7C64">
        <w:separator/>
      </w:r>
    </w:p>
  </w:footnote>
  <w:footnote w:type="continuationSeparator" w:id="0">
    <w:p w:rsidR="005466C1" w:rsidRPr="009D7C64" w:rsidRDefault="005466C1">
      <w:r w:rsidRPr="009D7C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7C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IT"/>
    <w:docVar w:name="dvnumam" w:val="0"/>
    <w:docVar w:name="dvpe" w:val="756.844"/>
    <w:docVar w:name="dvtitre" w:val="Risoluzione del Parlamento europeo dell'8 febbraio 2024 sull'aumento del numero di esecuzioni in Iran, in particolare il caso di Mohammad Ghobadlou(2024/2551(RSP))"/>
  </w:docVars>
  <w:rsids>
    <w:rsidRoot w:val="005466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6C1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C64"/>
    <w:rsid w:val="009E142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9C7"/>
    <w:rsid w:val="00C05BFE"/>
    <w:rsid w:val="00C23CD4"/>
    <w:rsid w:val="00C3638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22AD1"/>
  <w15:chartTrackingRefBased/>
  <w15:docId w15:val="{75E813A8-5669-46E0-9060-534C1588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049C7"/>
    <w:pPr>
      <w:spacing w:after="240"/>
      <w:ind w:left="567" w:hanging="567"/>
    </w:pPr>
  </w:style>
  <w:style w:type="paragraph" w:customStyle="1" w:styleId="EPComma">
    <w:name w:val="EPComma"/>
    <w:basedOn w:val="Normal"/>
    <w:rsid w:val="00C049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049C7"/>
    <w:rPr>
      <w:sz w:val="24"/>
      <w:lang w:val="it-IT"/>
    </w:rPr>
  </w:style>
  <w:style w:type="paragraph" w:styleId="BalloonText">
    <w:name w:val="Balloon Text"/>
    <w:basedOn w:val="Normal"/>
    <w:link w:val="BalloonTextChar"/>
    <w:rsid w:val="009E1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142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156F9-7558-403E-9AAE-9DACE331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3805</Characters>
  <Application>Microsoft Office Word</Application>
  <DocSecurity>0</DocSecurity>
  <Lines>140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ARossi-C_STO.</dc:creator>
  <cp:keywords/>
  <cp:lastModifiedBy>ARossi-C_STO.</cp:lastModifiedBy>
  <cp:revision>2</cp:revision>
  <cp:lastPrinted>2004-11-19T15:42:00Z</cp:lastPrinted>
  <dcterms:created xsi:type="dcterms:W3CDTF">2024-02-08T13:35:00Z</dcterms:created>
  <dcterms:modified xsi:type="dcterms:W3CDTF">2024-02-08T13:35:00Z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