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43D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43D5" w:rsidRDefault="008C6CCC" w:rsidP="0010095E">
            <w:pPr>
              <w:pStyle w:val="EPName"/>
            </w:pPr>
            <w:r w:rsidRPr="00CE43D5">
              <w:t>Parlement européen</w:t>
            </w:r>
          </w:p>
          <w:p w:rsidR="00751A4A" w:rsidRPr="00CE43D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773C">
              <w:t>2019</w:t>
            </w:r>
            <w:r w:rsidRPr="00CE43D5">
              <w:t>-</w:t>
            </w:r>
            <w:r w:rsidRPr="0068773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E43D5" w:rsidRDefault="00187494" w:rsidP="0010095E">
            <w:pPr>
              <w:pStyle w:val="EPLogo"/>
            </w:pPr>
            <w:r w:rsidRPr="006245F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43D5" w:rsidRDefault="00D058B8" w:rsidP="004C5D52">
      <w:pPr>
        <w:pStyle w:val="LineTop"/>
      </w:pPr>
    </w:p>
    <w:p w:rsidR="00680577" w:rsidRPr="00CE43D5" w:rsidRDefault="008C6CCC" w:rsidP="00680577">
      <w:pPr>
        <w:pStyle w:val="EPBodyTA1"/>
      </w:pPr>
      <w:r w:rsidRPr="00CE43D5">
        <w:t>TEXTES ADOPTÉS</w:t>
      </w:r>
    </w:p>
    <w:p w:rsidR="00D058B8" w:rsidRPr="00CE43D5" w:rsidRDefault="00D058B8" w:rsidP="00D058B8">
      <w:pPr>
        <w:pStyle w:val="LineBottom"/>
      </w:pPr>
    </w:p>
    <w:p w:rsidR="008C6CCC" w:rsidRPr="00CE43D5" w:rsidRDefault="008C6CCC" w:rsidP="008C6CCC">
      <w:pPr>
        <w:pStyle w:val="ATHeading1"/>
      </w:pPr>
      <w:bookmarkStart w:id="0" w:name="TANumber"/>
      <w:r w:rsidRPr="00CE43D5">
        <w:t>P</w:t>
      </w:r>
      <w:r w:rsidRPr="0068773C">
        <w:t>9</w:t>
      </w:r>
      <w:r w:rsidRPr="00CE43D5">
        <w:t>_TA(</w:t>
      </w:r>
      <w:r w:rsidRPr="0068773C">
        <w:t>2024</w:t>
      </w:r>
      <w:r w:rsidRPr="00CE43D5">
        <w:t>)</w:t>
      </w:r>
      <w:r w:rsidRPr="0068773C">
        <w:t>00</w:t>
      </w:r>
      <w:bookmarkEnd w:id="0"/>
      <w:r w:rsidR="006427F9" w:rsidRPr="0068773C">
        <w:t>73</w:t>
      </w:r>
    </w:p>
    <w:p w:rsidR="008C6CCC" w:rsidRPr="00CE43D5" w:rsidRDefault="00B664E9" w:rsidP="008C6CCC">
      <w:pPr>
        <w:pStyle w:val="ATHeading2"/>
      </w:pPr>
      <w:bookmarkStart w:id="1" w:name="title"/>
      <w:r w:rsidRPr="00CE43D5">
        <w:t xml:space="preserve">Échange automatisé de données </w:t>
      </w:r>
      <w:r w:rsidR="007E7D0C" w:rsidRPr="00CE43D5">
        <w:t>dans le cadre</w:t>
      </w:r>
      <w:r w:rsidRPr="00CE43D5">
        <w:t xml:space="preserve"> de la coopération policière («Prüm II»)</w:t>
      </w:r>
      <w:bookmarkEnd w:id="1"/>
    </w:p>
    <w:p w:rsidR="008C6CCC" w:rsidRPr="00CE43D5" w:rsidRDefault="008C6CCC" w:rsidP="008C6CCC">
      <w:pPr>
        <w:rPr>
          <w:i/>
          <w:vanish/>
        </w:rPr>
      </w:pPr>
      <w:r w:rsidRPr="00CE43D5">
        <w:rPr>
          <w:i/>
        </w:rPr>
        <w:fldChar w:fldCharType="begin"/>
      </w:r>
      <w:r w:rsidRPr="00CE43D5">
        <w:rPr>
          <w:i/>
        </w:rPr>
        <w:instrText xml:space="preserve"> TC"(</w:instrText>
      </w:r>
      <w:bookmarkStart w:id="2" w:name="DocNumber"/>
      <w:r w:rsidRPr="00CE43D5">
        <w:rPr>
          <w:i/>
        </w:rPr>
        <w:instrText>A</w:instrText>
      </w:r>
      <w:r w:rsidRPr="0068773C">
        <w:rPr>
          <w:i/>
        </w:rPr>
        <w:instrText>9</w:instrText>
      </w:r>
      <w:r w:rsidRPr="00CE43D5">
        <w:rPr>
          <w:i/>
        </w:rPr>
        <w:instrText>-</w:instrText>
      </w:r>
      <w:r w:rsidRPr="0068773C">
        <w:rPr>
          <w:i/>
        </w:rPr>
        <w:instrText>0200</w:instrText>
      </w:r>
      <w:r w:rsidRPr="00CE43D5">
        <w:rPr>
          <w:i/>
        </w:rPr>
        <w:instrText>/</w:instrText>
      </w:r>
      <w:r w:rsidRPr="0068773C">
        <w:rPr>
          <w:i/>
        </w:rPr>
        <w:instrText>2023</w:instrText>
      </w:r>
      <w:bookmarkEnd w:id="2"/>
      <w:r w:rsidRPr="00CE43D5">
        <w:rPr>
          <w:i/>
        </w:rPr>
        <w:instrText xml:space="preserve"> - Rapporteur: Paulo Rangel)"\l</w:instrText>
      </w:r>
      <w:r w:rsidRPr="0068773C">
        <w:rPr>
          <w:i/>
        </w:rPr>
        <w:instrText>3</w:instrText>
      </w:r>
      <w:r w:rsidRPr="00CE43D5">
        <w:rPr>
          <w:i/>
        </w:rPr>
        <w:instrText xml:space="preserve"> \n&gt; \* MERGEFORMAT </w:instrText>
      </w:r>
      <w:r w:rsidRPr="00CE43D5">
        <w:rPr>
          <w:i/>
        </w:rPr>
        <w:fldChar w:fldCharType="end"/>
      </w:r>
    </w:p>
    <w:p w:rsidR="008C6CCC" w:rsidRPr="00CE43D5" w:rsidRDefault="008C6CCC" w:rsidP="008C6CCC">
      <w:pPr>
        <w:rPr>
          <w:vanish/>
        </w:rPr>
      </w:pPr>
      <w:bookmarkStart w:id="3" w:name="Commission"/>
      <w:r w:rsidRPr="00CE43D5">
        <w:rPr>
          <w:vanish/>
        </w:rPr>
        <w:t>Commission des libertés civiles, de la justice et des affaires intérieures</w:t>
      </w:r>
      <w:bookmarkEnd w:id="3"/>
    </w:p>
    <w:p w:rsidR="008C6CCC" w:rsidRPr="00CE43D5" w:rsidRDefault="008C6CCC" w:rsidP="008C6CCC">
      <w:pPr>
        <w:rPr>
          <w:vanish/>
        </w:rPr>
      </w:pPr>
      <w:bookmarkStart w:id="4" w:name="PE"/>
      <w:r w:rsidRPr="00CE43D5">
        <w:rPr>
          <w:vanish/>
        </w:rPr>
        <w:t>PE</w:t>
      </w:r>
      <w:r w:rsidRPr="0068773C">
        <w:rPr>
          <w:vanish/>
        </w:rPr>
        <w:t>736</w:t>
      </w:r>
      <w:r w:rsidRPr="00CE43D5">
        <w:rPr>
          <w:vanish/>
        </w:rPr>
        <w:t>.</w:t>
      </w:r>
      <w:r w:rsidRPr="0068773C">
        <w:rPr>
          <w:vanish/>
        </w:rPr>
        <w:t>469</w:t>
      </w:r>
      <w:bookmarkEnd w:id="4"/>
    </w:p>
    <w:p w:rsidR="008C6CCC" w:rsidRPr="00CE43D5" w:rsidRDefault="008C6CCC" w:rsidP="008C6CCC">
      <w:pPr>
        <w:pStyle w:val="ATHeading3"/>
      </w:pPr>
      <w:bookmarkStart w:id="5" w:name="Sujet"/>
      <w:r w:rsidRPr="00CE43D5">
        <w:t xml:space="preserve">Résolution législative du Parlement européen du </w:t>
      </w:r>
      <w:r w:rsidR="00B664E9" w:rsidRPr="0068773C">
        <w:t>8</w:t>
      </w:r>
      <w:r w:rsidR="00617652" w:rsidRPr="00CE43D5">
        <w:t xml:space="preserve"> février</w:t>
      </w:r>
      <w:r w:rsidRPr="00CE43D5">
        <w:t xml:space="preserve"> </w:t>
      </w:r>
      <w:r w:rsidRPr="0068773C">
        <w:t>2024</w:t>
      </w:r>
      <w:r w:rsidRPr="00CE43D5">
        <w:t xml:space="preserve"> sur la proposition de règlement du Parlement européen et du Conseil relatif à l’échange automatisé de données dans le cadre de la coopération policière («Prüm II»), modifiant les décisions </w:t>
      </w:r>
      <w:r w:rsidRPr="0068773C">
        <w:t>2008</w:t>
      </w:r>
      <w:r w:rsidRPr="00CE43D5">
        <w:t>/</w:t>
      </w:r>
      <w:r w:rsidRPr="0068773C">
        <w:t>615</w:t>
      </w:r>
      <w:r w:rsidRPr="00CE43D5">
        <w:t xml:space="preserve">/JAI et </w:t>
      </w:r>
      <w:r w:rsidRPr="0068773C">
        <w:t>2008</w:t>
      </w:r>
      <w:r w:rsidRPr="00CE43D5">
        <w:t>/</w:t>
      </w:r>
      <w:r w:rsidRPr="0068773C">
        <w:t>616</w:t>
      </w:r>
      <w:r w:rsidRPr="00CE43D5">
        <w:t xml:space="preserve">/JAI du Conseil et les règlements (UE) </w:t>
      </w:r>
      <w:r w:rsidRPr="0068773C">
        <w:t>2018</w:t>
      </w:r>
      <w:r w:rsidRPr="00CE43D5">
        <w:t>/</w:t>
      </w:r>
      <w:r w:rsidRPr="0068773C">
        <w:t>1726</w:t>
      </w:r>
      <w:r w:rsidRPr="00CE43D5">
        <w:t xml:space="preserve">, </w:t>
      </w:r>
      <w:r w:rsidRPr="0068773C">
        <w:t>2019</w:t>
      </w:r>
      <w:r w:rsidRPr="00CE43D5">
        <w:t>/</w:t>
      </w:r>
      <w:r w:rsidRPr="0068773C">
        <w:t>817</w:t>
      </w:r>
      <w:r w:rsidRPr="00CE43D5">
        <w:t xml:space="preserve"> et </w:t>
      </w:r>
      <w:r w:rsidRPr="0068773C">
        <w:t>2019</w:t>
      </w:r>
      <w:r w:rsidRPr="00CE43D5">
        <w:t>/</w:t>
      </w:r>
      <w:r w:rsidRPr="0068773C">
        <w:t>818</w:t>
      </w:r>
      <w:r w:rsidRPr="00CE43D5">
        <w:t xml:space="preserve"> du Parlement européen et du Conseil</w:t>
      </w:r>
      <w:bookmarkEnd w:id="5"/>
      <w:r w:rsidRPr="00CE43D5">
        <w:t xml:space="preserve"> </w:t>
      </w:r>
      <w:bookmarkStart w:id="6" w:name="References"/>
      <w:r w:rsidRPr="00CE43D5">
        <w:t>(COM(</w:t>
      </w:r>
      <w:r w:rsidRPr="0068773C">
        <w:t>2021</w:t>
      </w:r>
      <w:r w:rsidRPr="00CE43D5">
        <w:t>)</w:t>
      </w:r>
      <w:r w:rsidRPr="0068773C">
        <w:t>0784</w:t>
      </w:r>
      <w:r w:rsidRPr="00CE43D5">
        <w:t>(COR</w:t>
      </w:r>
      <w:r w:rsidRPr="0068773C">
        <w:t>1</w:t>
      </w:r>
      <w:r w:rsidRPr="00CE43D5">
        <w:t>) – C</w:t>
      </w:r>
      <w:r w:rsidRPr="0068773C">
        <w:t>9</w:t>
      </w:r>
      <w:r w:rsidRPr="00CE43D5">
        <w:t>-</w:t>
      </w:r>
      <w:r w:rsidRPr="0068773C">
        <w:t>0455</w:t>
      </w:r>
      <w:r w:rsidRPr="00CE43D5">
        <w:t>/</w:t>
      </w:r>
      <w:r w:rsidRPr="0068773C">
        <w:t>2021</w:t>
      </w:r>
      <w:r w:rsidRPr="00CE43D5">
        <w:t xml:space="preserve"> – </w:t>
      </w:r>
      <w:r w:rsidRPr="0068773C">
        <w:t>2021</w:t>
      </w:r>
      <w:r w:rsidRPr="00CE43D5">
        <w:t>/</w:t>
      </w:r>
      <w:r w:rsidRPr="0068773C">
        <w:t>0410</w:t>
      </w:r>
      <w:r w:rsidRPr="00CE43D5">
        <w:t>(COD))</w:t>
      </w:r>
      <w:bookmarkEnd w:id="6"/>
    </w:p>
    <w:p w:rsidR="0092317B" w:rsidRPr="00CE43D5" w:rsidRDefault="0092317B" w:rsidP="0092317B">
      <w:pPr>
        <w:pStyle w:val="NormalBold"/>
      </w:pPr>
      <w:bookmarkStart w:id="7" w:name="TextBodyBegin"/>
      <w:bookmarkEnd w:id="7"/>
      <w:r w:rsidRPr="00CE43D5">
        <w:t>(Procédure législative ordinaire: première lecture)</w:t>
      </w:r>
    </w:p>
    <w:p w:rsidR="0092317B" w:rsidRPr="00CE43D5" w:rsidRDefault="0092317B" w:rsidP="0092317B">
      <w:pPr>
        <w:pStyle w:val="EPComma"/>
      </w:pPr>
      <w:r w:rsidRPr="00CE43D5">
        <w:rPr>
          <w:i/>
        </w:rPr>
        <w:t>Le Parlement européen</w:t>
      </w:r>
      <w:r w:rsidRPr="00CE43D5">
        <w:t>,</w:t>
      </w:r>
    </w:p>
    <w:p w:rsidR="0092317B" w:rsidRPr="00CE43D5" w:rsidRDefault="0092317B" w:rsidP="0092317B">
      <w:pPr>
        <w:pStyle w:val="NormalHanging12a"/>
      </w:pPr>
      <w:r w:rsidRPr="00CE43D5">
        <w:t>–</w:t>
      </w:r>
      <w:r w:rsidRPr="00CE43D5">
        <w:tab/>
        <w:t>vu la proposition de la Commission au Parlement européen et au Conseil, (COM(</w:t>
      </w:r>
      <w:r w:rsidRPr="0068773C">
        <w:t>2021</w:t>
      </w:r>
      <w:r w:rsidRPr="00CE43D5">
        <w:t>)</w:t>
      </w:r>
      <w:r w:rsidRPr="0068773C">
        <w:t>0784</w:t>
      </w:r>
      <w:r w:rsidRPr="00CE43D5">
        <w:t>(COR</w:t>
      </w:r>
      <w:r w:rsidRPr="0068773C">
        <w:t>1</w:t>
      </w:r>
      <w:r w:rsidRPr="00CE43D5">
        <w:t>)),</w:t>
      </w:r>
    </w:p>
    <w:p w:rsidR="0092317B" w:rsidRPr="00CE43D5" w:rsidRDefault="0092317B" w:rsidP="0092317B">
      <w:pPr>
        <w:pStyle w:val="NormalHanging12a"/>
      </w:pPr>
      <w:r w:rsidRPr="00CE43D5">
        <w:t>–</w:t>
      </w:r>
      <w:r w:rsidRPr="00CE43D5">
        <w:tab/>
        <w:t>vu l’article </w:t>
      </w:r>
      <w:r w:rsidRPr="0068773C">
        <w:t>294</w:t>
      </w:r>
      <w:r w:rsidRPr="00CE43D5">
        <w:t>, paragraphe </w:t>
      </w:r>
      <w:r w:rsidRPr="0068773C">
        <w:t>2</w:t>
      </w:r>
      <w:r w:rsidRPr="00CE43D5">
        <w:t>, l’article </w:t>
      </w:r>
      <w:r w:rsidRPr="0068773C">
        <w:t>16</w:t>
      </w:r>
      <w:r w:rsidRPr="00CE43D5">
        <w:t>, paragraphe </w:t>
      </w:r>
      <w:r w:rsidRPr="0068773C">
        <w:t>2</w:t>
      </w:r>
      <w:r w:rsidRPr="00CE43D5">
        <w:t>, l’article </w:t>
      </w:r>
      <w:r w:rsidRPr="0068773C">
        <w:t>87</w:t>
      </w:r>
      <w:r w:rsidRPr="00CE43D5">
        <w:t>, paragraphe </w:t>
      </w:r>
      <w:r w:rsidRPr="0068773C">
        <w:t>2</w:t>
      </w:r>
      <w:r w:rsidRPr="00CE43D5">
        <w:t>, point a), et l’article </w:t>
      </w:r>
      <w:r w:rsidRPr="0068773C">
        <w:t>88</w:t>
      </w:r>
      <w:r w:rsidRPr="00CE43D5">
        <w:t>, paragraphe </w:t>
      </w:r>
      <w:r w:rsidRPr="0068773C">
        <w:t>2</w:t>
      </w:r>
      <w:r w:rsidRPr="00CE43D5">
        <w:t>, du traité sur le fonctionnement de l’Union européenne, conformément auxquels la proposition lui a été présentée par la Commission (C</w:t>
      </w:r>
      <w:r w:rsidRPr="0068773C">
        <w:t>9</w:t>
      </w:r>
      <w:r w:rsidRPr="00CE43D5">
        <w:noBreakHyphen/>
      </w:r>
      <w:r w:rsidRPr="0068773C">
        <w:t>0455</w:t>
      </w:r>
      <w:r w:rsidRPr="00CE43D5">
        <w:t>/</w:t>
      </w:r>
      <w:r w:rsidRPr="0068773C">
        <w:t>2021</w:t>
      </w:r>
      <w:r w:rsidRPr="00CE43D5">
        <w:t>),</w:t>
      </w:r>
    </w:p>
    <w:p w:rsidR="0092317B" w:rsidRPr="00CE43D5" w:rsidRDefault="0092317B" w:rsidP="0092317B">
      <w:pPr>
        <w:pStyle w:val="NormalHanging12a"/>
      </w:pPr>
      <w:r w:rsidRPr="00CE43D5">
        <w:t>–</w:t>
      </w:r>
      <w:r w:rsidRPr="00CE43D5">
        <w:tab/>
        <w:t>vu l’article </w:t>
      </w:r>
      <w:r w:rsidRPr="0068773C">
        <w:t>294</w:t>
      </w:r>
      <w:r w:rsidRPr="00CE43D5">
        <w:t>, paragraphe </w:t>
      </w:r>
      <w:r w:rsidRPr="0068773C">
        <w:t>3</w:t>
      </w:r>
      <w:r w:rsidRPr="00CE43D5">
        <w:t>, du traité sur le fonctionnement de l’Union européenne,</w:t>
      </w:r>
    </w:p>
    <w:p w:rsidR="00B664E9" w:rsidRPr="00CE43D5" w:rsidRDefault="00B664E9" w:rsidP="00B664E9">
      <w:pPr>
        <w:pStyle w:val="NormalHanging12a"/>
        <w:widowControl/>
        <w:spacing w:before="120" w:after="120"/>
      </w:pPr>
      <w:r w:rsidRPr="00CE43D5">
        <w:t>–</w:t>
      </w:r>
      <w:r w:rsidRPr="00CE43D5">
        <w:tab/>
        <w:t xml:space="preserve">vu l’accord provisoire approuvé en vertu de l’article </w:t>
      </w:r>
      <w:r w:rsidRPr="0068773C">
        <w:t>74</w:t>
      </w:r>
      <w:r w:rsidRPr="00CE43D5">
        <w:t xml:space="preserve">, paragraphe </w:t>
      </w:r>
      <w:r w:rsidRPr="0068773C">
        <w:t>4</w:t>
      </w:r>
      <w:r w:rsidRPr="00CE43D5">
        <w:t xml:space="preserve">, de son règlement intérieur par la commission compétente et l’engagement pris par le représentant du Conseil, par lettre du </w:t>
      </w:r>
      <w:r w:rsidRPr="0068773C">
        <w:t>29</w:t>
      </w:r>
      <w:r w:rsidRPr="00CE43D5">
        <w:t xml:space="preserve"> novembre </w:t>
      </w:r>
      <w:r w:rsidRPr="0068773C">
        <w:t>20</w:t>
      </w:r>
      <w:r w:rsidR="000E2974" w:rsidRPr="0068773C">
        <w:t>23</w:t>
      </w:r>
      <w:r w:rsidRPr="00CE43D5">
        <w:t xml:space="preserve">, d’approuver la position du Parlement européen, conformément à l’article </w:t>
      </w:r>
      <w:r w:rsidRPr="0068773C">
        <w:t>294</w:t>
      </w:r>
      <w:r w:rsidRPr="00CE43D5">
        <w:t xml:space="preserve">, paragraphe </w:t>
      </w:r>
      <w:r w:rsidRPr="0068773C">
        <w:t>4</w:t>
      </w:r>
      <w:r w:rsidRPr="00CE43D5">
        <w:t>, du traité sur le fonctionnement de l’Union européenne,</w:t>
      </w:r>
    </w:p>
    <w:p w:rsidR="0092317B" w:rsidRPr="00CE43D5" w:rsidRDefault="0092317B" w:rsidP="0092317B">
      <w:pPr>
        <w:pStyle w:val="NormalHanging12a"/>
      </w:pPr>
      <w:r w:rsidRPr="00CE43D5">
        <w:t>–</w:t>
      </w:r>
      <w:r w:rsidRPr="00CE43D5">
        <w:tab/>
        <w:t>vu l’article </w:t>
      </w:r>
      <w:r w:rsidRPr="0068773C">
        <w:t>59</w:t>
      </w:r>
      <w:r w:rsidRPr="00CE43D5">
        <w:t xml:space="preserve"> de son règlement intérieur,</w:t>
      </w:r>
    </w:p>
    <w:p w:rsidR="0092317B" w:rsidRPr="00CE43D5" w:rsidRDefault="0092317B" w:rsidP="0092317B">
      <w:pPr>
        <w:pStyle w:val="NormalHanging12a"/>
      </w:pPr>
      <w:r w:rsidRPr="00CE43D5">
        <w:t>–</w:t>
      </w:r>
      <w:r w:rsidRPr="00CE43D5">
        <w:tab/>
        <w:t>vu le rapport de la commission des libertés civiles, de la justice et des affaires intérieures (A</w:t>
      </w:r>
      <w:r w:rsidRPr="0068773C">
        <w:t>9</w:t>
      </w:r>
      <w:r w:rsidRPr="00CE43D5">
        <w:t>-</w:t>
      </w:r>
      <w:r w:rsidRPr="0068773C">
        <w:t>0200</w:t>
      </w:r>
      <w:r w:rsidRPr="00CE43D5">
        <w:t>/</w:t>
      </w:r>
      <w:r w:rsidRPr="0068773C">
        <w:t>2023</w:t>
      </w:r>
      <w:r w:rsidRPr="00CE43D5">
        <w:t>),</w:t>
      </w:r>
    </w:p>
    <w:p w:rsidR="0092317B" w:rsidRPr="00CE43D5" w:rsidRDefault="0092317B" w:rsidP="0092317B">
      <w:pPr>
        <w:pStyle w:val="NormalHanging12a"/>
      </w:pPr>
      <w:r w:rsidRPr="0068773C">
        <w:t>1</w:t>
      </w:r>
      <w:r w:rsidRPr="00CE43D5">
        <w:t>.</w:t>
      </w:r>
      <w:r w:rsidRPr="00CE43D5">
        <w:tab/>
        <w:t>arrête la position en première lecture figurant ci-après;</w:t>
      </w:r>
    </w:p>
    <w:p w:rsidR="0092317B" w:rsidRPr="00CE43D5" w:rsidRDefault="0092317B" w:rsidP="0092317B">
      <w:pPr>
        <w:pStyle w:val="NormalHanging12a"/>
      </w:pPr>
      <w:r w:rsidRPr="0068773C">
        <w:lastRenderedPageBreak/>
        <w:t>2</w:t>
      </w:r>
      <w:r w:rsidRPr="00CE43D5">
        <w:t>.</w:t>
      </w:r>
      <w:r w:rsidRPr="00CE43D5">
        <w:tab/>
        <w:t>demande à la Commission de le saisir à nouveau, si elle remplace, modifie de manière substantielle ou entend modifier de manière substantielle sa proposition;</w:t>
      </w:r>
    </w:p>
    <w:p w:rsidR="0068773C" w:rsidRDefault="0092317B" w:rsidP="0092317B">
      <w:pPr>
        <w:pStyle w:val="NormalHanging12a"/>
        <w:sectPr w:rsidR="0068773C" w:rsidSect="006E09A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8773C">
        <w:t>3</w:t>
      </w:r>
      <w:r w:rsidRPr="00CE43D5">
        <w:t>.</w:t>
      </w:r>
      <w:r w:rsidRPr="00CE43D5">
        <w:tab/>
        <w:t>charge sa Présidente de transmettre la position du Parlement au Conseil et à la Commission ainsi qu’aux parlements nationaux.</w:t>
      </w:r>
    </w:p>
    <w:p w:rsidR="000E2974" w:rsidRPr="00CE43D5" w:rsidRDefault="000E2974" w:rsidP="000E2974">
      <w:pPr>
        <w:spacing w:after="240"/>
        <w:rPr>
          <w:b/>
        </w:rPr>
      </w:pPr>
      <w:bookmarkStart w:id="8" w:name="TextBodyEnd"/>
      <w:bookmarkEnd w:id="8"/>
      <w:r w:rsidRPr="00CE43D5">
        <w:rPr>
          <w:b/>
        </w:rPr>
        <w:lastRenderedPageBreak/>
        <w:t>P</w:t>
      </w:r>
      <w:r w:rsidRPr="0068773C">
        <w:rPr>
          <w:b/>
        </w:rPr>
        <w:t>9</w:t>
      </w:r>
      <w:r w:rsidRPr="00CE43D5">
        <w:rPr>
          <w:b/>
        </w:rPr>
        <w:t>_TC</w:t>
      </w:r>
      <w:r w:rsidRPr="0068773C">
        <w:rPr>
          <w:b/>
        </w:rPr>
        <w:t>1</w:t>
      </w:r>
      <w:r w:rsidRPr="00CE43D5">
        <w:rPr>
          <w:b/>
        </w:rPr>
        <w:t>-COD(</w:t>
      </w:r>
      <w:r w:rsidRPr="0068773C">
        <w:rPr>
          <w:b/>
        </w:rPr>
        <w:t>2021</w:t>
      </w:r>
      <w:r w:rsidRPr="00CE43D5">
        <w:rPr>
          <w:b/>
        </w:rPr>
        <w:t>)</w:t>
      </w:r>
      <w:r w:rsidRPr="0068773C">
        <w:rPr>
          <w:b/>
        </w:rPr>
        <w:t>0410</w:t>
      </w:r>
    </w:p>
    <w:p w:rsidR="000E2974" w:rsidRDefault="000E2974" w:rsidP="000E2974">
      <w:pPr>
        <w:spacing w:after="240"/>
        <w:rPr>
          <w:rFonts w:eastAsiaTheme="minorHAnsi"/>
          <w:b/>
          <w:szCs w:val="22"/>
          <w:lang w:eastAsia="en-US"/>
        </w:rPr>
      </w:pPr>
      <w:r w:rsidRPr="00CE43D5">
        <w:rPr>
          <w:b/>
        </w:rPr>
        <w:t xml:space="preserve">Position du Parlement européen arrêtée en première lecture le </w:t>
      </w:r>
      <w:r w:rsidRPr="0068773C">
        <w:rPr>
          <w:b/>
        </w:rPr>
        <w:t>8</w:t>
      </w:r>
      <w:r w:rsidRPr="00CE43D5">
        <w:rPr>
          <w:b/>
        </w:rPr>
        <w:t xml:space="preserve"> février </w:t>
      </w:r>
      <w:r w:rsidRPr="0068773C">
        <w:rPr>
          <w:b/>
        </w:rPr>
        <w:t>2024</w:t>
      </w:r>
      <w:r w:rsidRPr="00CE43D5">
        <w:rPr>
          <w:b/>
        </w:rPr>
        <w:t xml:space="preserve"> en vue de l’adoption du règlement (UE) </w:t>
      </w:r>
      <w:r w:rsidRPr="0068773C">
        <w:rPr>
          <w:b/>
        </w:rPr>
        <w:t>2024</w:t>
      </w:r>
      <w:r w:rsidRPr="00CE43D5">
        <w:rPr>
          <w:b/>
        </w:rPr>
        <w:t xml:space="preserve">/... du Parlement européen et du Conseil </w:t>
      </w:r>
      <w:r w:rsidRPr="00CE43D5">
        <w:rPr>
          <w:rFonts w:eastAsiaTheme="minorHAnsi"/>
          <w:b/>
          <w:szCs w:val="22"/>
          <w:lang w:eastAsia="en-US"/>
        </w:rPr>
        <w:t xml:space="preserve">relatif à la consultation et l’échange automatisés de données dans le cadre de la coopération policière, et modifiant les décisions </w:t>
      </w:r>
      <w:r w:rsidRPr="0068773C">
        <w:rPr>
          <w:rFonts w:eastAsiaTheme="minorHAnsi"/>
          <w:b/>
          <w:szCs w:val="22"/>
          <w:lang w:eastAsia="en-US"/>
        </w:rPr>
        <w:t>2008</w:t>
      </w:r>
      <w:r w:rsidRPr="00CE43D5">
        <w:rPr>
          <w:rFonts w:eastAsiaTheme="minorHAnsi"/>
          <w:b/>
          <w:szCs w:val="22"/>
          <w:lang w:eastAsia="en-US"/>
        </w:rPr>
        <w:t>/</w:t>
      </w:r>
      <w:r w:rsidRPr="0068773C">
        <w:rPr>
          <w:rFonts w:eastAsiaTheme="minorHAnsi"/>
          <w:b/>
          <w:szCs w:val="22"/>
          <w:lang w:eastAsia="en-US"/>
        </w:rPr>
        <w:t>615</w:t>
      </w:r>
      <w:r w:rsidRPr="00CE43D5">
        <w:rPr>
          <w:rFonts w:eastAsiaTheme="minorHAnsi"/>
          <w:b/>
          <w:szCs w:val="22"/>
          <w:lang w:eastAsia="en-US"/>
        </w:rPr>
        <w:t xml:space="preserve">/JAI et </w:t>
      </w:r>
      <w:r w:rsidRPr="0068773C">
        <w:rPr>
          <w:rFonts w:eastAsiaTheme="minorHAnsi"/>
          <w:b/>
          <w:szCs w:val="22"/>
          <w:lang w:eastAsia="en-US"/>
        </w:rPr>
        <w:t>2008</w:t>
      </w:r>
      <w:r w:rsidRPr="00CE43D5">
        <w:rPr>
          <w:rFonts w:eastAsiaTheme="minorHAnsi"/>
          <w:b/>
          <w:szCs w:val="22"/>
          <w:lang w:eastAsia="en-US"/>
        </w:rPr>
        <w:t>/</w:t>
      </w:r>
      <w:r w:rsidRPr="0068773C">
        <w:rPr>
          <w:rFonts w:eastAsiaTheme="minorHAnsi"/>
          <w:b/>
          <w:szCs w:val="22"/>
          <w:lang w:eastAsia="en-US"/>
        </w:rPr>
        <w:t>616</w:t>
      </w:r>
      <w:r w:rsidRPr="00CE43D5">
        <w:rPr>
          <w:rFonts w:eastAsiaTheme="minorHAnsi"/>
          <w:b/>
          <w:szCs w:val="22"/>
          <w:lang w:eastAsia="en-US"/>
        </w:rPr>
        <w:t>/JAI du Conseil et les règlements (UE) </w:t>
      </w:r>
      <w:r w:rsidRPr="0068773C">
        <w:rPr>
          <w:rFonts w:eastAsiaTheme="minorHAnsi"/>
          <w:b/>
          <w:szCs w:val="22"/>
          <w:lang w:eastAsia="en-US"/>
        </w:rPr>
        <w:t>2018</w:t>
      </w:r>
      <w:r w:rsidRPr="00CE43D5">
        <w:rPr>
          <w:rFonts w:eastAsiaTheme="minorHAnsi"/>
          <w:b/>
          <w:szCs w:val="22"/>
          <w:lang w:eastAsia="en-US"/>
        </w:rPr>
        <w:t>/</w:t>
      </w:r>
      <w:r w:rsidRPr="0068773C">
        <w:rPr>
          <w:rFonts w:eastAsiaTheme="minorHAnsi"/>
          <w:b/>
          <w:szCs w:val="22"/>
          <w:lang w:eastAsia="en-US"/>
        </w:rPr>
        <w:t>1726</w:t>
      </w:r>
      <w:r w:rsidRPr="00CE43D5">
        <w:rPr>
          <w:rFonts w:eastAsiaTheme="minorHAnsi"/>
          <w:b/>
          <w:szCs w:val="22"/>
          <w:lang w:eastAsia="en-US"/>
        </w:rPr>
        <w:t>, (UE) </w:t>
      </w:r>
      <w:r w:rsidRPr="0068773C">
        <w:rPr>
          <w:rFonts w:eastAsiaTheme="minorHAnsi"/>
          <w:b/>
          <w:szCs w:val="22"/>
          <w:lang w:eastAsia="en-US"/>
        </w:rPr>
        <w:t>2019</w:t>
      </w:r>
      <w:r w:rsidRPr="00CE43D5">
        <w:rPr>
          <w:rFonts w:eastAsiaTheme="minorHAnsi"/>
          <w:b/>
          <w:szCs w:val="22"/>
          <w:lang w:eastAsia="en-US"/>
        </w:rPr>
        <w:t>/</w:t>
      </w:r>
      <w:r w:rsidRPr="0068773C">
        <w:rPr>
          <w:rFonts w:eastAsiaTheme="minorHAnsi"/>
          <w:b/>
          <w:szCs w:val="22"/>
          <w:lang w:eastAsia="en-US"/>
        </w:rPr>
        <w:t>817</w:t>
      </w:r>
      <w:r w:rsidRPr="00CE43D5">
        <w:rPr>
          <w:rFonts w:eastAsiaTheme="minorHAnsi"/>
          <w:b/>
          <w:szCs w:val="22"/>
          <w:lang w:eastAsia="en-US"/>
        </w:rPr>
        <w:t xml:space="preserve"> et (UE) </w:t>
      </w:r>
      <w:r w:rsidRPr="0068773C">
        <w:rPr>
          <w:rFonts w:eastAsiaTheme="minorHAnsi"/>
          <w:b/>
          <w:szCs w:val="22"/>
          <w:lang w:eastAsia="en-US"/>
        </w:rPr>
        <w:t>2019</w:t>
      </w:r>
      <w:r w:rsidRPr="00CE43D5">
        <w:rPr>
          <w:rFonts w:eastAsiaTheme="minorHAnsi"/>
          <w:b/>
          <w:szCs w:val="22"/>
          <w:lang w:eastAsia="en-US"/>
        </w:rPr>
        <w:t>/</w:t>
      </w:r>
      <w:r w:rsidRPr="0068773C">
        <w:rPr>
          <w:rFonts w:eastAsiaTheme="minorHAnsi"/>
          <w:b/>
          <w:szCs w:val="22"/>
          <w:lang w:eastAsia="en-US"/>
        </w:rPr>
        <w:t>818</w:t>
      </w:r>
      <w:r w:rsidRPr="00CE43D5">
        <w:rPr>
          <w:rFonts w:eastAsiaTheme="minorHAnsi"/>
          <w:b/>
          <w:szCs w:val="22"/>
          <w:lang w:eastAsia="en-US"/>
        </w:rPr>
        <w:t xml:space="preserve"> du Parlement européen et du Conseil (règlement Prüm II)</w:t>
      </w:r>
    </w:p>
    <w:p w:rsidR="00990514" w:rsidRPr="00CE43D5" w:rsidRDefault="00990514" w:rsidP="000E2974">
      <w:pPr>
        <w:spacing w:after="240"/>
        <w:rPr>
          <w:rFonts w:eastAsiaTheme="minorHAnsi"/>
          <w:b/>
          <w:szCs w:val="22"/>
          <w:lang w:eastAsia="en-US"/>
        </w:rPr>
      </w:pPr>
      <w:r>
        <w:rPr>
          <w:i/>
          <w:iCs/>
        </w:rPr>
        <w:t>(Étant donné l'accord intervenu entre le Parlement et le Conseil, la position du Parlement correspond à l'acte législatif f</w:t>
      </w:r>
      <w:r>
        <w:rPr>
          <w:i/>
          <w:iCs/>
        </w:rPr>
        <w:t>inal, le règlement (UE) 2024/982</w:t>
      </w:r>
      <w:bookmarkStart w:id="9" w:name="_GoBack"/>
      <w:bookmarkEnd w:id="9"/>
      <w:r>
        <w:rPr>
          <w:i/>
          <w:iCs/>
        </w:rPr>
        <w:t>).</w:t>
      </w:r>
    </w:p>
    <w:sectPr w:rsidR="00990514" w:rsidRPr="00CE43D5" w:rsidSect="006E09A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CCC" w:rsidRPr="006E09A0" w:rsidRDefault="008C6CCC">
      <w:r w:rsidRPr="006E09A0">
        <w:separator/>
      </w:r>
    </w:p>
  </w:endnote>
  <w:endnote w:type="continuationSeparator" w:id="0">
    <w:p w:rsidR="008C6CCC" w:rsidRPr="006E09A0" w:rsidRDefault="008C6CCC">
      <w:r w:rsidRPr="006E09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09A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09A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09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CCC" w:rsidRPr="006E09A0" w:rsidRDefault="008C6CCC">
      <w:r w:rsidRPr="006E09A0">
        <w:separator/>
      </w:r>
    </w:p>
  </w:footnote>
  <w:footnote w:type="continuationSeparator" w:id="0">
    <w:p w:rsidR="008C6CCC" w:rsidRPr="006E09A0" w:rsidRDefault="008C6CCC">
      <w:r w:rsidRPr="006E09A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09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09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09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FR"/>
    <w:docVar w:name="dvnumam" w:val="286"/>
    <w:docVar w:name="dvpe" w:val="736.469"/>
    <w:docVar w:name="dvrapporteur" w:val="Rapporteur: "/>
    <w:docVar w:name="dvstar" w:val="***I"/>
    <w:docVar w:name="dvtitre" w:val="Résolution législative du Parlement européen du ... 2024 sur la proposition de règlement du Parlement européen et du Conseil relatif à l’échange automatisé de données dans le cadre de la coopération policière («Prüm II»), modifiant les décisions 2008/615/JAI et 2008/616/JAI du Conseil et les règlements (UE) 2018/1726, 2019/817 et 2019/818 du Parlement européen et du Conseil(COM(2021)0784(COR1) – C9-0455/2021 – 2021/0410(COD))"/>
  </w:docVars>
  <w:rsids>
    <w:rsidRoot w:val="008C6CCC"/>
    <w:rsid w:val="00002272"/>
    <w:rsid w:val="00064002"/>
    <w:rsid w:val="000677B9"/>
    <w:rsid w:val="000831BA"/>
    <w:rsid w:val="000A42CC"/>
    <w:rsid w:val="000E2974"/>
    <w:rsid w:val="000E7DD9"/>
    <w:rsid w:val="0010095E"/>
    <w:rsid w:val="00124CF0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5F04"/>
    <w:rsid w:val="00617652"/>
    <w:rsid w:val="006245FC"/>
    <w:rsid w:val="006427F9"/>
    <w:rsid w:val="006631B6"/>
    <w:rsid w:val="00680577"/>
    <w:rsid w:val="0068773C"/>
    <w:rsid w:val="006E09A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D0C"/>
    <w:rsid w:val="00802720"/>
    <w:rsid w:val="00817416"/>
    <w:rsid w:val="00842779"/>
    <w:rsid w:val="00865F67"/>
    <w:rsid w:val="00881A7B"/>
    <w:rsid w:val="008840E5"/>
    <w:rsid w:val="00887B3E"/>
    <w:rsid w:val="008C2AC6"/>
    <w:rsid w:val="008C6CCC"/>
    <w:rsid w:val="0092317B"/>
    <w:rsid w:val="00930C23"/>
    <w:rsid w:val="0093193B"/>
    <w:rsid w:val="009509D8"/>
    <w:rsid w:val="00950B64"/>
    <w:rsid w:val="00981893"/>
    <w:rsid w:val="00990514"/>
    <w:rsid w:val="00A1687D"/>
    <w:rsid w:val="00A43E52"/>
    <w:rsid w:val="00A4678D"/>
    <w:rsid w:val="00A6452B"/>
    <w:rsid w:val="00A778C7"/>
    <w:rsid w:val="00AB441E"/>
    <w:rsid w:val="00AB6293"/>
    <w:rsid w:val="00AE0928"/>
    <w:rsid w:val="00AF3B82"/>
    <w:rsid w:val="00B12E95"/>
    <w:rsid w:val="00B22876"/>
    <w:rsid w:val="00B558F0"/>
    <w:rsid w:val="00B664E9"/>
    <w:rsid w:val="00BD48FE"/>
    <w:rsid w:val="00BD7BD8"/>
    <w:rsid w:val="00BE6ADC"/>
    <w:rsid w:val="00C05BFE"/>
    <w:rsid w:val="00C23CD4"/>
    <w:rsid w:val="00C61C0C"/>
    <w:rsid w:val="00C941CB"/>
    <w:rsid w:val="00CC2357"/>
    <w:rsid w:val="00CE43D5"/>
    <w:rsid w:val="00CF071A"/>
    <w:rsid w:val="00D058B8"/>
    <w:rsid w:val="00D07E17"/>
    <w:rsid w:val="00D56C11"/>
    <w:rsid w:val="00D834A0"/>
    <w:rsid w:val="00D872DF"/>
    <w:rsid w:val="00D91E21"/>
    <w:rsid w:val="00DA7FCD"/>
    <w:rsid w:val="00E365E1"/>
    <w:rsid w:val="00E820A4"/>
    <w:rsid w:val="00EB006A"/>
    <w:rsid w:val="00EB2887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46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D60E5E"/>
  <w15:chartTrackingRefBased/>
  <w15:docId w15:val="{5A4E1B5B-1723-48DA-81A6-56C795E8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2317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17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17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17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2317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2317B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92317B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92317B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92317B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92317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2317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2317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2317B"/>
    <w:pPr>
      <w:spacing w:after="120"/>
    </w:pPr>
  </w:style>
  <w:style w:type="paragraph" w:customStyle="1" w:styleId="PageHeading">
    <w:name w:val="PageHeading"/>
    <w:basedOn w:val="Normal"/>
    <w:rsid w:val="0092317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2317B"/>
    <w:rPr>
      <w:b/>
    </w:rPr>
  </w:style>
  <w:style w:type="paragraph" w:customStyle="1" w:styleId="NormalBold12a">
    <w:name w:val="NormalBold12a"/>
    <w:basedOn w:val="Normal"/>
    <w:rsid w:val="0092317B"/>
    <w:pPr>
      <w:spacing w:after="240"/>
    </w:pPr>
    <w:rPr>
      <w:b/>
    </w:rPr>
  </w:style>
  <w:style w:type="paragraph" w:customStyle="1" w:styleId="AmJustText">
    <w:name w:val="AmJustText"/>
    <w:basedOn w:val="Normal"/>
    <w:rsid w:val="0092317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2317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2317B"/>
    <w:pPr>
      <w:spacing w:after="480"/>
      <w:ind w:left="1417"/>
    </w:pPr>
  </w:style>
  <w:style w:type="paragraph" w:customStyle="1" w:styleId="CoverNormal">
    <w:name w:val="CoverNormal"/>
    <w:basedOn w:val="Normal"/>
    <w:rsid w:val="0092317B"/>
    <w:pPr>
      <w:ind w:left="1418"/>
    </w:pPr>
  </w:style>
  <w:style w:type="paragraph" w:customStyle="1" w:styleId="AmCrossRef">
    <w:name w:val="AmCrossRef"/>
    <w:basedOn w:val="Normal"/>
    <w:rsid w:val="0092317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2317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2317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2317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2317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2317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231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17B"/>
    <w:rPr>
      <w:sz w:val="24"/>
      <w:lang w:val="fr-FR"/>
    </w:rPr>
  </w:style>
  <w:style w:type="paragraph" w:customStyle="1" w:styleId="AmOrLang">
    <w:name w:val="AmOrLang"/>
    <w:basedOn w:val="Normal"/>
    <w:rsid w:val="0092317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2317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231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2317B"/>
    <w:pPr>
      <w:spacing w:before="240"/>
    </w:pPr>
    <w:rPr>
      <w:b/>
    </w:rPr>
  </w:style>
  <w:style w:type="paragraph" w:customStyle="1" w:styleId="EPBody">
    <w:name w:val="EPBody"/>
    <w:basedOn w:val="Normal"/>
    <w:rsid w:val="0092317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2317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2317B"/>
    <w:pPr>
      <w:spacing w:before="480" w:after="240"/>
    </w:pPr>
  </w:style>
  <w:style w:type="paragraph" w:customStyle="1" w:styleId="Lgendesigne">
    <w:name w:val="Légende signe"/>
    <w:basedOn w:val="Normal"/>
    <w:rsid w:val="0092317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2317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2317B"/>
    <w:rPr>
      <w:sz w:val="18"/>
    </w:rPr>
  </w:style>
  <w:style w:type="character" w:customStyle="1" w:styleId="NormalBoldChar">
    <w:name w:val="NormalBold Char"/>
    <w:basedOn w:val="DefaultParagraphFont"/>
    <w:link w:val="NormalBold"/>
    <w:rsid w:val="0092317B"/>
    <w:rPr>
      <w:b/>
      <w:sz w:val="24"/>
      <w:lang w:val="fr-FR"/>
    </w:rPr>
  </w:style>
  <w:style w:type="paragraph" w:customStyle="1" w:styleId="EntPE">
    <w:name w:val="EntPE"/>
    <w:basedOn w:val="Normal12"/>
    <w:rsid w:val="0092317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92317B"/>
    <w:pPr>
      <w:spacing w:after="240"/>
    </w:pPr>
    <w:rPr>
      <w:noProof/>
    </w:rPr>
  </w:style>
  <w:style w:type="paragraph" w:customStyle="1" w:styleId="CommitteeAM">
    <w:name w:val="CommitteeAM"/>
    <w:basedOn w:val="Normal"/>
    <w:rsid w:val="0092317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2317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2317B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92317B"/>
    <w:rPr>
      <w:noProof/>
      <w:sz w:val="24"/>
      <w:lang w:val="fr-FR"/>
    </w:rPr>
  </w:style>
  <w:style w:type="paragraph" w:customStyle="1" w:styleId="PELeft">
    <w:name w:val="PELeft"/>
    <w:basedOn w:val="Normal"/>
    <w:rsid w:val="0092317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2317B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92317B"/>
    <w:pPr>
      <w:spacing w:after="120"/>
    </w:pPr>
  </w:style>
  <w:style w:type="paragraph" w:customStyle="1" w:styleId="Normal12Italic">
    <w:name w:val="Normal12Italic"/>
    <w:basedOn w:val="Normal12"/>
    <w:rsid w:val="0092317B"/>
    <w:rPr>
      <w:i/>
    </w:rPr>
  </w:style>
  <w:style w:type="paragraph" w:customStyle="1" w:styleId="JustificationTitle">
    <w:name w:val="JustificationTitle"/>
    <w:basedOn w:val="Normal"/>
    <w:next w:val="Normal12"/>
    <w:rsid w:val="0092317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2317B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92317B"/>
    <w:rPr>
      <w:sz w:val="24"/>
      <w:lang w:val="fr-FR"/>
    </w:rPr>
  </w:style>
  <w:style w:type="paragraph" w:customStyle="1" w:styleId="ColumnHeading">
    <w:name w:val="ColumnHeading"/>
    <w:basedOn w:val="Normal"/>
    <w:rsid w:val="0092317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231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2317B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92317B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92317B"/>
    <w:rPr>
      <w:sz w:val="22"/>
      <w:lang w:val="fr-FR"/>
    </w:rPr>
  </w:style>
  <w:style w:type="paragraph" w:customStyle="1" w:styleId="Footer2">
    <w:name w:val="Footer2"/>
    <w:basedOn w:val="Normal12"/>
    <w:rsid w:val="0092317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92317B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9231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2317B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uiPriority w:val="99"/>
    <w:rsid w:val="009231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2317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317B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231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2317B"/>
    <w:rPr>
      <w:b/>
      <w:bCs/>
      <w:lang w:val="fr-FR"/>
    </w:rPr>
  </w:style>
  <w:style w:type="paragraph" w:customStyle="1" w:styleId="norm">
    <w:name w:val="norm"/>
    <w:basedOn w:val="Normal"/>
    <w:rsid w:val="0092317B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92317B"/>
    <w:rPr>
      <w:color w:val="0000FF"/>
      <w:u w:val="single"/>
    </w:rPr>
  </w:style>
  <w:style w:type="character" w:customStyle="1" w:styleId="superscript">
    <w:name w:val="superscript"/>
    <w:basedOn w:val="DefaultParagraphFont"/>
    <w:rsid w:val="0092317B"/>
  </w:style>
  <w:style w:type="paragraph" w:styleId="Revision">
    <w:name w:val="Revision"/>
    <w:hidden/>
    <w:uiPriority w:val="99"/>
    <w:semiHidden/>
    <w:rsid w:val="0092317B"/>
    <w:rPr>
      <w:sz w:val="24"/>
      <w:lang w:val="fr-FR"/>
    </w:rPr>
  </w:style>
  <w:style w:type="character" w:styleId="FollowedHyperlink">
    <w:name w:val="FollowedHyperlink"/>
    <w:basedOn w:val="DefaultParagraphFont"/>
    <w:uiPriority w:val="99"/>
    <w:rsid w:val="0092317B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92317B"/>
    <w:pPr>
      <w:spacing w:after="240"/>
    </w:pPr>
  </w:style>
  <w:style w:type="paragraph" w:customStyle="1" w:styleId="RollCallVotes">
    <w:name w:val="RollCallVotes"/>
    <w:basedOn w:val="Normal"/>
    <w:rsid w:val="0092317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2317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2317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2317B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0E297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E2974"/>
    <w:pPr>
      <w:spacing w:after="240"/>
      <w:jc w:val="center"/>
    </w:pPr>
  </w:style>
  <w:style w:type="paragraph" w:customStyle="1" w:styleId="AmDateTab">
    <w:name w:val="AmDateTab"/>
    <w:basedOn w:val="Normal"/>
    <w:rsid w:val="000E297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E297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E2974"/>
  </w:style>
  <w:style w:type="paragraph" w:styleId="TOC4">
    <w:name w:val="toc 4"/>
    <w:basedOn w:val="Normal"/>
    <w:next w:val="Normal"/>
    <w:uiPriority w:val="39"/>
    <w:unhideWhenUsed/>
    <w:rsid w:val="000E297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E2974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E2974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E2974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E2974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E2974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0E2974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0E2974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0E297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0E297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0E2974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0E2974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0E2974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0E2974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0E2974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0E2974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0E2974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0E2974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E297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E2974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0E2974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0E2974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0E2974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0E2974"/>
    <w:pPr>
      <w:numPr>
        <w:numId w:val="12"/>
      </w:numPr>
    </w:pPr>
  </w:style>
  <w:style w:type="paragraph" w:customStyle="1" w:styleId="Tiret1">
    <w:name w:val="Tiret 1"/>
    <w:basedOn w:val="Point1"/>
    <w:rsid w:val="000E2974"/>
    <w:pPr>
      <w:numPr>
        <w:numId w:val="13"/>
      </w:numPr>
    </w:pPr>
  </w:style>
  <w:style w:type="paragraph" w:customStyle="1" w:styleId="Tiret2">
    <w:name w:val="Tiret 2"/>
    <w:basedOn w:val="Point2"/>
    <w:rsid w:val="000E2974"/>
    <w:pPr>
      <w:numPr>
        <w:numId w:val="14"/>
      </w:numPr>
    </w:pPr>
  </w:style>
  <w:style w:type="paragraph" w:customStyle="1" w:styleId="Tiret3">
    <w:name w:val="Tiret 3"/>
    <w:basedOn w:val="Point3"/>
    <w:rsid w:val="000E2974"/>
    <w:pPr>
      <w:numPr>
        <w:numId w:val="15"/>
      </w:numPr>
    </w:pPr>
  </w:style>
  <w:style w:type="paragraph" w:customStyle="1" w:styleId="Tiret4">
    <w:name w:val="Tiret 4"/>
    <w:basedOn w:val="Point4"/>
    <w:rsid w:val="000E2974"/>
    <w:pPr>
      <w:numPr>
        <w:numId w:val="16"/>
      </w:numPr>
    </w:pPr>
  </w:style>
  <w:style w:type="paragraph" w:customStyle="1" w:styleId="PointDouble0">
    <w:name w:val="PointDouble 0"/>
    <w:basedOn w:val="Normal"/>
    <w:rsid w:val="000E2974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0E2974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0E2974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0E2974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0E2974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0E297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0E297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0E297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0E297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0E297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0E2974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0E2974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0E2974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0E2974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E297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E297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E297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E297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0E2974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E2974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E297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E297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E297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E297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E297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E297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E2974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0E297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E2974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0E2974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0E2974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E2974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0E2974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E2974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E2974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0E2974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E2974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E2974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E2974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0E2974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0E2974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0E2974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0E2974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0E2974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E2974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E2974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E297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E2974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E2974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E2974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0E297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E297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E297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E297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E2974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E2974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E2974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E2974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0E2974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E2974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E297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E297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0E2974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E2974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E2974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E2974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E2974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E2974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E297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E297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E297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E2974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E2974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E297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0E297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E297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E2974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E2974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E2974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E297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0E2974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E297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E297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E2974"/>
  </w:style>
  <w:style w:type="paragraph" w:customStyle="1" w:styleId="StatutPagedecouverture">
    <w:name w:val="Statut (Page de couverture)"/>
    <w:basedOn w:val="Statut"/>
    <w:next w:val="TypedudocumentPagedecouverture"/>
    <w:rsid w:val="000E2974"/>
  </w:style>
  <w:style w:type="paragraph" w:customStyle="1" w:styleId="TitreobjetPagedecouverture">
    <w:name w:val="Titre objet (Page de couverture)"/>
    <w:basedOn w:val="Titreobjet"/>
    <w:next w:val="IntrtEEEPagedecouverture"/>
    <w:rsid w:val="000E2974"/>
  </w:style>
  <w:style w:type="paragraph" w:customStyle="1" w:styleId="TypedudocumentPagedecouverture">
    <w:name w:val="Type du document (Page de couverture)"/>
    <w:basedOn w:val="Typedudocument"/>
    <w:next w:val="TitreobjetPagedecouverture"/>
    <w:rsid w:val="000E2974"/>
  </w:style>
  <w:style w:type="paragraph" w:customStyle="1" w:styleId="Volume">
    <w:name w:val="Volume"/>
    <w:basedOn w:val="Normal"/>
    <w:next w:val="Confidentialit"/>
    <w:rsid w:val="000E2974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E2974"/>
    <w:pPr>
      <w:spacing w:after="240"/>
    </w:pPr>
  </w:style>
  <w:style w:type="paragraph" w:customStyle="1" w:styleId="Accompagnant">
    <w:name w:val="Accompagnant"/>
    <w:basedOn w:val="Normal"/>
    <w:next w:val="Typeacteprincipal"/>
    <w:rsid w:val="000E2974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E2974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E2974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0E2974"/>
  </w:style>
  <w:style w:type="paragraph" w:customStyle="1" w:styleId="AccompagnantPagedecouverture">
    <w:name w:val="Accompagnant (Page de couverture)"/>
    <w:basedOn w:val="Accompagnant"/>
    <w:next w:val="TypeacteprincipalPagedecouverture"/>
    <w:rsid w:val="000E297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E2974"/>
  </w:style>
  <w:style w:type="paragraph" w:customStyle="1" w:styleId="ObjetacteprincipalPagedecouverture">
    <w:name w:val="Objet acte principal (Page de couverture)"/>
    <w:basedOn w:val="Objetacteprincipal"/>
    <w:next w:val="Rfrencecroise"/>
    <w:rsid w:val="000E2974"/>
  </w:style>
  <w:style w:type="paragraph" w:customStyle="1" w:styleId="LanguesfaisantfoiPagedecouverture">
    <w:name w:val="Langues faisant foi (Page de couverture)"/>
    <w:basedOn w:val="Normal"/>
    <w:next w:val="Normal"/>
    <w:rsid w:val="000E297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0E2974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0E2974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0E2974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0E2974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0E2974"/>
    <w:pPr>
      <w:spacing w:before="120" w:after="120" w:line="360" w:lineRule="auto"/>
      <w:jc w:val="both"/>
    </w:pPr>
    <w:rPr>
      <w:rFonts w:eastAsiaTheme="minorHAnsi"/>
      <w:sz w:val="24"/>
      <w:szCs w:val="22"/>
      <w:lang w:val="fr-FR" w:eastAsia="en-US"/>
    </w:rPr>
  </w:style>
  <w:style w:type="character" w:customStyle="1" w:styleId="Sub">
    <w:name w:val="Sub"/>
    <w:uiPriority w:val="1"/>
    <w:qFormat/>
    <w:rsid w:val="000E2974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0E2974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0E2974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0E2974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0E2974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0E2974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0E2974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0E2974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0E2974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0E2974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0E2974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0E2974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0E2974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0E2974"/>
    <w:pPr>
      <w:spacing w:before="120"/>
    </w:pPr>
  </w:style>
  <w:style w:type="paragraph" w:customStyle="1" w:styleId="TitlePar3">
    <w:name w:val="TitlePar 3"/>
    <w:basedOn w:val="TitlePar2"/>
    <w:qFormat/>
    <w:rsid w:val="000E2974"/>
    <w:rPr>
      <w:b w:val="0"/>
      <w:i/>
    </w:rPr>
  </w:style>
  <w:style w:type="paragraph" w:customStyle="1" w:styleId="SubsectionTitle">
    <w:name w:val="SubsectionTitle"/>
    <w:basedOn w:val="SectionTitle"/>
    <w:qFormat/>
    <w:rsid w:val="000E2974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0E2974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0E2974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0E2974"/>
    <w:rPr>
      <w:b/>
    </w:rPr>
  </w:style>
  <w:style w:type="paragraph" w:customStyle="1" w:styleId="NumTitle">
    <w:name w:val="NumTitle"/>
    <w:basedOn w:val="Normal"/>
    <w:qFormat/>
    <w:rsid w:val="000E2974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0E2974"/>
  </w:style>
  <w:style w:type="paragraph" w:customStyle="1" w:styleId="Text5">
    <w:name w:val="Text 5"/>
    <w:basedOn w:val="Text4"/>
    <w:qFormat/>
    <w:rsid w:val="000E2974"/>
    <w:pPr>
      <w:ind w:left="3119"/>
    </w:pPr>
  </w:style>
  <w:style w:type="paragraph" w:customStyle="1" w:styleId="Text0">
    <w:name w:val="Text 0"/>
    <w:basedOn w:val="Normal"/>
    <w:qFormat/>
    <w:rsid w:val="000E2974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0E2974"/>
    <w:pPr>
      <w:spacing w:before="360" w:after="120"/>
    </w:pPr>
  </w:style>
  <w:style w:type="paragraph" w:customStyle="1" w:styleId="PartNum">
    <w:name w:val="PartNum"/>
    <w:basedOn w:val="PartTitle"/>
    <w:qFormat/>
    <w:rsid w:val="000E2974"/>
    <w:pPr>
      <w:spacing w:before="360" w:after="120"/>
    </w:pPr>
  </w:style>
  <w:style w:type="paragraph" w:customStyle="1" w:styleId="SectionNum">
    <w:name w:val="SectionNum"/>
    <w:basedOn w:val="SectionTitle"/>
    <w:qFormat/>
    <w:rsid w:val="000E2974"/>
    <w:pPr>
      <w:spacing w:before="360" w:after="120"/>
    </w:pPr>
  </w:style>
  <w:style w:type="paragraph" w:customStyle="1" w:styleId="TitleHeading">
    <w:name w:val="TitleHeading"/>
    <w:basedOn w:val="NumTitle"/>
    <w:qFormat/>
    <w:rsid w:val="000E2974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0E2974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0E2974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0E2974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0E2974"/>
    <w:pPr>
      <w:ind w:left="3686"/>
    </w:pPr>
  </w:style>
  <w:style w:type="paragraph" w:customStyle="1" w:styleId="Point6">
    <w:name w:val="Point 6"/>
    <w:basedOn w:val="Point5"/>
    <w:qFormat/>
    <w:rsid w:val="000E2974"/>
    <w:pPr>
      <w:ind w:left="4253"/>
    </w:pPr>
  </w:style>
  <w:style w:type="character" w:customStyle="1" w:styleId="diff-tte-added">
    <w:name w:val="diff-tte-added"/>
    <w:basedOn w:val="DefaultParagraphFont"/>
    <w:rsid w:val="000E2974"/>
    <w:rPr>
      <w:b/>
      <w:i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E2974"/>
    <w:pPr>
      <w:widowControl/>
    </w:pPr>
    <w:rPr>
      <w:rFonts w:ascii="Consolas" w:eastAsiaTheme="minorHAnsi" w:hAnsi="Consolas" w:cstheme="minorBidi"/>
      <w:sz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E2974"/>
    <w:rPr>
      <w:rFonts w:ascii="Consolas" w:eastAsiaTheme="minorHAnsi" w:hAnsi="Consolas" w:cstheme="minorBidi"/>
      <w:lang w:val="fr-FR" w:eastAsia="en-US"/>
    </w:rPr>
  </w:style>
  <w:style w:type="character" w:styleId="Emphasis">
    <w:name w:val="Emphasis"/>
    <w:basedOn w:val="DefaultParagraphFont"/>
    <w:uiPriority w:val="20"/>
    <w:qFormat/>
    <w:rsid w:val="000E2974"/>
    <w:rPr>
      <w:i/>
      <w:iCs/>
    </w:rPr>
  </w:style>
  <w:style w:type="paragraph" w:customStyle="1" w:styleId="pf0">
    <w:name w:val="pf0"/>
    <w:basedOn w:val="Normal"/>
    <w:rsid w:val="000E2974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character" w:customStyle="1" w:styleId="cf01">
    <w:name w:val="cf01"/>
    <w:basedOn w:val="DefaultParagraphFont"/>
    <w:rsid w:val="000E2974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0E2974"/>
    <w:rPr>
      <w:rFonts w:ascii="Segoe UI" w:hAnsi="Segoe UI" w:cs="Segoe UI" w:hint="default"/>
      <w:color w:val="0000FF"/>
      <w:sz w:val="18"/>
      <w:szCs w:val="18"/>
      <w:u w:val="single"/>
    </w:rPr>
  </w:style>
  <w:style w:type="character" w:customStyle="1" w:styleId="cf21">
    <w:name w:val="cf21"/>
    <w:basedOn w:val="DefaultParagraphFont"/>
    <w:rsid w:val="000E2974"/>
    <w:rPr>
      <w:rFonts w:ascii="Segoe UI" w:hAnsi="Segoe UI" w:cs="Segoe UI" w:hint="default"/>
      <w:sz w:val="18"/>
      <w:szCs w:val="18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29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6BAA4-5E23-4AC1-A4D3-D952A1E18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CORMAN Christel</cp:lastModifiedBy>
  <cp:revision>2</cp:revision>
  <cp:lastPrinted>2004-11-19T15:42:00Z</cp:lastPrinted>
  <dcterms:created xsi:type="dcterms:W3CDTF">2024-04-29T09:18:00Z</dcterms:created>
  <dcterms:modified xsi:type="dcterms:W3CDTF">2024-04-29T09:18:00Z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