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P9_TA(2024)0073</w:t>
      </w:r>
      <w:bookmarkEnd w:id="0"/>
    </w:p>
    <w:p>
      <w:pPr>
        <w:pStyle w:val="ATHeading2"/>
      </w:pPr>
      <w:bookmarkStart w:id="1" w:name="title"/>
      <w:r>
        <w:t>Automatizovaná výmena údajov na účely policajnej spolupráce („prümský rámec II“)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A9-0200/2023</w:instrText>
      </w:r>
      <w:bookmarkEnd w:id="2"/>
      <w:r>
        <w:rPr>
          <w:i/>
        </w:rPr>
        <w:instrText xml:space="preserve"> - Spravodajca: Paulo Rangel)"\l3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občianske slobody, spravodlivosť a vnútorné veci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PE736.469</w:t>
      </w:r>
      <w:bookmarkEnd w:id="4"/>
    </w:p>
    <w:p>
      <w:pPr>
        <w:pStyle w:val="ATHeading3"/>
      </w:pPr>
      <w:bookmarkStart w:id="5" w:name="Sujet"/>
      <w:r>
        <w:t>Legislatívne uznesenie Európskeho parlamentu z 8. februára 2024 o návrhu nariadenia Európskeho parlamentu a Rady o automatizovanej výmene údajov na účely policajnej spolupráce („prümský rámec II“), ktorým sa menia rozhodnutia Rady 2008/615/SVV a 2008/616/SVV a nariadenia Európskeho parlamentu a Rady (EÚ) 2018/1726, (EÚ) 2019/817 a (EÚ) 2019/818</w:t>
      </w:r>
      <w:bookmarkEnd w:id="5"/>
      <w:r>
        <w:t xml:space="preserve"> </w:t>
      </w:r>
      <w:bookmarkStart w:id="6" w:name="References"/>
      <w:r>
        <w:t>(COM(2021)0784(COR1) – C9-0455/2021 – 2021/0410(COD))</w:t>
      </w:r>
      <w:bookmarkEnd w:id="6"/>
    </w:p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 Radu (COM(2021)0784(COR1)),</w:t>
      </w:r>
    </w:p>
    <w:p>
      <w:pPr>
        <w:pStyle w:val="NormalHanging12a"/>
      </w:pPr>
      <w:r>
        <w:t>–</w:t>
      </w:r>
      <w:r>
        <w:tab/>
        <w:t>so zreteľom na článok 294 ods. 2 a článok 16 ods. 2, článok 87 ods. 2 písm. a) a článok 88 ods. 2 Zmluvy o fungovaní Európskej únie, v súlade s ktorými Komisia predložila návrh Európskemu parlamentu (C9</w:t>
      </w:r>
      <w:r>
        <w:noBreakHyphen/>
        <w:t>0455/2021),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 29. novembra 2023,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>so zreteľom na správu Výboru pre občianske slobody, spravodlivosť a vnútorné veci (A9-0200/2023),</w:t>
      </w:r>
    </w:p>
    <w:p>
      <w:pPr>
        <w:pStyle w:val="NormalHanging12a"/>
      </w:pPr>
      <w:r>
        <w:t>1.</w:t>
      </w:r>
      <w:r>
        <w:tab/>
        <w:t>prijíma nasledujúcu pozíciu v prvom čítaní;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 úmysle podstatne zmeniť svoj návrh;</w:t>
      </w:r>
    </w:p>
    <w:p>
      <w:pPr>
        <w:pStyle w:val="NormalHanging12a"/>
      </w:pPr>
      <w:r>
        <w:lastRenderedPageBreak/>
        <w:t>3.</w:t>
      </w:r>
      <w:r>
        <w:tab/>
        <w:t>poveruje svoju predsedníčku, aby postúpila túto pozíciu Rade, Komisii a národným parlamentom.</w:t>
      </w:r>
    </w:p>
    <w:p>
      <w:pPr>
        <w:pStyle w:val="NormalHanging12a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>
        <w:rPr>
          <w:b/>
          <w:lang w:val="sk-SK"/>
        </w:rPr>
        <w:lastRenderedPageBreak/>
        <w:t>P9_TC1-COD(2021)0410</w:t>
      </w:r>
    </w:p>
    <w:p>
      <w:pPr>
        <w:pStyle w:val="NormalHanging12a"/>
        <w:ind w:left="0" w:firstLine="0"/>
        <w:rPr>
          <w:rFonts w:eastAsiaTheme="minorHAnsi"/>
          <w:b/>
          <w:szCs w:val="22"/>
          <w:lang w:eastAsia="en-US"/>
        </w:rPr>
      </w:pPr>
      <w:r>
        <w:rPr>
          <w:b/>
        </w:rPr>
        <w:t xml:space="preserve">Pozícia Európskeho parlamentu prijatá v prvom čítaní 8. februára 2024 na účely prijatia nariadenia Európskeho parlamentu a Rady (EÚ) 2024/... </w:t>
      </w:r>
      <w:r>
        <w:rPr>
          <w:rFonts w:eastAsiaTheme="minorHAnsi"/>
          <w:b/>
          <w:szCs w:val="22"/>
          <w:lang w:eastAsia="en-US"/>
        </w:rPr>
        <w:t>o automatizovanom vyhľadávaní a výmene údajov na účely policajnej spolupráce a o zmene rozhodnutí Rady 2008/615/SVV a 2008/616/SVV a nariadení Európskeho parlamentu a Rady (EÚ) 2018/1726, (EÚ) 2019/817 a (EÚ) 2019/818 (prümské nariadenie II)</w:t>
      </w:r>
    </w:p>
    <w:p>
      <w:pPr>
        <w:rPr>
          <w:i/>
          <w:iCs/>
        </w:rPr>
      </w:pPr>
      <w:r>
        <w:rPr>
          <w:i/>
          <w:iCs/>
        </w:rPr>
        <w:t>(Keďže bola dosiahnutá dohoda medzi Európskym parlamentom a Radou, pozícia Európskeho parlamentu zodpovedá záverečnému legislatívnemu aktu, nariadeniu (</w:t>
      </w:r>
      <w:r>
        <w:rPr>
          <w:i/>
          <w:iCs/>
        </w:rPr>
        <w:t>EÚ) 2024/982</w:t>
      </w:r>
      <w:r>
        <w:rPr>
          <w:i/>
          <w:iCs/>
        </w:rPr>
        <w:t>.)</w:t>
      </w:r>
      <w:bookmarkStart w:id="8" w:name="_GoBack"/>
      <w:bookmarkEnd w:id="8"/>
    </w:p>
    <w:sectPr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SK"/>
    <w:docVar w:name="dvnumam" w:val="286"/>
    <w:docVar w:name="dvpe" w:val="736.469"/>
    <w:docVar w:name="dvrapporteur" w:val="Spravodajca: "/>
    <w:docVar w:name="dvstar" w:val="***I"/>
    <w:docVar w:name="dvtitre" w:val="Legislatívne uznesenie Európskeho parlamentu z xx. februára 2024 o návrhu nariadenia Európskeho parlamentu a Rady o automatizovanej výmene údajov na účely policajnej spolupráce („prümský rámec II“), ktorým sa menia rozhodnutia Rady 2008/615/SVV a 2008/616/SVV a nariadenia Európskeho parlamentu a Rady (EÚ) 2018/1726, (EÚ) 2019/817 a (EÚ) 2019/818(COM(2021)0784(COR1) – C9-0455/2021 – 2021/0410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C81025-B7F2-4EA0-A15C-CDE9A5CFC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</w:rPr>
  </w:style>
  <w:style w:type="paragraph" w:customStyle="1" w:styleId="CommitteeAM">
    <w:name w:val="CommitteeAM"/>
    <w:basedOn w:val="Normal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Pr>
      <w:noProof/>
      <w:sz w:val="24"/>
      <w:lang w:val="sk-SK"/>
    </w:rPr>
  </w:style>
  <w:style w:type="paragraph" w:customStyle="1" w:styleId="PELeft">
    <w:name w:val="PELeft"/>
    <w:basedOn w:val="Normal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Normal12Italic">
    <w:name w:val="Normal12Italic"/>
    <w:basedOn w:val="Normal12"/>
    <w:rPr>
      <w:i/>
    </w:rPr>
  </w:style>
  <w:style w:type="character" w:customStyle="1" w:styleId="NormalBoldChar">
    <w:name w:val="NormalBold Char"/>
    <w:basedOn w:val="DefaultParagraphFont"/>
    <w:link w:val="NormalBold"/>
    <w:rPr>
      <w:b/>
      <w:sz w:val="24"/>
      <w:lang w:val="sk-SK"/>
    </w:rPr>
  </w:style>
  <w:style w:type="paragraph" w:customStyle="1" w:styleId="JustificationTitle">
    <w:name w:val="JustificationTitle"/>
    <w:basedOn w:val="Normal"/>
    <w:next w:val="Normal1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Pr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sk-SK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lang w:val="sk-SK"/>
    </w:rPr>
  </w:style>
  <w:style w:type="paragraph" w:customStyle="1" w:styleId="Footer2">
    <w:name w:val="Footer2"/>
    <w:basedOn w:val="Normal1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lang w:val="sk-SK"/>
    </w:rPr>
  </w:style>
  <w:style w:type="paragraph" w:customStyle="1" w:styleId="norm">
    <w:name w:val="norm"/>
    <w:basedOn w:val="Normal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superscript">
    <w:name w:val="superscript"/>
    <w:basedOn w:val="DefaultParagraphFont"/>
  </w:style>
  <w:style w:type="paragraph" w:styleId="Revision">
    <w:name w:val="Revision"/>
    <w:hidden/>
    <w:uiPriority w:val="99"/>
    <w:semiHidden/>
    <w:rPr>
      <w:sz w:val="24"/>
      <w:lang w:val="sk-SK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</w:style>
  <w:style w:type="paragraph" w:styleId="TOC4">
    <w:name w:val="toc 4"/>
    <w:basedOn w:val="Normal"/>
    <w:next w:val="Normal"/>
    <w:uiPriority w:val="39"/>
    <w:unhideWhenUsed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pPr>
      <w:numPr>
        <w:numId w:val="12"/>
      </w:numPr>
    </w:pPr>
  </w:style>
  <w:style w:type="paragraph" w:customStyle="1" w:styleId="Tiret1">
    <w:name w:val="Tiret 1"/>
    <w:basedOn w:val="Point1"/>
    <w:pPr>
      <w:numPr>
        <w:numId w:val="13"/>
      </w:numPr>
    </w:pPr>
  </w:style>
  <w:style w:type="paragraph" w:customStyle="1" w:styleId="Tiret2">
    <w:name w:val="Tiret 2"/>
    <w:basedOn w:val="Point2"/>
    <w:pPr>
      <w:numPr>
        <w:numId w:val="14"/>
      </w:numPr>
    </w:pPr>
  </w:style>
  <w:style w:type="paragraph" w:customStyle="1" w:styleId="Tiret3">
    <w:name w:val="Tiret 3"/>
    <w:basedOn w:val="Point3"/>
    <w:pPr>
      <w:numPr>
        <w:numId w:val="15"/>
      </w:numPr>
    </w:pPr>
  </w:style>
  <w:style w:type="paragraph" w:customStyle="1" w:styleId="Tiret4">
    <w:name w:val="Tiret 4"/>
    <w:basedOn w:val="Point4"/>
    <w:pPr>
      <w:numPr>
        <w:numId w:val="16"/>
      </w:numPr>
    </w:p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pPr>
      <w:spacing w:before="120" w:after="120" w:line="360" w:lineRule="auto"/>
      <w:jc w:val="both"/>
    </w:pPr>
    <w:rPr>
      <w:rFonts w:eastAsiaTheme="minorHAnsi"/>
      <w:sz w:val="24"/>
      <w:szCs w:val="22"/>
      <w:lang w:val="sk-SK" w:eastAsia="en-US"/>
    </w:rPr>
  </w:style>
  <w:style w:type="character" w:customStyle="1" w:styleId="Sub">
    <w:name w:val="Sub"/>
    <w:uiPriority w:val="1"/>
    <w:qFormat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Pr>
      <w:rFonts w:ascii="Times New Roman" w:hAnsi="Times New Roman"/>
      <w:i/>
    </w:rPr>
  </w:style>
  <w:style w:type="character" w:customStyle="1" w:styleId="Bold">
    <w:name w:val="Bold"/>
    <w:uiPriority w:val="1"/>
    <w:qFormat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pPr>
      <w:spacing w:before="120"/>
    </w:pPr>
  </w:style>
  <w:style w:type="paragraph" w:customStyle="1" w:styleId="TitlePar3">
    <w:name w:val="TitlePar 3"/>
    <w:basedOn w:val="TitlePar2"/>
    <w:qFormat/>
    <w:rPr>
      <w:b w:val="0"/>
      <w:i/>
    </w:rPr>
  </w:style>
  <w:style w:type="paragraph" w:customStyle="1" w:styleId="SubsectionTitle">
    <w:name w:val="SubsectionTitle"/>
    <w:basedOn w:val="SectionTitle"/>
    <w:qFormat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Pr>
      <w:b/>
    </w:rPr>
  </w:style>
  <w:style w:type="paragraph" w:customStyle="1" w:styleId="NumTitle">
    <w:name w:val="NumTitle"/>
    <w:basedOn w:val="Normal"/>
    <w:qFormat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</w:style>
  <w:style w:type="paragraph" w:customStyle="1" w:styleId="Text5">
    <w:name w:val="Text 5"/>
    <w:basedOn w:val="Text4"/>
    <w:qFormat/>
    <w:pPr>
      <w:ind w:left="3119"/>
    </w:pPr>
  </w:style>
  <w:style w:type="paragraph" w:customStyle="1" w:styleId="Text0">
    <w:name w:val="Text 0"/>
    <w:basedOn w:val="Normal"/>
    <w:qFormat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pPr>
      <w:spacing w:before="360" w:after="120"/>
    </w:pPr>
  </w:style>
  <w:style w:type="paragraph" w:customStyle="1" w:styleId="PartNum">
    <w:name w:val="PartNum"/>
    <w:basedOn w:val="PartTitle"/>
    <w:qFormat/>
    <w:pPr>
      <w:spacing w:before="360" w:after="120"/>
    </w:pPr>
  </w:style>
  <w:style w:type="paragraph" w:customStyle="1" w:styleId="SectionNum">
    <w:name w:val="SectionNum"/>
    <w:basedOn w:val="SectionTitle"/>
    <w:qFormat/>
    <w:pPr>
      <w:spacing w:before="360" w:after="120"/>
    </w:pPr>
  </w:style>
  <w:style w:type="paragraph" w:customStyle="1" w:styleId="TitleHeading">
    <w:name w:val="TitleHeading"/>
    <w:basedOn w:val="NumTitle"/>
    <w:qFormat/>
    <w:pPr>
      <w:spacing w:before="120" w:after="360"/>
    </w:pPr>
  </w:style>
  <w:style w:type="character" w:customStyle="1" w:styleId="SubItalic">
    <w:name w:val="SubItalic"/>
    <w:basedOn w:val="Italic"/>
    <w:uiPriority w:val="1"/>
    <w:qFormat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pPr>
      <w:ind w:left="3686"/>
    </w:pPr>
  </w:style>
  <w:style w:type="paragraph" w:customStyle="1" w:styleId="Point6">
    <w:name w:val="Point 6"/>
    <w:basedOn w:val="Point5"/>
    <w:qFormat/>
    <w:pPr>
      <w:ind w:left="4253"/>
    </w:pPr>
  </w:style>
  <w:style w:type="character" w:customStyle="1" w:styleId="diff-tte-added">
    <w:name w:val="diff-tte-added"/>
    <w:basedOn w:val="DefaultParagraphFont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2C557-309B-4B17-BD8A-7D703DF88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2024-04-29T06:52:00Z</dcterms:created>
  <dcterms:modified xsi:type="dcterms:W3CDTF">2024-04-29T06:52:00Z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P9_TA(2024)0073_</vt:lpwstr>
  </property>
  <property fmtid="{D5CDD505-2E9C-101B-9397-08002B2CF9AE}" pid="4" name="&lt;Type&gt;">
    <vt:lpwstr>RR</vt:lpwstr>
  </property>
</Properties>
</file>