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6BE6" w14:paraId="5B079D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3F6FCE" w14:textId="77777777" w:rsidR="00751A4A" w:rsidRPr="00156BE6" w:rsidRDefault="00713B78" w:rsidP="0010095E">
            <w:pPr>
              <w:pStyle w:val="EPName"/>
            </w:pPr>
            <w:r w:rsidRPr="00156BE6">
              <w:t>Parlamento Europeu</w:t>
            </w:r>
          </w:p>
          <w:p w14:paraId="07B12A53" w14:textId="77777777" w:rsidR="00751A4A" w:rsidRPr="00156B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6BE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2B168A0" w14:textId="77777777" w:rsidR="00751A4A" w:rsidRPr="00156BE6" w:rsidRDefault="00187494" w:rsidP="0010095E">
            <w:pPr>
              <w:pStyle w:val="EPLogo"/>
            </w:pPr>
            <w:r w:rsidRPr="00156BE6">
              <w:rPr>
                <w:noProof/>
                <w:lang w:val="en-GB" w:eastAsia="zh-TW"/>
              </w:rPr>
              <w:drawing>
                <wp:inline distT="0" distB="0" distL="0" distR="0" wp14:anchorId="76F8D491" wp14:editId="42FFC3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44C0E9" w14:textId="77777777" w:rsidR="00D058B8" w:rsidRPr="00156BE6" w:rsidRDefault="00D058B8" w:rsidP="004C5D52">
      <w:pPr>
        <w:pStyle w:val="LineTop"/>
      </w:pPr>
    </w:p>
    <w:p w14:paraId="3EA987DB" w14:textId="77777777" w:rsidR="00680577" w:rsidRPr="00156BE6" w:rsidRDefault="00713B78" w:rsidP="00680577">
      <w:pPr>
        <w:pStyle w:val="EPBodyTA1"/>
      </w:pPr>
      <w:r w:rsidRPr="00156BE6">
        <w:t>TEXTOS APROVADOS</w:t>
      </w:r>
    </w:p>
    <w:p w14:paraId="08CDB4E7" w14:textId="77777777" w:rsidR="00D058B8" w:rsidRPr="00156BE6" w:rsidRDefault="00D058B8" w:rsidP="00D058B8">
      <w:pPr>
        <w:pStyle w:val="LineBottom"/>
      </w:pPr>
    </w:p>
    <w:p w14:paraId="56A1BB50" w14:textId="77777777" w:rsidR="00713B78" w:rsidRPr="00156BE6" w:rsidRDefault="00713B78" w:rsidP="00713B78">
      <w:pPr>
        <w:pStyle w:val="ATHeading1"/>
      </w:pPr>
      <w:bookmarkStart w:id="0" w:name="TANumber"/>
      <w:r w:rsidRPr="00156BE6">
        <w:t>P9_TA(2024)</w:t>
      </w:r>
      <w:bookmarkEnd w:id="0"/>
      <w:r w:rsidR="0023015A" w:rsidRPr="00156BE6">
        <w:t>0074</w:t>
      </w:r>
    </w:p>
    <w:p w14:paraId="159BCB26" w14:textId="77777777" w:rsidR="00713B78" w:rsidRPr="00156BE6" w:rsidRDefault="00713B78" w:rsidP="00713B78">
      <w:pPr>
        <w:pStyle w:val="ATHeading2"/>
      </w:pPr>
      <w:bookmarkStart w:id="1" w:name="title"/>
      <w:r w:rsidRPr="00156BE6">
        <w:t>As prioridades da UE para a 68.ª sessão da Comissão das Nações Unidas sobre o Estatuto da Mulher</w:t>
      </w:r>
      <w:bookmarkEnd w:id="1"/>
    </w:p>
    <w:p w14:paraId="14CD378A" w14:textId="77777777" w:rsidR="00713B78" w:rsidRPr="00156BE6" w:rsidRDefault="00713B78" w:rsidP="00713B78">
      <w:pPr>
        <w:rPr>
          <w:i/>
          <w:vanish/>
        </w:rPr>
      </w:pPr>
      <w:r w:rsidRPr="00156BE6">
        <w:rPr>
          <w:i/>
        </w:rPr>
        <w:fldChar w:fldCharType="begin"/>
      </w:r>
      <w:r w:rsidRPr="00156BE6">
        <w:rPr>
          <w:i/>
        </w:rPr>
        <w:instrText xml:space="preserve"> TC"(</w:instrText>
      </w:r>
      <w:bookmarkStart w:id="2" w:name="DocNumber"/>
      <w:r w:rsidRPr="00156BE6">
        <w:rPr>
          <w:i/>
        </w:rPr>
        <w:instrText>B9-0091/2024</w:instrText>
      </w:r>
      <w:bookmarkEnd w:id="2"/>
      <w:r w:rsidRPr="00156BE6">
        <w:rPr>
          <w:i/>
        </w:rPr>
        <w:instrText xml:space="preserve">)"\l3 \n&gt; \* MERGEFORMAT </w:instrText>
      </w:r>
      <w:r w:rsidRPr="00156BE6">
        <w:rPr>
          <w:i/>
        </w:rPr>
        <w:fldChar w:fldCharType="end"/>
      </w:r>
    </w:p>
    <w:p w14:paraId="1FD86E98" w14:textId="77777777" w:rsidR="00713B78" w:rsidRPr="00156BE6" w:rsidRDefault="00713B78" w:rsidP="00713B78">
      <w:pPr>
        <w:rPr>
          <w:vanish/>
        </w:rPr>
      </w:pPr>
      <w:bookmarkStart w:id="3" w:name="PE"/>
      <w:r w:rsidRPr="00156BE6">
        <w:rPr>
          <w:vanish/>
        </w:rPr>
        <w:t>PE756.218</w:t>
      </w:r>
      <w:bookmarkEnd w:id="3"/>
    </w:p>
    <w:p w14:paraId="4D177F4E" w14:textId="77777777" w:rsidR="00713B78" w:rsidRPr="00156BE6" w:rsidRDefault="00713B78" w:rsidP="00713B78">
      <w:pPr>
        <w:pStyle w:val="ATHeading3"/>
      </w:pPr>
      <w:bookmarkStart w:id="4" w:name="Sujet"/>
      <w:r w:rsidRPr="00156BE6">
        <w:t xml:space="preserve">Resolução do Parlamento Europeu, de </w:t>
      </w:r>
      <w:r w:rsidR="002714A8" w:rsidRPr="00156BE6">
        <w:t xml:space="preserve">8 </w:t>
      </w:r>
      <w:r w:rsidRPr="00156BE6">
        <w:t xml:space="preserve">de </w:t>
      </w:r>
      <w:r w:rsidR="002714A8" w:rsidRPr="00156BE6">
        <w:t xml:space="preserve">fevereiro </w:t>
      </w:r>
      <w:r w:rsidRPr="00156BE6">
        <w:t>de 2024, sobre as prioridades da UE para a 68.ª sessão da Comissão das Nações Unidas sobre o Estatuto da Mulher</w:t>
      </w:r>
      <w:bookmarkEnd w:id="4"/>
      <w:r w:rsidRPr="00156BE6">
        <w:t xml:space="preserve"> </w:t>
      </w:r>
      <w:bookmarkStart w:id="5" w:name="References"/>
      <w:r w:rsidRPr="00156BE6">
        <w:t>(2023/2973(RSP))</w:t>
      </w:r>
      <w:bookmarkEnd w:id="5"/>
    </w:p>
    <w:p w14:paraId="197BB51F" w14:textId="77777777" w:rsidR="00713B78" w:rsidRPr="00156BE6" w:rsidRDefault="00713B78" w:rsidP="00713B78"/>
    <w:p w14:paraId="39E01B50" w14:textId="77777777" w:rsidR="006D679B" w:rsidRPr="00156BE6" w:rsidRDefault="006D679B" w:rsidP="006D679B">
      <w:pPr>
        <w:pStyle w:val="NormalBold12a"/>
        <w:rPr>
          <w:b w:val="0"/>
          <w:color w:val="000000" w:themeColor="text1"/>
        </w:rPr>
      </w:pPr>
      <w:bookmarkStart w:id="6" w:name="TextBodyBegin"/>
      <w:bookmarkEnd w:id="6"/>
      <w:r w:rsidRPr="00156BE6">
        <w:rPr>
          <w:b w:val="0"/>
          <w:i/>
          <w:iCs/>
          <w:color w:val="000000" w:themeColor="text1"/>
        </w:rPr>
        <w:t>O Parlamento Europeu</w:t>
      </w:r>
      <w:r w:rsidRPr="00156BE6">
        <w:rPr>
          <w:b w:val="0"/>
          <w:color w:val="000000" w:themeColor="text1"/>
        </w:rPr>
        <w:t>,</w:t>
      </w:r>
    </w:p>
    <w:p w14:paraId="6584969D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 68.ª sessão da Comissão das Nações Unidas sobre o Estatuto da Mulher e o seu tema prioritário «acelerar a concretização da igualdade de género e a capacitação de todas as mulheres e raparigas através do combate à pobreza, do reforço das instituições e do financiamento através da adoção duma perspetiva de género»,</w:t>
      </w:r>
    </w:p>
    <w:p w14:paraId="2A92FAF9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 Declaração e a Plataforma de Ação de Pequim de 15 de setembro de 1995, bem como as conclusões das conferências de revisão,</w:t>
      </w:r>
    </w:p>
    <w:p w14:paraId="63B2F88C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 Convenção das Nações Unidas sobre a Eliminação de Todas as Formas de Discriminação contra as Mulheres, de 1979,</w:t>
      </w:r>
    </w:p>
    <w:p w14:paraId="63F607BF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os artigos 21.º e 23.º da Carta dos Direitos Fundamentais da União Europeia,</w:t>
      </w:r>
    </w:p>
    <w:p w14:paraId="70941203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 Agenda 2030 para o Desenvolvimento Sustentável da ONU, o princípio de «não deixar ninguém para trás» e, em particular, o Objetivo de Desenvolvimento Sustentável (ODS) 1, que visa erradicar a pobreza, o ODS 5, que visa alcançar a igualdade de género e melhorar as condições de vida das mulheres, e o ODS 8, que visa alcançar um crescimento económico e sustentável,</w:t>
      </w:r>
    </w:p>
    <w:p w14:paraId="7B83DEF1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o Plano de Ação da UE em matéria de Igualdade de Género e de Empoderamento das Mulheres na Ação Externa 2021</w:t>
      </w:r>
      <w:r w:rsidRPr="00156BE6">
        <w:noBreakHyphen/>
        <w:t>2025 (GAP III),</w:t>
      </w:r>
    </w:p>
    <w:p w14:paraId="0D0CCC73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 Estratégia da UE para a Igualdade de Género 2020</w:t>
      </w:r>
      <w:r w:rsidRPr="00156BE6">
        <w:noBreakHyphen/>
        <w:t>2025, de 5 de março de 2020,</w:t>
      </w:r>
    </w:p>
    <w:p w14:paraId="3F0C05DC" w14:textId="0471DD73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 xml:space="preserve">Tendo em conta a sua resolução, de </w:t>
      </w:r>
      <w:r w:rsidR="007A6E1D" w:rsidRPr="007A6E1D">
        <w:t>5 de julho</w:t>
      </w:r>
      <w:bookmarkStart w:id="7" w:name="_GoBack"/>
      <w:bookmarkEnd w:id="7"/>
      <w:r w:rsidRPr="00156BE6">
        <w:t xml:space="preserve"> de 2022, para uma ação europeia comum </w:t>
      </w:r>
      <w:r w:rsidRPr="00156BE6">
        <w:lastRenderedPageBreak/>
        <w:t>em matéria de cuidados</w:t>
      </w:r>
      <w:r w:rsidRPr="00156BE6">
        <w:rPr>
          <w:rStyle w:val="FootnoteReference"/>
        </w:rPr>
        <w:footnoteReference w:id="1"/>
      </w:r>
      <w:r w:rsidRPr="00156BE6">
        <w:t>,</w:t>
      </w:r>
    </w:p>
    <w:p w14:paraId="4B499799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 sua resolução, de 24 de junho de 2022, sobre a pobreza entre as mulheres na Europa</w:t>
      </w:r>
      <w:r w:rsidRPr="00156BE6">
        <w:rPr>
          <w:rStyle w:val="FootnoteReference"/>
        </w:rPr>
        <w:footnoteReference w:id="2"/>
      </w:r>
      <w:r w:rsidRPr="00156BE6">
        <w:t>,</w:t>
      </w:r>
    </w:p>
    <w:p w14:paraId="614997C8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o artigo 157.º, n.º 4, do Tratado sobre o Funcionamento da União Europeia,</w:t>
      </w:r>
    </w:p>
    <w:p w14:paraId="5F50AD45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as perguntas ao Conselho e à Comissão sobre as prioridades da UE para a 68.ª sessão da Comissão das Nações Unidas sobre o Estatuto da Mulher (O</w:t>
      </w:r>
      <w:r w:rsidRPr="00156BE6">
        <w:noBreakHyphen/>
        <w:t>000056/2023 – B9</w:t>
      </w:r>
      <w:r w:rsidRPr="00156BE6">
        <w:noBreakHyphen/>
      </w:r>
      <w:r w:rsidR="00750CFD" w:rsidRPr="00156BE6">
        <w:t>0005</w:t>
      </w:r>
      <w:r w:rsidRPr="00156BE6">
        <w:t>/2024 e O</w:t>
      </w:r>
      <w:r w:rsidRPr="00156BE6">
        <w:noBreakHyphen/>
        <w:t>000057/2023 – B9</w:t>
      </w:r>
      <w:r w:rsidRPr="00156BE6">
        <w:noBreakHyphen/>
      </w:r>
      <w:r w:rsidR="00750CFD" w:rsidRPr="00156BE6">
        <w:t>0006</w:t>
      </w:r>
      <w:r w:rsidRPr="00156BE6">
        <w:t>/2024),</w:t>
      </w:r>
    </w:p>
    <w:p w14:paraId="35141333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o artigo 136.º, n.º 5, e o artigo 132.º, n.º 2, do seu Regimento,</w:t>
      </w:r>
    </w:p>
    <w:p w14:paraId="5E314AEA" w14:textId="77777777" w:rsidR="006D679B" w:rsidRPr="00156BE6" w:rsidRDefault="006D679B" w:rsidP="006D679B">
      <w:pPr>
        <w:pStyle w:val="NormalHanging12a"/>
      </w:pPr>
      <w:r w:rsidRPr="00156BE6">
        <w:t>–</w:t>
      </w:r>
      <w:r w:rsidRPr="00156BE6">
        <w:tab/>
        <w:t>Tendo em conta a proposta de resolução da Comissão dos Direitos da Mulher e da Igualdade dos Géneros,</w:t>
      </w:r>
    </w:p>
    <w:p w14:paraId="2413E679" w14:textId="77777777" w:rsidR="006D679B" w:rsidRPr="00156BE6" w:rsidRDefault="006D679B" w:rsidP="0023015A">
      <w:pPr>
        <w:pStyle w:val="NormalHanging12a"/>
        <w:ind w:left="560" w:hanging="560"/>
        <w:rPr>
          <w:color w:val="000000" w:themeColor="text1"/>
        </w:rPr>
      </w:pPr>
      <w:r w:rsidRPr="00156BE6">
        <w:rPr>
          <w:color w:val="000000" w:themeColor="text1"/>
        </w:rPr>
        <w:t>A.</w:t>
      </w:r>
      <w:r w:rsidRPr="00156BE6">
        <w:rPr>
          <w:color w:val="000000" w:themeColor="text1"/>
        </w:rPr>
        <w:tab/>
        <w:t xml:space="preserve">Considerando que a garantia dos direitos das mulheres e da igualdade de género é um princípio fundamental da UE consagrado no artigo 2.º do Tratado da União Europeia e no artigo 23.º da Carta dos Direitos Fundamentais da União Europeia; considerando que a integração da perspetiva de género e a orçamentação sensível ao género são instrumentos importantes para alcançar este objetivo e integrar estes princípios em todas as políticas, medidas e ações da UE, incluindo nas suas dimensões externas; </w:t>
      </w:r>
    </w:p>
    <w:p w14:paraId="2A7D8647" w14:textId="77777777" w:rsidR="006D679B" w:rsidRPr="00156BE6" w:rsidRDefault="006D679B" w:rsidP="0023015A">
      <w:pPr>
        <w:pStyle w:val="NormalHanging12a"/>
        <w:ind w:left="560" w:hanging="560"/>
        <w:rPr>
          <w:color w:val="000000" w:themeColor="text1"/>
        </w:rPr>
      </w:pPr>
      <w:r w:rsidRPr="00156BE6">
        <w:rPr>
          <w:color w:val="000000" w:themeColor="text1"/>
        </w:rPr>
        <w:t>B.</w:t>
      </w:r>
      <w:r w:rsidRPr="00156BE6">
        <w:rPr>
          <w:color w:val="000000" w:themeColor="text1"/>
        </w:rPr>
        <w:tab/>
        <w:t>Considerando que, na Quarta Conferência Mundial sobre a Mulher, realizada em Pequim em 1995, 189 países de todo o mundo, incluindo a União Europeia e os seus Estados</w:t>
      </w:r>
      <w:r w:rsidRPr="00156BE6">
        <w:rPr>
          <w:color w:val="000000" w:themeColor="text1"/>
        </w:rPr>
        <w:noBreakHyphen/>
        <w:t>Membros, se comprometeram a trabalhar em prol da igualdade de género e da capacitação de todas as mulheres e raparigas; considerando que o ODS 5 da Agenda de Desenvolvimento Sustentável adotada pelos Estad</w:t>
      </w:r>
      <w:r w:rsidR="008C1183" w:rsidRPr="00156BE6">
        <w:rPr>
          <w:color w:val="000000" w:themeColor="text1"/>
        </w:rPr>
        <w:t>os membros das Nações Unidas em </w:t>
      </w:r>
      <w:r w:rsidRPr="00156BE6">
        <w:rPr>
          <w:color w:val="000000" w:themeColor="text1"/>
        </w:rPr>
        <w:t xml:space="preserve">2015 fixa 2030 como prazo para alcançar a igualdade de género e a capacitação das mulheres e raparigas em toda a sua diversidade; </w:t>
      </w:r>
    </w:p>
    <w:p w14:paraId="2C950EDC" w14:textId="77777777" w:rsidR="006D679B" w:rsidRPr="00156BE6" w:rsidRDefault="006D679B" w:rsidP="0023015A">
      <w:pPr>
        <w:pStyle w:val="NormalHanging12a"/>
        <w:ind w:left="560" w:hanging="560"/>
        <w:rPr>
          <w:color w:val="385623" w:themeColor="accent6" w:themeShade="80"/>
        </w:rPr>
      </w:pPr>
      <w:r w:rsidRPr="00156BE6">
        <w:rPr>
          <w:color w:val="000000" w:themeColor="text1"/>
        </w:rPr>
        <w:t>C.</w:t>
      </w:r>
      <w:r w:rsidRPr="00156BE6">
        <w:rPr>
          <w:color w:val="000000" w:themeColor="text1"/>
        </w:rPr>
        <w:tab/>
      </w:r>
      <w:r w:rsidRPr="00156BE6">
        <w:t xml:space="preserve">Considerando que a UE deve reconhecer a sua responsabilidade de incluir as perspetivas de género em todos os domínios das suas políticas externas – como a cooperação para o desenvolvimento, a ajuda humanitária, o comércio, a agricultura, o clima e a migração – a fim de ter impacto na erradicação da pobreza feminina a nível mundial; </w:t>
      </w:r>
    </w:p>
    <w:p w14:paraId="6D67E92F" w14:textId="77777777" w:rsidR="006D679B" w:rsidRPr="00156BE6" w:rsidRDefault="006D679B" w:rsidP="0023015A">
      <w:pPr>
        <w:pStyle w:val="NormalHanging12a"/>
        <w:ind w:left="560" w:hanging="560"/>
        <w:rPr>
          <w:color w:val="385623" w:themeColor="accent6" w:themeShade="80"/>
        </w:rPr>
      </w:pPr>
      <w:r w:rsidRPr="00156BE6">
        <w:rPr>
          <w:color w:val="000000" w:themeColor="text1"/>
        </w:rPr>
        <w:t>D.</w:t>
      </w:r>
      <w:r w:rsidRPr="00156BE6">
        <w:rPr>
          <w:color w:val="000000" w:themeColor="text1"/>
        </w:rPr>
        <w:tab/>
      </w:r>
      <w:r w:rsidRPr="00156BE6">
        <w:t>Considerando que o conceito de política externa feminista visa capacitar as mulheres e as raparigas, resolver crises e reduzir o impacto negativo nas mulheres, nas raparigas e na igualdade de género, incluindo a luta contra a pobreza feminina; considerando que a UE deve esforçar</w:t>
      </w:r>
      <w:r w:rsidRPr="00156BE6">
        <w:noBreakHyphen/>
        <w:t xml:space="preserve">se por seguir essa abordagem holística na sua ação externa; </w:t>
      </w:r>
    </w:p>
    <w:p w14:paraId="4669930E" w14:textId="77777777" w:rsidR="006D679B" w:rsidRPr="00156BE6" w:rsidRDefault="006D679B" w:rsidP="0023015A">
      <w:pPr>
        <w:pStyle w:val="NormalHanging12a"/>
        <w:ind w:left="560" w:hanging="560"/>
        <w:rPr>
          <w:color w:val="385623" w:themeColor="accent6" w:themeShade="80"/>
        </w:rPr>
      </w:pPr>
      <w:r w:rsidRPr="00156BE6">
        <w:rPr>
          <w:color w:val="000000" w:themeColor="text1"/>
        </w:rPr>
        <w:t>E.</w:t>
      </w:r>
      <w:r w:rsidRPr="00156BE6">
        <w:rPr>
          <w:color w:val="000000" w:themeColor="text1"/>
        </w:rPr>
        <w:tab/>
      </w:r>
      <w:r w:rsidRPr="00156BE6">
        <w:t xml:space="preserve">Considerando que a Plataforma de Ação de Pequim de 1995 salientou que a igualdade de género e a capacitação das mulheres e raparigas, bem como o respeito dos seus direitos humanos, são fatores cruciais para a erradicação da pobreza; considerando que existe uma forte interdependência mútua entre a pobreza e a exclusão social e política; considerando que a pobreza das mulheres é um problema complexo e multidimensional, com origens tanto a nível nacional como internacional; considerando que, por este motivo, é fundamental combater todas as causas profundas e manifestações da pobreza </w:t>
      </w:r>
      <w:r w:rsidRPr="00156BE6">
        <w:lastRenderedPageBreak/>
        <w:t xml:space="preserve">feminina; considerando que estas limitam a sua capacidade de realizar todo o seu potencial e de usufruir dos seus direitos na sociedade, a fim de assegurar meios de subsistência sustentáveis; </w:t>
      </w:r>
    </w:p>
    <w:p w14:paraId="5B3B57FA" w14:textId="77777777" w:rsidR="006D679B" w:rsidRPr="00156BE6" w:rsidRDefault="006D679B" w:rsidP="006D679B">
      <w:pPr>
        <w:pStyle w:val="NormalHanging12a"/>
      </w:pPr>
      <w:r w:rsidRPr="00156BE6">
        <w:rPr>
          <w:color w:val="000000" w:themeColor="text1"/>
        </w:rPr>
        <w:t>F.</w:t>
      </w:r>
      <w:r w:rsidRPr="00156BE6">
        <w:rPr>
          <w:color w:val="000000" w:themeColor="text1"/>
        </w:rPr>
        <w:tab/>
      </w:r>
      <w:r w:rsidRPr="00156BE6">
        <w:t>Considerando que as mulheres e raparigas continuam a ser desproporcionadamente afetadas pela pobreza e pelo risco de exclusão social, em comparação com os homens – em particular, as mulheres e raparigas que são vítimas de formas intersetoriais de discriminação em razão do sexo, raça, cor, origem étnica ou social, características genéticas, língua, religião ou crença, opiniões políticas ou outras, pertença a uma minoria nacional, riqueza, nascimento, deficiência, idade, orientação sexual</w:t>
      </w:r>
      <w:r w:rsidRPr="00156BE6">
        <w:rPr>
          <w:rStyle w:val="FootnoteReference"/>
          <w:color w:val="000000"/>
        </w:rPr>
        <w:footnoteReference w:id="3"/>
      </w:r>
      <w:r w:rsidRPr="00156BE6">
        <w:t xml:space="preserve">, </w:t>
      </w:r>
      <w:r w:rsidR="0023015A" w:rsidRPr="00156BE6">
        <w:t xml:space="preserve">género, </w:t>
      </w:r>
      <w:r w:rsidRPr="00156BE6">
        <w:t xml:space="preserve">identidade e expressão de género e características sexuais; considerando que, a nível mundial, se estima que 383 milhões de mulheres e raparigas vivam com menos de 1,90 dólares </w:t>
      </w:r>
      <w:r w:rsidR="00DF0650" w:rsidRPr="00156BE6">
        <w:t xml:space="preserve">dos Estados Unidos </w:t>
      </w:r>
      <w:r w:rsidRPr="00156BE6">
        <w:t>por dia, em comparação com 368 milhões de homens e rapazes</w:t>
      </w:r>
      <w:r w:rsidRPr="00156BE6">
        <w:rPr>
          <w:rStyle w:val="FootnoteReference"/>
        </w:rPr>
        <w:footnoteReference w:id="4"/>
      </w:r>
      <w:r w:rsidRPr="00156BE6">
        <w:t>; considerando que a taxa de pobreza feminina é superior à dos homens (12,8 contra 12,3</w:t>
      </w:r>
      <w:r w:rsidR="00C932EF" w:rsidRPr="00156BE6">
        <w:t> </w:t>
      </w:r>
      <w:r w:rsidRPr="00156BE6">
        <w:t>%)</w:t>
      </w:r>
      <w:r w:rsidRPr="00156BE6">
        <w:rPr>
          <w:rStyle w:val="FootnoteReference"/>
          <w:color w:val="000000"/>
        </w:rPr>
        <w:footnoteReference w:id="5"/>
      </w:r>
      <w:r w:rsidRPr="00156BE6">
        <w:t>;</w:t>
      </w:r>
    </w:p>
    <w:p w14:paraId="0EAAEE23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 w:themeColor="text1"/>
        </w:rPr>
        <w:t>G.</w:t>
      </w:r>
      <w:r w:rsidRPr="00156BE6">
        <w:rPr>
          <w:color w:val="000000" w:themeColor="text1"/>
        </w:rPr>
        <w:tab/>
      </w:r>
      <w:r w:rsidRPr="00156BE6">
        <w:t>Considerando que a pobreza das mulheres e as disparidades salariais e de pensões são o resultado da acumulação de discriminação e desigualdades sistémicas e estruturais; considerando que as normas sociais e os estereótipos de género prejudiciais continuam a influenciar a divisão do trabalho no domicílio, na educação, no local de trabalho e na sociedade, bem como o acesso ao poder e aos recursos, designadamente o acesso ao financiamento ou crédito através de várias fontes, como o capital de risco, incluindo as redes de investimento das mulheres, a propriedade fundiária e sucessória, e a tomada de decisões;</w:t>
      </w:r>
      <w:r w:rsidRPr="00156BE6">
        <w:rPr>
          <w:color w:val="000000"/>
        </w:rPr>
        <w:t xml:space="preserve"> considerando que a prestação de cuidados e o trabalho doméstico não remunerados impõem encargos desproporcionais às mulheres e raparigas e que as responsabilidades domésticas e de prestação de cuidados não são devidamente reconhecidas;</w:t>
      </w:r>
    </w:p>
    <w:p w14:paraId="4E7E5FCC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H.</w:t>
      </w:r>
      <w:r w:rsidRPr="00156BE6">
        <w:rPr>
          <w:color w:val="000000"/>
        </w:rPr>
        <w:tab/>
        <w:t>Considerando que o acesso aos serviços – incluindo a prestação de cuidados a crianças e os serviços de cuidados continuados – afeta especialmente as mulheres e raparigas, dado que frequentemente elas colmatam as lacunas existentes na prestação de cuidados e no apoio familiar, perpetuando a responsabilidade desproporcional das mulheres no que se refere à prestação de cuidados não remunerados;</w:t>
      </w:r>
    </w:p>
    <w:p w14:paraId="612DFFF5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I.</w:t>
      </w:r>
      <w:r w:rsidRPr="00156BE6">
        <w:rPr>
          <w:color w:val="000000"/>
        </w:rPr>
        <w:tab/>
        <w:t>Considerando que, a nível mundial, as mulheres representam 70</w:t>
      </w:r>
      <w:r w:rsidR="00C932EF" w:rsidRPr="00156BE6">
        <w:rPr>
          <w:color w:val="000000"/>
        </w:rPr>
        <w:t> </w:t>
      </w:r>
      <w:r w:rsidRPr="00156BE6">
        <w:rPr>
          <w:color w:val="000000"/>
        </w:rPr>
        <w:t>% dos trabalhadores no setor da saúde e da prestação de cuidados</w:t>
      </w:r>
      <w:r w:rsidRPr="00156BE6">
        <w:rPr>
          <w:rStyle w:val="FootnoteReference"/>
          <w:color w:val="000000"/>
        </w:rPr>
        <w:footnoteReference w:id="6"/>
      </w:r>
      <w:r w:rsidRPr="00156BE6">
        <w:rPr>
          <w:color w:val="000000"/>
        </w:rPr>
        <w:t>; considerando que este tipo de trabalho tem sido sistematicamente subvalorizado, uma vez que sempre foi e continua a ser realizado sem remuneração por mulheres no seio familiar; considerando que há mais mulheres empregadas com contratos a tempo parcial devido ao seu encargo desproporcional de prestação de cuidados não remunerados; considerando que as mulheres sofrem de pobreza no trabalho, o que provoca exclusão social; considerando que os impactos sociais, económicos e de igualdade de género das pessoas com responsabilidades de prestação de cuidados devem ser abordados com urgência;</w:t>
      </w:r>
    </w:p>
    <w:p w14:paraId="3CC13498" w14:textId="77777777" w:rsidR="006D679B" w:rsidRPr="00156BE6" w:rsidRDefault="006D679B" w:rsidP="006D679B">
      <w:pPr>
        <w:pStyle w:val="NormalHanging12a"/>
        <w:rPr>
          <w:rStyle w:val="doceo-font-family-base"/>
          <w:rFonts w:eastAsiaTheme="minorHAnsi"/>
          <w:color w:val="000000"/>
        </w:rPr>
      </w:pPr>
      <w:r w:rsidRPr="00156BE6">
        <w:rPr>
          <w:rStyle w:val="doceo-font-family-base"/>
          <w:color w:val="000000"/>
        </w:rPr>
        <w:lastRenderedPageBreak/>
        <w:t>J.</w:t>
      </w:r>
      <w:r w:rsidRPr="00156BE6">
        <w:rPr>
          <w:rStyle w:val="doceo-font-family-base"/>
          <w:color w:val="000000"/>
        </w:rPr>
        <w:tab/>
      </w:r>
      <w:r w:rsidRPr="00156BE6">
        <w:rPr>
          <w:rStyle w:val="doceo-font-family-base"/>
          <w:color w:val="000000"/>
          <w:shd w:val="clear" w:color="auto" w:fill="FFFFFF"/>
        </w:rPr>
        <w:t>Considerando que setores dominados por mulheres, como a saúde e a prestação de cuidados, são sistematicamente mal remunerados e subvalorizados; considerando que a promoção da independência económica exige o reconhecimento e a aplicação de medidas adequadas para garantir a igualdade de participação das mulheres nos mercados de trabalho, a igualdade de remuneração por trabalho igual ou de valor igual, o acesso a oportunidades de trabalho digno, bem como o reconhecimento da ligação entre trabalho subvalorizado e mal remunerado nos setores dominados pelas mulheres;</w:t>
      </w:r>
    </w:p>
    <w:p w14:paraId="5B0B75D9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K.</w:t>
      </w:r>
      <w:r w:rsidRPr="00156BE6">
        <w:rPr>
          <w:color w:val="000000"/>
        </w:rPr>
        <w:tab/>
        <w:t>Considerando que a pobreza agrava o impacto nas mulheres e nas raparigas da violência baseada no género, uma vez que o aumento das dificuldades económicas torna mais difícil para as mulheres em relações abusivas abandonarem o seu parceiro; considerando que a violência baseada no género é um problema estrutural e da sociedade que ocorre em todos os grupos socioeconómicos e é independente da origem ou crença; considerando que a violência de género contribui igualmente para a pobreza e a exclusão social das mulheres, já que a violência afeta de forma dramática a saúde e pode provocar a perda de emprego e de habitação;</w:t>
      </w:r>
    </w:p>
    <w:p w14:paraId="61B4DC5F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L.</w:t>
      </w:r>
      <w:r w:rsidRPr="00156BE6">
        <w:rPr>
          <w:color w:val="000000"/>
        </w:rPr>
        <w:tab/>
        <w:t>Considerando que a pobreza coloca as mulheres em maior risco de tráfico e exploração sexual, uma vez que as torna – a elas e às suas famílias – economicamente dependentes dos seus agressores;</w:t>
      </w:r>
    </w:p>
    <w:p w14:paraId="727720D8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M.</w:t>
      </w:r>
      <w:r w:rsidRPr="00156BE6">
        <w:rPr>
          <w:color w:val="000000"/>
        </w:rPr>
        <w:tab/>
        <w:t>Considerando que é importante compreender as ligações entre a pobreza e o acesso à saúde e direitos sexuais e reprodutivos (SDSR); considerando que a pobreza – juntamente com outras barreiras práticas, jurídicas, financeiras, culturais e sociais – tanto pode resultar como ser resultado da inacessibilidade aos serviços de SDSR para as mulheres, incluindo o aborto seguro e legal e a contraceção moderna; considerando que o adiamento ou recusa de acesso a cuidados de aborto seguro e legal constituem uma forma de violência contra as mulheres e as raparigas; considerando que vários órgãos dos direitos humanos afirmaram que a recusa de um aborto seguro e legal pode equivaler a tortura ou a tratamento cruel, desumano e degradante;</w:t>
      </w:r>
    </w:p>
    <w:p w14:paraId="5F33F3BB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N.</w:t>
      </w:r>
      <w:r w:rsidRPr="00156BE6">
        <w:rPr>
          <w:color w:val="000000"/>
        </w:rPr>
        <w:tab/>
        <w:t>Considerando que a prevenção, a deteção precoce e o tratamento do VIH e de outras infeções sexualmente transmissíveis, dos cancros reprodutivos – incluindo o cancro do colo do útero – e ainda os cuidados e tratamento da fertilidade são essenciais para salvar vidas;</w:t>
      </w:r>
    </w:p>
    <w:p w14:paraId="671A311C" w14:textId="77777777" w:rsidR="006D679B" w:rsidRPr="00156BE6" w:rsidRDefault="006D679B" w:rsidP="006D679B">
      <w:pPr>
        <w:pStyle w:val="NormalHanging12a"/>
        <w:rPr>
          <w:color w:val="000000"/>
          <w:szCs w:val="24"/>
        </w:rPr>
      </w:pPr>
      <w:r w:rsidRPr="00156BE6">
        <w:rPr>
          <w:color w:val="000000"/>
        </w:rPr>
        <w:t>O.</w:t>
      </w:r>
      <w:r w:rsidRPr="00156BE6">
        <w:rPr>
          <w:color w:val="000000"/>
        </w:rPr>
        <w:tab/>
        <w:t>Considerando que o acesso a produtos sanitários e menstruais é dificultado por uma tributação discriminatória em termos de género dos produtos destinados à menstruação que agrava a questão da pobreza na menstruação; considerando que a vergonha, a dor menstrual não tratada e as tradições discriminatórias, bem como a falta de instalações de abastecimento de água e saneamento para a gestão da higiene menstrual, provocam o abandono escolar e taxas de presença mais baixas de raparigas na escola e de mulheres no trabalho;</w:t>
      </w:r>
    </w:p>
    <w:p w14:paraId="72DAF9C0" w14:textId="77777777" w:rsidR="006D679B" w:rsidRPr="00156BE6" w:rsidRDefault="006D679B" w:rsidP="006D679B">
      <w:pPr>
        <w:pStyle w:val="NormalHanging12a"/>
        <w:rPr>
          <w:color w:val="000000"/>
          <w:szCs w:val="24"/>
        </w:rPr>
      </w:pPr>
      <w:r w:rsidRPr="00156BE6">
        <w:rPr>
          <w:color w:val="000000"/>
        </w:rPr>
        <w:t>P.</w:t>
      </w:r>
      <w:r w:rsidRPr="00156BE6">
        <w:rPr>
          <w:color w:val="000000"/>
        </w:rPr>
        <w:tab/>
        <w:t>Considerando que a capacitação e independência económica das mulheres, garantindo a igualdade de remuneração por trabalho igual e de igual valor, bem como a capacidade de participar em pé de igualdade no mercado de trabalho e na tomada de decisões económicas, não só são fundamentais para alcançar a igualdade de género, garantir a realização dos direitos das mulheres e erradicar a pobreza, mas também beneficiam a economia e a sociedade no seu conjunto;</w:t>
      </w:r>
      <w:r w:rsidRPr="00156BE6">
        <w:rPr>
          <w:rStyle w:val="doceo-font-family-base"/>
          <w:color w:val="000000"/>
          <w:shd w:val="clear" w:color="auto" w:fill="FFFFFF"/>
        </w:rPr>
        <w:t xml:space="preserve"> considerando que a igualdade de remuneração por trabalho igual e de igual valor, bem como a capacidade de participar em pé de </w:t>
      </w:r>
      <w:r w:rsidRPr="00156BE6">
        <w:rPr>
          <w:rStyle w:val="doceo-font-family-base"/>
          <w:color w:val="000000"/>
          <w:shd w:val="clear" w:color="auto" w:fill="FFFFFF"/>
        </w:rPr>
        <w:lastRenderedPageBreak/>
        <w:t xml:space="preserve">igualdade no mercado de trabalho e na tomada de decisões económicas, são condições prévias para ter economias e sociedades igualitárias; </w:t>
      </w:r>
      <w:r w:rsidRPr="00156BE6">
        <w:rPr>
          <w:color w:val="000000"/>
        </w:rPr>
        <w:t>considerando que a promoção da independência económica exige, entre outros aspetos, o fomento do empreendedorismo das mulheres e do seu trabalho por conta própria e deve ser acompanhada de medidas adequadas;</w:t>
      </w:r>
    </w:p>
    <w:p w14:paraId="55AC413F" w14:textId="77777777" w:rsidR="006D679B" w:rsidRPr="00156BE6" w:rsidRDefault="006D679B" w:rsidP="006D679B">
      <w:pPr>
        <w:pStyle w:val="NormalHanging12a"/>
        <w:rPr>
          <w:rStyle w:val="doceo-font-family-base"/>
          <w:rFonts w:eastAsiaTheme="minorHAnsi"/>
          <w:color w:val="000000"/>
        </w:rPr>
      </w:pPr>
      <w:r w:rsidRPr="00156BE6">
        <w:rPr>
          <w:rStyle w:val="doceo-font-family-base"/>
          <w:color w:val="000000"/>
        </w:rPr>
        <w:t>Q.</w:t>
      </w:r>
      <w:r w:rsidRPr="00156BE6">
        <w:rPr>
          <w:rStyle w:val="doceo-font-family-base"/>
          <w:color w:val="000000"/>
        </w:rPr>
        <w:tab/>
      </w:r>
      <w:r w:rsidRPr="00156BE6">
        <w:rPr>
          <w:color w:val="000000"/>
        </w:rPr>
        <w:t>Considerando que a igualdade de género no mercado de trabalho é um instrumento importante para eliminar a pobreza das mulheres, beneficiando não apenas estas últimas mas também a economia no seu todo, com impactos positivos no PIB, nos níveis de emprego e na produtividade; considerando que a melhoria da igualdade de género resultaria num aumento do PIB per capita da UE entre 6,1 e 9,6</w:t>
      </w:r>
      <w:r w:rsidR="00C932EF" w:rsidRPr="00156BE6">
        <w:rPr>
          <w:color w:val="000000"/>
        </w:rPr>
        <w:t> </w:t>
      </w:r>
      <w:r w:rsidRPr="00156BE6">
        <w:rPr>
          <w:color w:val="000000"/>
        </w:rPr>
        <w:t>% e em mais 10,5 milhões de postos de trabalho até 2050;</w:t>
      </w:r>
    </w:p>
    <w:p w14:paraId="4C4FE986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R.</w:t>
      </w:r>
      <w:r w:rsidRPr="00156BE6">
        <w:rPr>
          <w:color w:val="000000"/>
        </w:rPr>
        <w:tab/>
        <w:t>Considerando que as crises – designadamente as alterações climáticas e todas as consequências associadas, incluindo a perda de biodiversidade, as catástrofes naturais, as pandemias e os conflitos armados – afetam desproporcionadamente as mulheres; considerando que as mulheres e raparigas em situações vulneráveis têm menos acesso ou controlo sobre os recursos necessários para enfrentar e superar crises; considerando que as crises não são neutras em termos de género e agravam as desigualdades sociais e de género; considerando que a pobreza parental e, em particular, a pobreza materna provoca frequentemente a pobreza infantil;</w:t>
      </w:r>
    </w:p>
    <w:p w14:paraId="30BE9924" w14:textId="77777777" w:rsidR="006D679B" w:rsidRPr="00156BE6" w:rsidRDefault="006D679B" w:rsidP="006D679B">
      <w:pPr>
        <w:pStyle w:val="NormalHanging12a"/>
        <w:rPr>
          <w:color w:val="000000"/>
        </w:rPr>
      </w:pPr>
      <w:r w:rsidRPr="00156BE6">
        <w:rPr>
          <w:color w:val="000000"/>
        </w:rPr>
        <w:t>S.</w:t>
      </w:r>
      <w:r w:rsidRPr="00156BE6">
        <w:rPr>
          <w:color w:val="000000"/>
        </w:rPr>
        <w:tab/>
        <w:t>Considerando que a inflação aumentou acentuadamente desde 2021, impulsionada principalmente pelos elevados custos da energia e dos alimentos; considerando que não se prevê que os salários aumentem tão rapidamente como a inflação, criando assim uma crise do custo de vida; considerando que esta crise ameaça gravemente os meios de subsistência, a saúde, o bem</w:t>
      </w:r>
      <w:r w:rsidRPr="00156BE6">
        <w:rPr>
          <w:color w:val="000000"/>
        </w:rPr>
        <w:noBreakHyphen/>
        <w:t>estar e a independência económica das mulheres, limitando simultaneamente a sua capacidade de adquirir as necessidades básicas – incluindo alimentação e habitação – e exacerbando a pobreza energética;</w:t>
      </w:r>
    </w:p>
    <w:p w14:paraId="1B05BD4B" w14:textId="77777777" w:rsidR="006D679B" w:rsidRPr="00156BE6" w:rsidRDefault="006D679B" w:rsidP="006D679B">
      <w:pPr>
        <w:pStyle w:val="NormalHanging12a"/>
        <w:rPr>
          <w:color w:val="000000"/>
          <w:szCs w:val="22"/>
        </w:rPr>
      </w:pPr>
      <w:r w:rsidRPr="00156BE6">
        <w:rPr>
          <w:color w:val="000000"/>
        </w:rPr>
        <w:t>T.</w:t>
      </w:r>
      <w:r w:rsidRPr="00156BE6">
        <w:rPr>
          <w:color w:val="000000"/>
        </w:rPr>
        <w:tab/>
        <w:t>Considerando que é imperativo reforçar os progressos realizados na UE, nos últimos anos, na capacitação das mulheres e na promoção duma sociedade igualitária, com iniciativas como procedimentos de recrutamento transparentes nas empresas ou transparência salarial, dado que são essenciais para alcançar a igualdade de género e que tal é particularmente importante em tempos de crise;</w:t>
      </w:r>
    </w:p>
    <w:p w14:paraId="463B9719" w14:textId="77777777" w:rsidR="006D679B" w:rsidRPr="00156BE6" w:rsidRDefault="006D679B" w:rsidP="006D679B">
      <w:pPr>
        <w:pStyle w:val="NormalHanging12a"/>
      </w:pPr>
      <w:r w:rsidRPr="00156BE6">
        <w:t>U.</w:t>
      </w:r>
      <w:r w:rsidRPr="00156BE6">
        <w:tab/>
        <w:t>Considerando que o investimento em políticas visando capacitar as mulheres também melhora as condições de vida das respetivas famílias e, em particular, dos seus filhos; considerando que as famílias monoparentais – que são maioritariamente lideradas por mães – têm um maior risco de pobreza e uma maior probabilidade de transmissão da pobreza geracional;</w:t>
      </w:r>
    </w:p>
    <w:p w14:paraId="77208467" w14:textId="77777777" w:rsidR="006D679B" w:rsidRPr="00156BE6" w:rsidRDefault="006D679B" w:rsidP="006D679B">
      <w:pPr>
        <w:pStyle w:val="NormalHanging12a"/>
      </w:pPr>
      <w:r w:rsidRPr="00156BE6">
        <w:t>1.</w:t>
      </w:r>
      <w:r w:rsidRPr="00156BE6">
        <w:tab/>
        <w:t>Dirige as seguintes recomendações ao Conselho:</w:t>
      </w:r>
    </w:p>
    <w:p w14:paraId="358459F5" w14:textId="77777777" w:rsidR="006D679B" w:rsidRPr="00156BE6" w:rsidRDefault="006D679B" w:rsidP="006D679B">
      <w:pPr>
        <w:pStyle w:val="NormalHanging12a"/>
        <w:ind w:left="1134"/>
      </w:pPr>
      <w:r w:rsidRPr="00156BE6">
        <w:t>a)</w:t>
      </w:r>
      <w:r w:rsidRPr="00156BE6">
        <w:tab/>
        <w:t>Que reitere o compromisso inabalável da UE relativamente à Plataforma de Ação de Pequim e às subsequentes conferências de revisão, bem como ao leque de ações em matéria de igualdade de género nelas descrito;</w:t>
      </w:r>
    </w:p>
    <w:p w14:paraId="317BCD45" w14:textId="77777777" w:rsidR="006D679B" w:rsidRPr="00156BE6" w:rsidRDefault="006D679B" w:rsidP="006D679B">
      <w:pPr>
        <w:pStyle w:val="NormalHanging12a"/>
        <w:ind w:left="1134"/>
      </w:pPr>
      <w:r w:rsidRPr="00156BE6">
        <w:t>b)</w:t>
      </w:r>
      <w:r w:rsidRPr="00156BE6">
        <w:tab/>
        <w:t xml:space="preserve">Que assegure a plena participação do Parlamento e da sua Comissão dos Direitos das Mulheres e da Igualdade dos Géneros no processo de tomada de decisões sobre a posição da UE na 68.ª sessão da Comissão das Nações Unidas sobre o </w:t>
      </w:r>
      <w:r w:rsidRPr="00156BE6">
        <w:lastRenderedPageBreak/>
        <w:t>Estatuto da Mulher, que assegure que o Parlamento recebe informações adequadas e atempadas e tem acesso ao documento de posição da UE antes das negociações e que melhore a cooperação interinstitucional e a consulta informal, nomeadamente antes e durante as negociações, para que as prioridades do Parlamento sejam devidamente integradas;</w:t>
      </w:r>
    </w:p>
    <w:p w14:paraId="757E8B8E" w14:textId="77777777" w:rsidR="006D679B" w:rsidRPr="00156BE6" w:rsidRDefault="006D679B" w:rsidP="006D679B">
      <w:pPr>
        <w:pStyle w:val="NormalHanging12a"/>
        <w:ind w:left="1134"/>
      </w:pPr>
      <w:r w:rsidRPr="00156BE6">
        <w:t>c)</w:t>
      </w:r>
      <w:r w:rsidRPr="00156BE6">
        <w:tab/>
        <w:t>Que sublinhe a importância de um resultado positivo na 68.ª sessão da Comissão das Nações Unidas sobre o Estatuto da Mulher, a realizar de 11 a 22 de março de 2024, nomeadamente através da adoção de um conjunto de compromissos ambiciosos e orientados para o futuro enunciados na declaração política;</w:t>
      </w:r>
    </w:p>
    <w:p w14:paraId="12BCCF55" w14:textId="77777777" w:rsidR="006D679B" w:rsidRPr="00156BE6" w:rsidRDefault="006D679B" w:rsidP="006D679B">
      <w:pPr>
        <w:pStyle w:val="NormalHanging12a"/>
        <w:ind w:left="1134"/>
      </w:pPr>
      <w:r w:rsidRPr="00156BE6">
        <w:t>d)</w:t>
      </w:r>
      <w:r w:rsidRPr="00156BE6">
        <w:tab/>
        <w:t>Que manifeste o seu firme apoio ao trabalho da ONU Mulheres, que é um interveniente central no sistema das Nações Unidas para promover os direitos das mulheres e raparigas em toda a sua diversidade e reunir todas as partes interessadas pertinentes, a fim de gerar mudanças políticas e coordenar as ações; que inste todos os Estados membros da ONU, juntamente com a UE, a garantirem o financiamento adequado da ONU Mulheres;</w:t>
      </w:r>
    </w:p>
    <w:p w14:paraId="706AB662" w14:textId="77777777" w:rsidR="006D679B" w:rsidRPr="00156BE6" w:rsidRDefault="006D679B" w:rsidP="006D679B">
      <w:pPr>
        <w:pStyle w:val="NormalHanging12a"/>
        <w:ind w:left="1134"/>
      </w:pPr>
      <w:r w:rsidRPr="00156BE6">
        <w:t>e)</w:t>
      </w:r>
      <w:r w:rsidRPr="00156BE6">
        <w:tab/>
        <w:t>Que assegure que a UE dê o exemplo e demonstre uma liderança forte, assumindo simultaneamente uma posição unificada sobre a importância de capacitar as mulheres e raparigas em toda a sua diversidade e de alcançar a igualdade de género em todo o mundo;</w:t>
      </w:r>
    </w:p>
    <w:p w14:paraId="48E3CAE2" w14:textId="77777777" w:rsidR="006D679B" w:rsidRPr="00156BE6" w:rsidRDefault="006D679B" w:rsidP="006D679B">
      <w:pPr>
        <w:pStyle w:val="NormalHanging12a"/>
        <w:ind w:left="1134"/>
      </w:pPr>
      <w:r w:rsidRPr="00156BE6">
        <w:t>f)</w:t>
      </w:r>
      <w:r w:rsidRPr="00156BE6">
        <w:tab/>
        <w:t>Que assegure a igualdade de oportunidades na educação, no mercado de trabalho e na tomada de decisões políticas e económicas, com igualdade de acesso aos serviços económicos e financeiros;</w:t>
      </w:r>
    </w:p>
    <w:p w14:paraId="65EB0E8D" w14:textId="77777777" w:rsidR="006D679B" w:rsidRPr="00156BE6" w:rsidRDefault="006D679B" w:rsidP="006D679B">
      <w:pPr>
        <w:pStyle w:val="NormalHanging12a"/>
        <w:ind w:left="1134"/>
      </w:pPr>
      <w:r w:rsidRPr="00156BE6">
        <w:t>g)</w:t>
      </w:r>
      <w:r w:rsidRPr="00156BE6">
        <w:tab/>
        <w:t>Que defenda a liderança das mulheres e raparigas e a sua participação plena, equitativa e significativa a todos os níveis de tomada de decisões, uma vez que a participação das mulheres na vida pública e política e na tomada de decisões é essencial para a boa governação e a elaboração de políticas;</w:t>
      </w:r>
    </w:p>
    <w:p w14:paraId="059A17E2" w14:textId="77777777" w:rsidR="006D679B" w:rsidRPr="00156BE6" w:rsidRDefault="006D679B" w:rsidP="006D679B">
      <w:pPr>
        <w:pStyle w:val="NormalHanging12a"/>
        <w:ind w:left="1134"/>
      </w:pPr>
      <w:r w:rsidRPr="00156BE6">
        <w:t>h)</w:t>
      </w:r>
      <w:r w:rsidRPr="00156BE6">
        <w:tab/>
        <w:t>Que aplique a integração da perspetiva de género e a orçamentação sensível ao género em todos os domínios de intervenção da UE e dos Estados</w:t>
      </w:r>
      <w:r w:rsidRPr="00156BE6">
        <w:noBreakHyphen/>
        <w:t>Membros, uma vez que estes são instrumentos reconhecidos a nível mundial para aplicar os direitos das mulheres e alcançar a igualdade de género;</w:t>
      </w:r>
    </w:p>
    <w:p w14:paraId="0392F8B8" w14:textId="77777777" w:rsidR="006D679B" w:rsidRPr="00156BE6" w:rsidRDefault="006D679B" w:rsidP="006D679B">
      <w:pPr>
        <w:pStyle w:val="NormalHanging12a"/>
        <w:ind w:left="1134"/>
      </w:pPr>
      <w:r w:rsidRPr="00156BE6">
        <w:t>i)</w:t>
      </w:r>
      <w:r w:rsidRPr="00156BE6">
        <w:tab/>
        <w:t>Que crie e ajuste as políticas e programas internos e externos da UE para capacitar melhor as mulheres e raparigas em toda a sua diversidade, que respeite, proteja e faça cumprir os seus direitos e que assegure a igualdade de género;</w:t>
      </w:r>
    </w:p>
    <w:p w14:paraId="385C667D" w14:textId="77777777" w:rsidR="006D679B" w:rsidRPr="00156BE6" w:rsidRDefault="006D679B" w:rsidP="006D679B">
      <w:pPr>
        <w:pStyle w:val="NormalHanging12a"/>
        <w:ind w:left="1134"/>
      </w:pPr>
      <w:r w:rsidRPr="00156BE6">
        <w:t>j)</w:t>
      </w:r>
      <w:r w:rsidRPr="00156BE6">
        <w:tab/>
        <w:t>Que aborde as múltiplas causas sistémicas profundas da pobreza das mulheres a nível mundial – como a sobrerrepresentação das mulheres em empregos mal remunerados, precários e a tempo parcial, as interrupções de carreira das mulheres para cuidar de crianças e de outros familiares, a falta de acesso aos mercados de trabalho e ao emprego, as disparidades salariais e de pensões entre homens e mulheres e ainda a sub</w:t>
      </w:r>
      <w:r w:rsidRPr="00156BE6">
        <w:noBreakHyphen/>
        <w:t>representação das mulheres na tomada de decisões políticas e económicas;</w:t>
      </w:r>
    </w:p>
    <w:p w14:paraId="4BD4935D" w14:textId="77777777" w:rsidR="006D679B" w:rsidRPr="00156BE6" w:rsidRDefault="006D679B" w:rsidP="006D679B">
      <w:pPr>
        <w:pStyle w:val="NormalHanging12a"/>
        <w:ind w:left="1134"/>
      </w:pPr>
      <w:r w:rsidRPr="00156BE6">
        <w:t>k)</w:t>
      </w:r>
      <w:r w:rsidRPr="00156BE6">
        <w:tab/>
      </w:r>
      <w:r w:rsidRPr="00156BE6">
        <w:rPr>
          <w:shd w:val="clear" w:color="auto" w:fill="FFFFFF"/>
        </w:rPr>
        <w:t xml:space="preserve">Que saliente a importância de promover a capacitação das mulheres e raparigas através da educação, da formação e da aprendizagem ao longo da vida – que são </w:t>
      </w:r>
      <w:r w:rsidRPr="00156BE6">
        <w:rPr>
          <w:shd w:val="clear" w:color="auto" w:fill="FFFFFF"/>
        </w:rPr>
        <w:lastRenderedPageBreak/>
        <w:t>vitais para combater os estereótipos prejudiciais e as desigualdades persistentes que causam a pobreza – e de abordar a taxa de emprego das mulheres e a sua sub</w:t>
      </w:r>
      <w:r w:rsidRPr="00156BE6">
        <w:rPr>
          <w:shd w:val="clear" w:color="auto" w:fill="FFFFFF"/>
        </w:rPr>
        <w:noBreakHyphen/>
        <w:t>representação em determinados setores – como os da ciência, tecnologia, engenharia e matemática (CTEM) e da inteligência artificial (IA);</w:t>
      </w:r>
    </w:p>
    <w:p w14:paraId="35263B57" w14:textId="77777777" w:rsidR="006D679B" w:rsidRPr="00156BE6" w:rsidRDefault="006D679B" w:rsidP="006D679B">
      <w:pPr>
        <w:pStyle w:val="NormalHanging12a"/>
        <w:ind w:left="1134"/>
      </w:pPr>
      <w:r w:rsidRPr="00156BE6">
        <w:t>l)</w:t>
      </w:r>
      <w:r w:rsidRPr="00156BE6">
        <w:tab/>
        <w:t>Que apoie e promova o empreendedorismo feminino a todos os níveis, aumentando a sua participação no mercado de trabalho, melhorando a sua independência financeira e reconhecendo e promovendo as mulheres como modelos, mentores e criadores de emprego;</w:t>
      </w:r>
    </w:p>
    <w:p w14:paraId="16BF494E" w14:textId="77777777" w:rsidR="006D679B" w:rsidRPr="00156BE6" w:rsidRDefault="006D679B" w:rsidP="006D679B">
      <w:pPr>
        <w:pStyle w:val="NormalHanging12a"/>
        <w:ind w:left="1134"/>
      </w:pPr>
      <w:r w:rsidRPr="00156BE6">
        <w:t>m)</w:t>
      </w:r>
      <w:r w:rsidRPr="00156BE6">
        <w:tab/>
        <w:t>Que assegure a inclusão de ações concretas e autorizações orçamentais adequadas nas futuras estratégias, programas e iniciativas políticas da UE para abordar os variados aspetos e causas da pobreza das mulheres, tal como identificados na Estratégia para a Igualdade de Género da UE;</w:t>
      </w:r>
    </w:p>
    <w:p w14:paraId="436C00DD" w14:textId="77777777" w:rsidR="006D679B" w:rsidRPr="00156BE6" w:rsidRDefault="006D679B" w:rsidP="006D679B">
      <w:pPr>
        <w:pStyle w:val="NormalHanging12a"/>
        <w:ind w:left="1134"/>
      </w:pPr>
      <w:r w:rsidRPr="00156BE6">
        <w:t>n)</w:t>
      </w:r>
      <w:r w:rsidRPr="00156BE6">
        <w:tab/>
        <w:t>Que realce e sensibilize para as consequências devastadoras que a violência baseada no género praticada na sociedade e nos conflitos armados tem na exclusão social e na pobreza das mulheres e sublinhe a necessidade de quadros legislativos sólidos a nível nacional e internacional e de responsabilização perante a justiça dos autores dessa violência, bem como o direito das vítimas a vias de recurso e reparação eficazes;</w:t>
      </w:r>
    </w:p>
    <w:p w14:paraId="2169FBB9" w14:textId="77777777" w:rsidR="006D679B" w:rsidRPr="00156BE6" w:rsidRDefault="006D679B" w:rsidP="006D679B">
      <w:pPr>
        <w:pStyle w:val="NormalHanging12a"/>
        <w:ind w:left="1134"/>
      </w:pPr>
      <w:r w:rsidRPr="00156BE6">
        <w:t>o)</w:t>
      </w:r>
      <w:r w:rsidRPr="00156BE6">
        <w:tab/>
        <w:t>Que combata as práticas tradicionais nocivas, como os casamentos infantis e forçados e a mutilação genital feminina;</w:t>
      </w:r>
    </w:p>
    <w:p w14:paraId="79EAAF16" w14:textId="77777777" w:rsidR="006D679B" w:rsidRPr="00156BE6" w:rsidRDefault="006D679B" w:rsidP="006D679B">
      <w:pPr>
        <w:pStyle w:val="NormalHanging12a"/>
        <w:ind w:left="1134"/>
      </w:pPr>
      <w:r w:rsidRPr="00156BE6">
        <w:t>p)</w:t>
      </w:r>
      <w:r w:rsidRPr="00156BE6">
        <w:tab/>
        <w:t>Que assegure medidas para prevenir o absentismo escolar das raparigas durante as suas menstruações mediante a melhoria dos serviços de água, saneamento e higiene e das instalações de higiene menstrual nas escolas, bem como a luta contra a pobreza associada à menstruação e contra a estigmatização neste domínio, incluindo a educação e formação para todos; que assegure maiores sinergias entre os programas que abordam a saúde, a SDSR e os serviços de água, saneamento e higiene nas escolas, bem como o apoio pessoal às raparigas;</w:t>
      </w:r>
    </w:p>
    <w:p w14:paraId="3B4BD8C0" w14:textId="77777777" w:rsidR="006D679B" w:rsidRPr="00156BE6" w:rsidRDefault="006D679B" w:rsidP="006D679B">
      <w:pPr>
        <w:pStyle w:val="NormalHanging12a"/>
        <w:ind w:left="1134"/>
      </w:pPr>
      <w:r w:rsidRPr="00156BE6">
        <w:t>q)</w:t>
      </w:r>
      <w:r w:rsidRPr="00156BE6">
        <w:tab/>
        <w:t>Que aplique os princípios do Pilar Europeu dos Direitos Sociais através da aplicação duma abordagem baseada nos direitos, a fim de garantir a proteção social fundamental;</w:t>
      </w:r>
    </w:p>
    <w:p w14:paraId="67C71E08" w14:textId="77777777" w:rsidR="006D679B" w:rsidRPr="00156BE6" w:rsidRDefault="006D679B" w:rsidP="006D679B">
      <w:pPr>
        <w:pStyle w:val="NormalHanging12a"/>
        <w:ind w:left="1134"/>
      </w:pPr>
      <w:r w:rsidRPr="00156BE6">
        <w:t>r)</w:t>
      </w:r>
      <w:r w:rsidRPr="00156BE6">
        <w:tab/>
        <w:t>Que assegure que os Estados</w:t>
      </w:r>
      <w:r w:rsidRPr="00156BE6">
        <w:noBreakHyphen/>
        <w:t>Membros aplicam regimes de segurança social sólidos – incluindo explorar a possibilidade dum rendimento mínimo – a fim de garantir uma rede de segurança para todas as mulheres – em particular, as mais expostas ao risco de pobreza e exclusão social – na sequência das exigências expressas pelos cidadãos da UE na Conferência sobre o Futuro da Europa;</w:t>
      </w:r>
    </w:p>
    <w:p w14:paraId="5CD80267" w14:textId="77777777" w:rsidR="006D679B" w:rsidRPr="00156BE6" w:rsidRDefault="006D679B" w:rsidP="006D679B">
      <w:pPr>
        <w:pStyle w:val="NormalHanging12a"/>
        <w:ind w:left="1134"/>
      </w:pPr>
      <w:r w:rsidRPr="00156BE6">
        <w:t>s)</w:t>
      </w:r>
      <w:r w:rsidRPr="00156BE6">
        <w:tab/>
        <w:t>Que assegure que os Estados</w:t>
      </w:r>
      <w:r w:rsidRPr="00156BE6">
        <w:noBreakHyphen/>
        <w:t>Membros deem prioridade ao investimento em infraestruturas sociais e empregos verdes, a fim de assegurar o bem</w:t>
      </w:r>
      <w:r w:rsidRPr="00156BE6">
        <w:noBreakHyphen/>
        <w:t>estar e a capacitação das mulheres;</w:t>
      </w:r>
    </w:p>
    <w:p w14:paraId="65E12007" w14:textId="77777777" w:rsidR="006D679B" w:rsidRPr="00156BE6" w:rsidRDefault="006D679B" w:rsidP="006D679B">
      <w:pPr>
        <w:pStyle w:val="NormalHanging12a"/>
        <w:ind w:left="1134"/>
      </w:pPr>
      <w:r w:rsidRPr="00156BE6">
        <w:t>t)</w:t>
      </w:r>
      <w:r w:rsidRPr="00156BE6">
        <w:tab/>
        <w:t>Que reforce os serviços públicos – incluindo os serviços de saúde, o ensino público e os transportes públicos de qualidade e a preços comportáveis – e reconheça o papel vital de transportes públicos acessíveis e fiáveis para permitir a participação das mulheres no trabalho e na sociedade;</w:t>
      </w:r>
    </w:p>
    <w:p w14:paraId="08969AFE" w14:textId="77777777" w:rsidR="006D679B" w:rsidRPr="00156BE6" w:rsidRDefault="006D679B" w:rsidP="006D679B">
      <w:pPr>
        <w:pStyle w:val="NormalHanging12a"/>
        <w:ind w:left="1134"/>
      </w:pPr>
      <w:r w:rsidRPr="00156BE6">
        <w:t>u)</w:t>
      </w:r>
      <w:r w:rsidRPr="00156BE6">
        <w:tab/>
        <w:t>Que promova os empregos verdes e invista na plena participação das mulheres na transição ecológica, dado que é essencial avançar rumo a uma economia sustentável, assegurando simultaneamente a igualdade de género em setores novos e emergentes;</w:t>
      </w:r>
    </w:p>
    <w:p w14:paraId="14C4ABB6" w14:textId="77777777" w:rsidR="006D679B" w:rsidRPr="00156BE6" w:rsidRDefault="006D679B" w:rsidP="006D679B">
      <w:pPr>
        <w:pStyle w:val="NormalHanging12a"/>
        <w:ind w:left="1134"/>
      </w:pPr>
      <w:r w:rsidRPr="00156BE6">
        <w:t>v)</w:t>
      </w:r>
      <w:r w:rsidRPr="00156BE6">
        <w:tab/>
        <w:t>Que reconheça que a pobreza energética afeta as mulheres de forma desproporcional e que apresente medidas específicas para apoiar as pessoas em situações vulneráveis, assegurando simultaneamente o acesso de todos à eletricidade, ao aquecimento e ao arrefecimento na transição energética ecológica;</w:t>
      </w:r>
    </w:p>
    <w:p w14:paraId="57FC29C0" w14:textId="77777777" w:rsidR="006D679B" w:rsidRPr="00156BE6" w:rsidRDefault="006D679B" w:rsidP="006D679B">
      <w:pPr>
        <w:pStyle w:val="NormalHanging12a"/>
        <w:ind w:left="1134"/>
      </w:pPr>
      <w:r w:rsidRPr="00156BE6">
        <w:t>w)</w:t>
      </w:r>
      <w:r w:rsidRPr="00156BE6">
        <w:tab/>
        <w:t>Que assegure o acesso à SDSR, incluindo uma educação em matéria de sexualidade e relacionamentos que seja abrangente e adequada em termos de idade para todos, uma contraceção moderna e a preços acessíveis, cuidados de aborto seguros e legais e outros serviços de SDSR, como serviços de saúde materna de qualidade;</w:t>
      </w:r>
    </w:p>
    <w:p w14:paraId="7FDA9345" w14:textId="77777777" w:rsidR="006D679B" w:rsidRPr="00156BE6" w:rsidRDefault="006D679B" w:rsidP="006D679B">
      <w:pPr>
        <w:pStyle w:val="NormalHanging12a"/>
        <w:ind w:left="1134"/>
      </w:pPr>
      <w:r w:rsidRPr="00156BE6">
        <w:t>x)</w:t>
      </w:r>
      <w:r w:rsidRPr="00156BE6">
        <w:tab/>
      </w:r>
      <w:r w:rsidRPr="00156BE6">
        <w:rPr>
          <w:shd w:val="clear" w:color="auto" w:fill="FFFFFF"/>
        </w:rPr>
        <w:t>Que defenda, apoie e tome medidas concretas para realizar o direito de todas as pessoas a usufruírem do mais elevado nível possível de saúde física e mental, nomeadamente assegurando o acesso universal à SDSR;</w:t>
      </w:r>
    </w:p>
    <w:p w14:paraId="7F50CD2D" w14:textId="77777777" w:rsidR="006D679B" w:rsidRPr="00156BE6" w:rsidRDefault="006D679B" w:rsidP="006D679B">
      <w:pPr>
        <w:pStyle w:val="NormalHanging12a"/>
        <w:ind w:left="1134"/>
      </w:pPr>
      <w:r w:rsidRPr="00156BE6">
        <w:t>y)</w:t>
      </w:r>
      <w:r w:rsidRPr="00156BE6">
        <w:tab/>
        <w:t>Que tome medidas firmes para denunciar inequivocamente o atual retrocesso e os ataques contra a igualdade de género e a SDSR – designadamente de organizações de extrema</w:t>
      </w:r>
      <w:r w:rsidRPr="00156BE6">
        <w:noBreakHyphen/>
        <w:t>direita e movimentos antidemocráticos – com vista a comprometer os direitos fundamentais das mulheres, a sua autonomia e emancipação em todos os domínios;</w:t>
      </w:r>
    </w:p>
    <w:p w14:paraId="59DC3527" w14:textId="77777777" w:rsidR="006D679B" w:rsidRPr="00156BE6" w:rsidRDefault="006D679B" w:rsidP="006D679B">
      <w:pPr>
        <w:pStyle w:val="NormalHanging12a"/>
        <w:ind w:left="1134"/>
      </w:pPr>
      <w:r w:rsidRPr="00156BE6">
        <w:t>z)</w:t>
      </w:r>
      <w:r w:rsidRPr="00156BE6">
        <w:tab/>
        <w:t>Que reforce e apoie as organizações da sociedade civil e as ONG que apoiam os direitos das mulheres e a sua capacitação;</w:t>
      </w:r>
    </w:p>
    <w:p w14:paraId="6FEFF21B" w14:textId="77777777" w:rsidR="006D679B" w:rsidRPr="00156BE6" w:rsidRDefault="006D679B" w:rsidP="006D679B">
      <w:pPr>
        <w:pStyle w:val="NormalHanging12a"/>
        <w:ind w:left="1134"/>
      </w:pPr>
      <w:r w:rsidRPr="00156BE6">
        <w:t>a</w:t>
      </w:r>
      <w:r w:rsidRPr="00156BE6">
        <w:noBreakHyphen/>
        <w:t>A)</w:t>
      </w:r>
      <w:r w:rsidRPr="00156BE6">
        <w:tab/>
        <w:t>Que acelere a execução dos compromissos internacionais já assumidos, como os ODS, a Declaração Universal dos Direitos do Homem, a Convenção de Istambul, a Convenção n.º 190 da OIT e a Resolução 1325 do CSNU; que apoie novas medidas para capacitar as mulheres e raparigas e, assim, combater a sua pobreza e exclusão social;</w:t>
      </w:r>
    </w:p>
    <w:p w14:paraId="6327E6F3" w14:textId="77777777" w:rsidR="006D679B" w:rsidRPr="00156BE6" w:rsidRDefault="00DF0650" w:rsidP="006D679B">
      <w:pPr>
        <w:pStyle w:val="NormalHanging12a"/>
        <w:ind w:left="1134"/>
      </w:pPr>
      <w:r w:rsidRPr="00156BE6">
        <w:t>a</w:t>
      </w:r>
      <w:r w:rsidR="006D679B" w:rsidRPr="00156BE6">
        <w:noBreakHyphen/>
        <w:t>B)</w:t>
      </w:r>
      <w:r w:rsidR="006D679B" w:rsidRPr="00156BE6">
        <w:tab/>
        <w:t>Que envide esforços para promover o conceito de luta contra formas múltiplas e cruzadas de discriminação, em todos os organismos da ONU e na UE e seus Estados</w:t>
      </w:r>
      <w:r w:rsidR="006D679B" w:rsidRPr="00156BE6">
        <w:noBreakHyphen/>
        <w:t>Membros;</w:t>
      </w:r>
    </w:p>
    <w:p w14:paraId="0CD3DCE9" w14:textId="77777777" w:rsidR="006D679B" w:rsidRPr="00156BE6" w:rsidRDefault="00DF0650" w:rsidP="006D679B">
      <w:pPr>
        <w:pStyle w:val="NormalHanging12a"/>
        <w:ind w:left="1134"/>
        <w:rPr>
          <w:rStyle w:val="doceo-font-family-base"/>
          <w:rFonts w:eastAsiaTheme="minorHAnsi"/>
          <w:color w:val="000000"/>
        </w:rPr>
      </w:pPr>
      <w:r w:rsidRPr="00156BE6">
        <w:rPr>
          <w:rStyle w:val="doceo-font-family-base"/>
          <w:color w:val="000000"/>
        </w:rPr>
        <w:t>a</w:t>
      </w:r>
      <w:r w:rsidR="006D679B" w:rsidRPr="00156BE6">
        <w:rPr>
          <w:rStyle w:val="doceo-font-family-base"/>
          <w:color w:val="000000"/>
        </w:rPr>
        <w:noBreakHyphen/>
        <w:t>C)</w:t>
      </w:r>
      <w:r w:rsidR="006D679B" w:rsidRPr="00156BE6">
        <w:rPr>
          <w:rStyle w:val="doceo-font-family-base"/>
          <w:color w:val="000000"/>
        </w:rPr>
        <w:tab/>
        <w:t>Que reitere a necessidade de a UE desempenhar um papel de liderança a nível multilateral no apoio à diplomacia feminista, de modo a cumprir os acordos internacionais em matéria de direitos e capacitação das mulheres e das raparigas; insta a UE, os seus Estados</w:t>
      </w:r>
      <w:r w:rsidR="006D679B" w:rsidRPr="00156BE6">
        <w:rPr>
          <w:rStyle w:val="doceo-font-family-base"/>
          <w:color w:val="000000"/>
        </w:rPr>
        <w:noBreakHyphen/>
        <w:t>Membros, a Comissão e o Serviço Europeu para a Ação Externa (SEAE) a comprometerem</w:t>
      </w:r>
      <w:r w:rsidR="006D679B" w:rsidRPr="00156BE6">
        <w:rPr>
          <w:rStyle w:val="doceo-font-family-base"/>
          <w:color w:val="000000"/>
        </w:rPr>
        <w:noBreakHyphen/>
        <w:t>se a progredir no sentido duma política feminista em matéria de assuntos externos, segurança e desenvolvimento, que implique uma visão transformadora em termos de género, bem como a colocarem a igualdade de género no centro das suas ações e prioridades externas;</w:t>
      </w:r>
    </w:p>
    <w:p w14:paraId="36CE87F3" w14:textId="77777777" w:rsidR="006D679B" w:rsidRPr="00156BE6" w:rsidRDefault="00DF0650" w:rsidP="006D679B">
      <w:pPr>
        <w:pStyle w:val="NormalHanging12a"/>
        <w:ind w:left="1134"/>
        <w:rPr>
          <w:rFonts w:eastAsiaTheme="minorHAnsi"/>
        </w:rPr>
      </w:pPr>
      <w:r w:rsidRPr="00156BE6">
        <w:t>a</w:t>
      </w:r>
      <w:r w:rsidR="006D679B" w:rsidRPr="00156BE6">
        <w:noBreakHyphen/>
        <w:t>D)</w:t>
      </w:r>
      <w:r w:rsidR="006D679B" w:rsidRPr="00156BE6">
        <w:tab/>
        <w:t>Que tenha em conta a necessidade de reforçar a integração da perspetiva de género e de utilizar mais eficazmente os princípios da orçamentação sensível ao género, também nas políticas externas da UE, a fim de combater a desigualdade de género em todo o mundo;</w:t>
      </w:r>
    </w:p>
    <w:p w14:paraId="2C423CAF" w14:textId="77777777" w:rsidR="006D679B" w:rsidRPr="00156BE6" w:rsidRDefault="00DF0650" w:rsidP="006D679B">
      <w:pPr>
        <w:pStyle w:val="NormalHanging12a"/>
        <w:ind w:left="1134"/>
      </w:pPr>
      <w:r w:rsidRPr="00156BE6">
        <w:t>a</w:t>
      </w:r>
      <w:r w:rsidR="006D679B" w:rsidRPr="00156BE6">
        <w:noBreakHyphen/>
        <w:t>E)</w:t>
      </w:r>
      <w:r w:rsidR="006D679B" w:rsidRPr="00156BE6">
        <w:tab/>
        <w:t>Que aplique plenamente o Terceiro Plano de Ação da UE em Matéria de Igualdade e de Género e assegure que 85</w:t>
      </w:r>
      <w:r w:rsidR="00C932EF" w:rsidRPr="00156BE6">
        <w:t> </w:t>
      </w:r>
      <w:r w:rsidR="006D679B" w:rsidRPr="00156BE6">
        <w:t>% do total de novas ações desenvolvidas no quadro das relações externas até 2025 contribuam para a igualdade de género e a capacitação das mulheres;</w:t>
      </w:r>
      <w:r w:rsidR="006D679B" w:rsidRPr="00156BE6">
        <w:rPr>
          <w:shd w:val="clear" w:color="auto" w:fill="FFFFFF"/>
        </w:rPr>
        <w:t xml:space="preserve"> que aplique a abordagem holística e sustentável duma política externa feminista em todas as suas ações e políticas externas;</w:t>
      </w:r>
    </w:p>
    <w:p w14:paraId="041EE363" w14:textId="77777777" w:rsidR="006D679B" w:rsidRPr="00156BE6" w:rsidRDefault="00DF0650" w:rsidP="006D679B">
      <w:pPr>
        <w:pStyle w:val="NormalHanging12a"/>
        <w:ind w:left="1134"/>
      </w:pPr>
      <w:r w:rsidRPr="00156BE6">
        <w:t>a</w:t>
      </w:r>
      <w:r w:rsidR="006D679B" w:rsidRPr="00156BE6">
        <w:noBreakHyphen/>
        <w:t>F)</w:t>
      </w:r>
      <w:r w:rsidR="006D679B" w:rsidRPr="00156BE6">
        <w:tab/>
        <w:t>Que assegure a recolha de dados comparáveis e desagregados por idade, sexo e género que captem a situação das pessoas que enfrentam formas múltiplas e cruzadas de discriminação, a fim de melhorar a análise de dados e fundamentar a conceção e execução das políticas, uma vez que atualmente estão disponíveis menos de metade dos dados necessários para acompanhar o ODS 5;</w:t>
      </w:r>
    </w:p>
    <w:p w14:paraId="30061054" w14:textId="77777777" w:rsidR="006D679B" w:rsidRPr="00156BE6" w:rsidRDefault="006D679B" w:rsidP="006D679B">
      <w:pPr>
        <w:pStyle w:val="NormalHanging12a"/>
      </w:pPr>
      <w:r w:rsidRPr="00156BE6">
        <w:t>2.</w:t>
      </w:r>
      <w:r w:rsidRPr="00156BE6">
        <w:tab/>
        <w:t>Encarrega a sua Presidente de transmitir a presente resolução ao Conselho, à Comissão, ao Vice</w:t>
      </w:r>
      <w:r w:rsidRPr="00156BE6">
        <w:noBreakHyphen/>
        <w:t>Presidente da Comissão/Alto Representante da União para os Negócios Estrangeiros e a Política de Segurança e ao Representante Especial da União Europeia para os Direitos Humanos.</w:t>
      </w:r>
    </w:p>
    <w:sectPr w:rsidR="006D679B" w:rsidRPr="00156BE6" w:rsidSect="003F2A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1C7E9" w14:textId="77777777" w:rsidR="00713B78" w:rsidRPr="003F2A57" w:rsidRDefault="00713B78">
      <w:r w:rsidRPr="003F2A57">
        <w:separator/>
      </w:r>
    </w:p>
  </w:endnote>
  <w:endnote w:type="continuationSeparator" w:id="0">
    <w:p w14:paraId="370234FE" w14:textId="77777777" w:rsidR="00713B78" w:rsidRPr="003F2A57" w:rsidRDefault="00713B78">
      <w:r w:rsidRPr="003F2A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78CBD" w14:textId="77777777" w:rsidR="00064002" w:rsidRPr="003F2A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55B3E" w14:textId="77777777" w:rsidR="00064002" w:rsidRPr="003F2A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6F625" w14:textId="77777777" w:rsidR="00064002" w:rsidRPr="003F2A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DD335" w14:textId="77777777" w:rsidR="00713B78" w:rsidRPr="003F2A57" w:rsidRDefault="00713B78">
      <w:r w:rsidRPr="003F2A57">
        <w:separator/>
      </w:r>
    </w:p>
  </w:footnote>
  <w:footnote w:type="continuationSeparator" w:id="0">
    <w:p w14:paraId="065EC904" w14:textId="77777777" w:rsidR="00713B78" w:rsidRPr="003F2A57" w:rsidRDefault="00713B78">
      <w:r w:rsidRPr="003F2A57">
        <w:continuationSeparator/>
      </w:r>
    </w:p>
  </w:footnote>
  <w:footnote w:id="1">
    <w:p w14:paraId="26B4945C" w14:textId="77777777" w:rsidR="006D679B" w:rsidRPr="0023015A" w:rsidRDefault="006D679B" w:rsidP="003F2A57">
      <w:pPr>
        <w:pStyle w:val="FootnoteText"/>
        <w:ind w:left="567" w:hanging="567"/>
        <w:rPr>
          <w:sz w:val="24"/>
          <w:lang w:val="da-DK"/>
        </w:rPr>
      </w:pPr>
      <w:r w:rsidRPr="003F2A57">
        <w:rPr>
          <w:rStyle w:val="FootnoteReference"/>
          <w:sz w:val="24"/>
          <w:lang w:val="pt-PT"/>
        </w:rPr>
        <w:footnoteRef/>
      </w:r>
      <w:r w:rsidR="003F2A57" w:rsidRPr="0023015A">
        <w:rPr>
          <w:sz w:val="24"/>
          <w:lang w:val="da-DK"/>
        </w:rPr>
        <w:t xml:space="preserve"> </w:t>
      </w:r>
      <w:r w:rsidR="003F2A57" w:rsidRPr="0023015A">
        <w:rPr>
          <w:sz w:val="24"/>
          <w:lang w:val="da-DK"/>
        </w:rPr>
        <w:tab/>
      </w:r>
      <w:r w:rsidRPr="0023015A">
        <w:rPr>
          <w:sz w:val="24"/>
          <w:lang w:val="da-DK"/>
        </w:rPr>
        <w:t>JO C 47 de 7.2.2023, p. 30.</w:t>
      </w:r>
    </w:p>
  </w:footnote>
  <w:footnote w:id="2">
    <w:p w14:paraId="78AC6503" w14:textId="77777777" w:rsidR="006D679B" w:rsidRPr="0023015A" w:rsidRDefault="006D679B" w:rsidP="003F2A57">
      <w:pPr>
        <w:pStyle w:val="FootnoteText"/>
        <w:ind w:left="567" w:hanging="567"/>
        <w:rPr>
          <w:sz w:val="24"/>
          <w:lang w:val="da-DK"/>
        </w:rPr>
      </w:pPr>
      <w:r w:rsidRPr="003F2A57">
        <w:rPr>
          <w:rStyle w:val="FootnoteReference"/>
          <w:sz w:val="24"/>
          <w:lang w:val="pt-PT"/>
        </w:rPr>
        <w:footnoteRef/>
      </w:r>
      <w:r w:rsidR="003F2A57" w:rsidRPr="0023015A">
        <w:rPr>
          <w:sz w:val="24"/>
          <w:lang w:val="da-DK"/>
        </w:rPr>
        <w:t xml:space="preserve"> </w:t>
      </w:r>
      <w:r w:rsidR="003F2A57" w:rsidRPr="0023015A">
        <w:rPr>
          <w:sz w:val="24"/>
          <w:lang w:val="da-DK"/>
        </w:rPr>
        <w:tab/>
      </w:r>
      <w:r w:rsidRPr="0023015A">
        <w:rPr>
          <w:sz w:val="24"/>
          <w:lang w:val="da-DK"/>
        </w:rPr>
        <w:t>JO C 47 de 7.2.2023, p. 2.</w:t>
      </w:r>
    </w:p>
  </w:footnote>
  <w:footnote w:id="3">
    <w:p w14:paraId="08AC0AE5" w14:textId="77777777" w:rsidR="006D679B" w:rsidRPr="003F2A57" w:rsidRDefault="006D679B" w:rsidP="003F2A57">
      <w:pPr>
        <w:pStyle w:val="FootnoteText"/>
        <w:ind w:left="567" w:hanging="567"/>
        <w:rPr>
          <w:sz w:val="24"/>
          <w:lang w:val="pt-PT"/>
        </w:rPr>
      </w:pPr>
      <w:r w:rsidRPr="003F2A57">
        <w:rPr>
          <w:rStyle w:val="FootnoteReference"/>
          <w:sz w:val="24"/>
          <w:lang w:val="pt-PT"/>
        </w:rPr>
        <w:footnoteRef/>
      </w:r>
      <w:r w:rsidR="003F2A57" w:rsidRPr="003F2A57">
        <w:rPr>
          <w:sz w:val="24"/>
          <w:lang w:val="pt-PT"/>
        </w:rPr>
        <w:t xml:space="preserve"> </w:t>
      </w:r>
      <w:r w:rsidR="003F2A57" w:rsidRPr="003F2A57">
        <w:rPr>
          <w:sz w:val="24"/>
          <w:lang w:val="pt-PT"/>
        </w:rPr>
        <w:tab/>
      </w:r>
      <w:r w:rsidRPr="003F2A57">
        <w:rPr>
          <w:sz w:val="24"/>
          <w:lang w:val="pt-PT"/>
        </w:rPr>
        <w:t>Carta dos Direitos Fundamentais da União Europeia, artigo 21.º.</w:t>
      </w:r>
    </w:p>
  </w:footnote>
  <w:footnote w:id="4">
    <w:p w14:paraId="4B2AAEC2" w14:textId="77777777" w:rsidR="006D679B" w:rsidRPr="003F2A57" w:rsidRDefault="006D679B" w:rsidP="003F2A57">
      <w:pPr>
        <w:pStyle w:val="FootnoteText"/>
        <w:ind w:left="567" w:hanging="567"/>
        <w:rPr>
          <w:sz w:val="24"/>
          <w:lang w:val="pt-PT"/>
        </w:rPr>
      </w:pPr>
      <w:r w:rsidRPr="003F2A57">
        <w:rPr>
          <w:rStyle w:val="FootnoteReference"/>
          <w:sz w:val="24"/>
          <w:lang w:val="pt-PT"/>
        </w:rPr>
        <w:footnoteRef/>
      </w:r>
      <w:r w:rsidR="003F2A57" w:rsidRPr="003F2A57">
        <w:rPr>
          <w:sz w:val="24"/>
          <w:lang w:val="pt-PT"/>
        </w:rPr>
        <w:t xml:space="preserve"> </w:t>
      </w:r>
      <w:r w:rsidR="003F2A57" w:rsidRPr="003F2A57">
        <w:rPr>
          <w:sz w:val="24"/>
          <w:lang w:val="pt-PT"/>
        </w:rPr>
        <w:tab/>
      </w:r>
      <w:r w:rsidRPr="003F2A57">
        <w:rPr>
          <w:sz w:val="24"/>
          <w:lang w:val="pt-PT"/>
        </w:rPr>
        <w:t xml:space="preserve">Azcona, G., e Bhatt, A., </w:t>
      </w:r>
      <w:hyperlink w:anchor=":~:text=Globally%2C%20383%20million%20women%20and,and%20Southern%20Asia%20(21%25)https://www.unwomen.org/sites/default/files/Headquarters/Attachments/Sections/Library/Publications/2018/SDG-report-Spotlight-01-Gender-differences-in-poverty-and-household-composition-en.pdf." w:history="1">
        <w:r w:rsidRPr="003F2A57">
          <w:rPr>
            <w:rStyle w:val="Hyperlink"/>
            <w:i/>
            <w:sz w:val="24"/>
            <w:lang w:val="pt-PT"/>
          </w:rPr>
          <w:t>Poverty is not gender neutral</w:t>
        </w:r>
      </w:hyperlink>
      <w:r w:rsidRPr="003F2A57">
        <w:rPr>
          <w:sz w:val="24"/>
          <w:lang w:val="pt-PT"/>
        </w:rPr>
        <w:t>, ONU Mulheres, março de 2023.</w:t>
      </w:r>
    </w:p>
  </w:footnote>
  <w:footnote w:id="5">
    <w:p w14:paraId="3F7F31D3" w14:textId="77777777" w:rsidR="006D679B" w:rsidRPr="0023015A" w:rsidRDefault="006D679B" w:rsidP="003F2A57">
      <w:pPr>
        <w:pStyle w:val="FootnoteText"/>
        <w:ind w:left="567" w:hanging="567"/>
        <w:rPr>
          <w:sz w:val="24"/>
          <w:lang w:val="en-GB"/>
        </w:rPr>
      </w:pPr>
      <w:r w:rsidRPr="003F2A57">
        <w:rPr>
          <w:rStyle w:val="FootnoteReference"/>
          <w:sz w:val="24"/>
          <w:lang w:val="pt-PT"/>
        </w:rPr>
        <w:footnoteRef/>
      </w:r>
      <w:r w:rsidR="003F2A57" w:rsidRPr="0023015A">
        <w:rPr>
          <w:sz w:val="24"/>
          <w:lang w:val="en-GB"/>
        </w:rPr>
        <w:t xml:space="preserve"> </w:t>
      </w:r>
      <w:r w:rsidR="003F2A57" w:rsidRPr="0023015A">
        <w:rPr>
          <w:sz w:val="24"/>
          <w:lang w:val="en-GB"/>
        </w:rPr>
        <w:tab/>
      </w:r>
      <w:hyperlink r:id="rId1" w:history="1">
        <w:r w:rsidRPr="0023015A">
          <w:rPr>
            <w:rStyle w:val="Hyperlink"/>
            <w:i/>
            <w:sz w:val="24"/>
            <w:lang w:val="en-GB"/>
          </w:rPr>
          <w:t>Gender differences in poverty and household composition through the life cycle</w:t>
        </w:r>
      </w:hyperlink>
      <w:r w:rsidRPr="0023015A">
        <w:rPr>
          <w:sz w:val="24"/>
          <w:lang w:val="en-GB"/>
        </w:rPr>
        <w:t>, ONU Mulheres e Banco Mundial.</w:t>
      </w:r>
    </w:p>
  </w:footnote>
  <w:footnote w:id="6">
    <w:p w14:paraId="0DA75455" w14:textId="77777777" w:rsidR="006D679B" w:rsidRPr="003F2A57" w:rsidRDefault="006D679B" w:rsidP="003F2A57">
      <w:pPr>
        <w:pStyle w:val="FootnoteText"/>
        <w:ind w:left="567" w:hanging="567"/>
        <w:rPr>
          <w:sz w:val="24"/>
          <w:lang w:val="pt-PT"/>
        </w:rPr>
      </w:pPr>
      <w:r w:rsidRPr="003F2A57">
        <w:rPr>
          <w:rStyle w:val="FootnoteReference"/>
          <w:sz w:val="24"/>
          <w:lang w:val="pt-PT"/>
        </w:rPr>
        <w:footnoteRef/>
      </w:r>
      <w:r w:rsidR="003F2A57" w:rsidRPr="003F2A57">
        <w:rPr>
          <w:sz w:val="24"/>
          <w:lang w:val="pt-PT"/>
        </w:rPr>
        <w:t xml:space="preserve"> </w:t>
      </w:r>
      <w:r w:rsidR="003F2A57" w:rsidRPr="003F2A57">
        <w:rPr>
          <w:sz w:val="24"/>
          <w:lang w:val="pt-PT"/>
        </w:rPr>
        <w:tab/>
      </w:r>
      <w:r w:rsidRPr="003F2A57">
        <w:rPr>
          <w:sz w:val="24"/>
          <w:lang w:val="pt-PT"/>
        </w:rPr>
        <w:t>Resolução de 5 de julho de 2022 sobre a pobreza entre as mulheres na Europa – Textos Aprovados</w:t>
      </w:r>
      <w:r w:rsidR="008C1183">
        <w:rPr>
          <w:sz w:val="24"/>
          <w:lang w:val="pt-PT"/>
        </w:rPr>
        <w:t>,</w:t>
      </w:r>
      <w:r w:rsidR="008C1183" w:rsidRPr="003F2A57">
        <w:rPr>
          <w:sz w:val="24"/>
          <w:lang w:val="pt-PT"/>
        </w:rPr>
        <w:t xml:space="preserve"> </w:t>
      </w:r>
      <w:r w:rsidRPr="003F2A57">
        <w:rPr>
          <w:sz w:val="24"/>
          <w:lang w:val="pt-PT"/>
        </w:rPr>
        <w:t>P9_TA(2022)0274.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E629C" w14:textId="77777777" w:rsidR="00064002" w:rsidRPr="003F2A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6943B" w14:textId="77777777" w:rsidR="00064002" w:rsidRPr="003F2A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BBA61" w14:textId="77777777" w:rsidR="00064002" w:rsidRPr="003F2A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1/2024"/>
    <w:docVar w:name="dvlangue" w:val="PT"/>
    <w:docVar w:name="dvnumam" w:val="0"/>
    <w:docVar w:name="dvpe" w:val="756.218"/>
    <w:docVar w:name="dvtitre" w:val="Resolução do Parlamento Europeu, de ... de ... de 2024,_x000d__x000a_ sobre as prioridades da UE para a 68.ª sessão da Comissão das Nações Unidas sobre o Estatuto da Mulher(2023/2973(RSP))"/>
  </w:docVars>
  <w:rsids>
    <w:rsidRoot w:val="00713B78"/>
    <w:rsid w:val="00002272"/>
    <w:rsid w:val="00064002"/>
    <w:rsid w:val="000677B9"/>
    <w:rsid w:val="000831BA"/>
    <w:rsid w:val="000A42CC"/>
    <w:rsid w:val="000E7DD9"/>
    <w:rsid w:val="0010095E"/>
    <w:rsid w:val="00125B37"/>
    <w:rsid w:val="00156BE6"/>
    <w:rsid w:val="00187494"/>
    <w:rsid w:val="001F32AE"/>
    <w:rsid w:val="0023015A"/>
    <w:rsid w:val="002714A8"/>
    <w:rsid w:val="002767FF"/>
    <w:rsid w:val="002B18FE"/>
    <w:rsid w:val="002B5493"/>
    <w:rsid w:val="00343214"/>
    <w:rsid w:val="00361C00"/>
    <w:rsid w:val="00395FA1"/>
    <w:rsid w:val="003E15D4"/>
    <w:rsid w:val="003F2A57"/>
    <w:rsid w:val="00411CCE"/>
    <w:rsid w:val="0041666E"/>
    <w:rsid w:val="00417315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679B"/>
    <w:rsid w:val="006F74FA"/>
    <w:rsid w:val="00713B78"/>
    <w:rsid w:val="00731ADD"/>
    <w:rsid w:val="00734777"/>
    <w:rsid w:val="00747932"/>
    <w:rsid w:val="00750CFD"/>
    <w:rsid w:val="00751A4A"/>
    <w:rsid w:val="00756632"/>
    <w:rsid w:val="00762C74"/>
    <w:rsid w:val="00786EC0"/>
    <w:rsid w:val="007A6E1D"/>
    <w:rsid w:val="007D1690"/>
    <w:rsid w:val="007E22AD"/>
    <w:rsid w:val="00817416"/>
    <w:rsid w:val="00842779"/>
    <w:rsid w:val="00865F67"/>
    <w:rsid w:val="00881A7B"/>
    <w:rsid w:val="008840E5"/>
    <w:rsid w:val="00887B3E"/>
    <w:rsid w:val="008C118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2E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65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F0B1C8C"/>
  <w15:chartTrackingRefBased/>
  <w15:docId w15:val="{02BDCB56-0C1B-4F2E-A478-CAA062A7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6D679B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6D679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6D679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D679B"/>
    <w:rPr>
      <w:sz w:val="24"/>
      <w:lang w:val="pt-PT"/>
    </w:rPr>
  </w:style>
  <w:style w:type="character" w:customStyle="1" w:styleId="doceo-font-family-base">
    <w:name w:val="doceo-font-family-base"/>
    <w:basedOn w:val="DefaultParagraphFont"/>
    <w:rsid w:val="006D679B"/>
  </w:style>
  <w:style w:type="paragraph" w:styleId="BalloonText">
    <w:name w:val="Balloon Text"/>
    <w:basedOn w:val="Normal"/>
    <w:link w:val="BalloonTextChar"/>
    <w:rsid w:val="002714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14A8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2301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01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015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301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015A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women.org/sites/default/files/Headquarters/Attachments/Sections/Library/Publications/2018/SDG-report-Spotlight-01-Gender-differences-in-poverty-and-household-composition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96CF1-EB12-4E52-81D9-8A8305B7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3641</Words>
  <Characters>20760</Characters>
  <Application>Microsoft Office Word</Application>
  <DocSecurity>4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Lukas Lemcke</cp:lastModifiedBy>
  <cp:revision>2</cp:revision>
  <cp:lastPrinted>2004-11-19T15:42:00Z</cp:lastPrinted>
  <dcterms:created xsi:type="dcterms:W3CDTF">2024-06-14T08:41:00Z</dcterms:created>
  <dcterms:modified xsi:type="dcterms:W3CDTF">2024-06-14T08:41:00Z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B9-0091/2024</vt:lpwstr>
  </property>
  <property fmtid="{D5CDD505-2E9C-101B-9397-08002B2CF9AE}" pid="4" name="&lt;Type&gt;">
    <vt:lpwstr>RR</vt:lpwstr>
  </property>
</Properties>
</file>