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B63" w:rsidTr="0010095E">
        <w:trPr>
          <w:trHeight w:hRule="exact" w:val="1418"/>
        </w:trPr>
        <w:tc>
          <w:tcPr>
            <w:tcW w:w="6804" w:type="dxa"/>
            <w:shd w:val="clear" w:color="auto" w:fill="auto"/>
            <w:vAlign w:val="center"/>
          </w:tcPr>
          <w:p w:rsidR="00751A4A" w:rsidRPr="00225B63" w:rsidRDefault="000475DB" w:rsidP="0010095E">
            <w:pPr>
              <w:pStyle w:val="EPName"/>
            </w:pPr>
            <w:r w:rsidRPr="00225B63">
              <w:t>Европейски</w:t>
            </w:r>
            <w:r w:rsidR="00883D2A" w:rsidRPr="00225B63">
              <w:t xml:space="preserve"> парламент</w:t>
            </w:r>
          </w:p>
          <w:p w:rsidR="00751A4A" w:rsidRPr="00225B63" w:rsidRDefault="00817416" w:rsidP="00756632">
            <w:pPr>
              <w:pStyle w:val="EPTerm"/>
              <w:rPr>
                <w:rStyle w:val="HideTWBExt"/>
                <w:noProof w:val="0"/>
                <w:vanish w:val="0"/>
                <w:color w:val="auto"/>
              </w:rPr>
            </w:pPr>
            <w:r w:rsidRPr="00225B63">
              <w:t>2019</w:t>
            </w:r>
            <w:r w:rsidR="000475DB">
              <w:rPr>
                <w:lang w:val="en-GB"/>
              </w:rPr>
              <w:t> – </w:t>
            </w:r>
            <w:r w:rsidRPr="00225B63">
              <w:t>2024</w:t>
            </w:r>
          </w:p>
        </w:tc>
        <w:tc>
          <w:tcPr>
            <w:tcW w:w="2268" w:type="dxa"/>
            <w:shd w:val="clear" w:color="auto" w:fill="auto"/>
          </w:tcPr>
          <w:p w:rsidR="00751A4A" w:rsidRPr="00225B63" w:rsidRDefault="00187494" w:rsidP="0010095E">
            <w:pPr>
              <w:pStyle w:val="EPLogo"/>
            </w:pPr>
            <w:r w:rsidRPr="00225B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5B63" w:rsidRDefault="00D058B8" w:rsidP="004C5D52">
      <w:pPr>
        <w:pStyle w:val="LineTop"/>
      </w:pPr>
    </w:p>
    <w:p w:rsidR="00680577" w:rsidRPr="00225B63" w:rsidRDefault="00883D2A" w:rsidP="00680577">
      <w:pPr>
        <w:pStyle w:val="EPBodyTA1"/>
      </w:pPr>
      <w:r w:rsidRPr="00225B63">
        <w:t>ПРИЕТИ ТЕКСТОВЕ</w:t>
      </w:r>
    </w:p>
    <w:p w:rsidR="00D058B8" w:rsidRPr="00225B63" w:rsidRDefault="00D058B8" w:rsidP="00D058B8">
      <w:pPr>
        <w:pStyle w:val="LineBottom"/>
      </w:pPr>
    </w:p>
    <w:p w:rsidR="00883D2A" w:rsidRPr="00225B63" w:rsidRDefault="00883D2A" w:rsidP="00883D2A">
      <w:pPr>
        <w:pStyle w:val="ATHeading1"/>
      </w:pPr>
      <w:bookmarkStart w:id="0" w:name="TANumber"/>
      <w:r w:rsidRPr="00225B63">
        <w:t>P9_TA(2024)00</w:t>
      </w:r>
      <w:r w:rsidR="004D7116">
        <w:t>75</w:t>
      </w:r>
      <w:bookmarkEnd w:id="0"/>
    </w:p>
    <w:p w:rsidR="00883D2A" w:rsidRPr="00225B63" w:rsidRDefault="00883D2A" w:rsidP="00883D2A">
      <w:pPr>
        <w:pStyle w:val="ATHeading2"/>
      </w:pPr>
      <w:bookmarkStart w:id="1" w:name="title"/>
      <w:r w:rsidRPr="00225B63">
        <w:t>Положението в Сърбия след изборите</w:t>
      </w:r>
      <w:bookmarkEnd w:id="1"/>
    </w:p>
    <w:p w:rsidR="00883D2A" w:rsidRPr="00225B63" w:rsidRDefault="00883D2A" w:rsidP="00883D2A">
      <w:pPr>
        <w:rPr>
          <w:i/>
          <w:vanish/>
        </w:rPr>
      </w:pPr>
      <w:r w:rsidRPr="00225B63">
        <w:rPr>
          <w:i/>
        </w:rPr>
        <w:fldChar w:fldCharType="begin"/>
      </w:r>
      <w:r w:rsidRPr="00225B63">
        <w:rPr>
          <w:i/>
        </w:rPr>
        <w:instrText xml:space="preserve"> TC"(</w:instrText>
      </w:r>
      <w:bookmarkStart w:id="2" w:name="DocNumber"/>
      <w:r w:rsidRPr="00225B63">
        <w:rPr>
          <w:i/>
        </w:rPr>
        <w:instrText xml:space="preserve">B9-0106, 0108, 0131, 0132, 0133 </w:instrText>
      </w:r>
      <w:proofErr w:type="spellStart"/>
      <w:r w:rsidRPr="00225B63">
        <w:rPr>
          <w:i/>
        </w:rPr>
        <w:instrText>and</w:instrText>
      </w:r>
      <w:proofErr w:type="spellEnd"/>
      <w:r w:rsidRPr="00225B63">
        <w:rPr>
          <w:i/>
        </w:rPr>
        <w:instrText xml:space="preserve"> 0134/2024</w:instrText>
      </w:r>
      <w:bookmarkEnd w:id="2"/>
      <w:r w:rsidRPr="00225B63">
        <w:rPr>
          <w:i/>
        </w:rPr>
        <w:instrText xml:space="preserve">)"\l3 \n&gt; \* MERGEFORMAT </w:instrText>
      </w:r>
      <w:r w:rsidRPr="00225B63">
        <w:rPr>
          <w:i/>
        </w:rPr>
        <w:fldChar w:fldCharType="end"/>
      </w:r>
    </w:p>
    <w:p w:rsidR="00883D2A" w:rsidRPr="00225B63" w:rsidRDefault="00883D2A" w:rsidP="00883D2A">
      <w:pPr>
        <w:rPr>
          <w:vanish/>
        </w:rPr>
      </w:pPr>
      <w:bookmarkStart w:id="3" w:name="PE"/>
      <w:r w:rsidRPr="00225B63">
        <w:rPr>
          <w:vanish/>
        </w:rPr>
        <w:t>PE756.848</w:t>
      </w:r>
      <w:bookmarkEnd w:id="3"/>
    </w:p>
    <w:p w:rsidR="00883D2A" w:rsidRPr="00225B63" w:rsidRDefault="00883D2A" w:rsidP="000475DB">
      <w:pPr>
        <w:pStyle w:val="ATHeading3"/>
      </w:pPr>
      <w:bookmarkStart w:id="4" w:name="Sujet"/>
      <w:r w:rsidRPr="00225B63">
        <w:t xml:space="preserve">Резолюция на Европейския парламент от </w:t>
      </w:r>
      <w:r w:rsidR="000475DB">
        <w:t>8</w:t>
      </w:r>
      <w:r w:rsidRPr="00225B63">
        <w:t xml:space="preserve"> </w:t>
      </w:r>
      <w:r w:rsidR="000475DB">
        <w:t xml:space="preserve">февруари </w:t>
      </w:r>
      <w:r w:rsidRPr="00225B63">
        <w:t>2024 г. относно положението в Сърбия след изборите</w:t>
      </w:r>
      <w:bookmarkEnd w:id="4"/>
      <w:r w:rsidRPr="00225B63">
        <w:t xml:space="preserve"> </w:t>
      </w:r>
      <w:bookmarkStart w:id="5" w:name="References"/>
      <w:r w:rsidRPr="00225B63">
        <w:t>(2024/2521(RSP))</w:t>
      </w:r>
      <w:bookmarkEnd w:id="5"/>
    </w:p>
    <w:p w:rsidR="00B22A91" w:rsidRPr="00225B63" w:rsidRDefault="00B22A91" w:rsidP="00B22A91">
      <w:pPr>
        <w:pStyle w:val="EPComma"/>
      </w:pPr>
      <w:bookmarkStart w:id="6" w:name="TextBodyBegin"/>
      <w:bookmarkEnd w:id="6"/>
      <w:r w:rsidRPr="00225B63">
        <w:rPr>
          <w:i/>
          <w:iCs/>
        </w:rPr>
        <w:t>Европейският парламент</w:t>
      </w:r>
      <w:r w:rsidRPr="00225B63">
        <w:t>,</w:t>
      </w:r>
    </w:p>
    <w:p w:rsidR="00B22A91" w:rsidRPr="00225B63" w:rsidRDefault="00B22A91" w:rsidP="00B22A91">
      <w:pPr>
        <w:pStyle w:val="NormalHanging12a"/>
      </w:pPr>
      <w:r w:rsidRPr="00225B63">
        <w:t>–</w:t>
      </w:r>
      <w:r w:rsidRPr="00225B63">
        <w:tab/>
        <w:t>като взе предвид своите предходни резолюции относно Сърбия, и по-специално резолюцията от 10 май 2023 г. относно доклада на Комисията относно Сърбия за 2022 г.</w:t>
      </w:r>
      <w:r w:rsidRPr="00225B63">
        <w:rPr>
          <w:rStyle w:val="FootnoteReference"/>
        </w:rPr>
        <w:footnoteReference w:id="1"/>
      </w:r>
      <w:r w:rsidRPr="00225B63">
        <w:t>,</w:t>
      </w:r>
    </w:p>
    <w:p w:rsidR="00B22A91" w:rsidRPr="00225B63" w:rsidRDefault="00B22A91" w:rsidP="00B22A91">
      <w:pPr>
        <w:pStyle w:val="NormalHanging12a"/>
      </w:pPr>
      <w:r w:rsidRPr="00225B63">
        <w:t>–</w:t>
      </w:r>
      <w:r w:rsidRPr="00225B63">
        <w:tab/>
        <w:t xml:space="preserve">като взе предвид предишните изявления на ЕС относно Сърбия, и по-специално съвместното изявление на върховния представител на Съюза по въпросите на външните работи и политиката на сигурност </w:t>
      </w:r>
      <w:proofErr w:type="spellStart"/>
      <w:r w:rsidRPr="00225B63">
        <w:t>Жозеп</w:t>
      </w:r>
      <w:proofErr w:type="spellEnd"/>
      <w:r w:rsidRPr="00225B63">
        <w:t xml:space="preserve"> Борел и комисаря по въпросите на съседството и разширяването Оливер </w:t>
      </w:r>
      <w:proofErr w:type="spellStart"/>
      <w:r w:rsidRPr="00225B63">
        <w:t>Вархеи</w:t>
      </w:r>
      <w:proofErr w:type="spellEnd"/>
      <w:r w:rsidRPr="00225B63">
        <w:t xml:space="preserve"> от 19 декември 2023 г. относно парламентарните избори,</w:t>
      </w:r>
    </w:p>
    <w:p w:rsidR="00B22A91" w:rsidRPr="00225B63" w:rsidRDefault="00B22A91" w:rsidP="00B22A91">
      <w:pPr>
        <w:pStyle w:val="NormalHanging12a"/>
      </w:pPr>
      <w:r w:rsidRPr="00225B63">
        <w:t>–</w:t>
      </w:r>
      <w:r w:rsidRPr="00225B63">
        <w:tab/>
        <w:t>като взе предвид изявлението за предварителните констатации и заключения на международната мисия за наблюдение на избори (ММНИ) относно предсрочните парламентарни избори в Сърбия от 17 декември 2023 г.,</w:t>
      </w:r>
    </w:p>
    <w:p w:rsidR="00B22A91" w:rsidRPr="00225B63" w:rsidRDefault="00B22A91" w:rsidP="00B22A91">
      <w:pPr>
        <w:pStyle w:val="NormalHanging12a"/>
        <w:rPr>
          <w:snapToGrid w:val="0"/>
        </w:rPr>
      </w:pPr>
      <w:r w:rsidRPr="00225B63">
        <w:rPr>
          <w:snapToGrid w:val="0"/>
        </w:rPr>
        <w:t>–</w:t>
      </w:r>
      <w:r w:rsidRPr="00225B63">
        <w:rPr>
          <w:snapToGrid w:val="0"/>
        </w:rPr>
        <w:tab/>
        <w:t>като взе предвид съвместното становище на Организацията за сигурност и сътрудничество в Европа (ОССЕ)/Бюрото за демократични институции и права на човека (БДИПЧ) и Венецианската комисия от 19 декември 2022 г. относно конституционната и правната рамка, уреждаща функционирането на демократичните институции в Сърбия – избирателно право и изборна администрация,</w:t>
      </w:r>
    </w:p>
    <w:p w:rsidR="00B22A91" w:rsidRPr="00225B63" w:rsidRDefault="00B22A91" w:rsidP="00B22A91">
      <w:pPr>
        <w:pStyle w:val="NormalHanging12a"/>
        <w:rPr>
          <w:snapToGrid w:val="0"/>
        </w:rPr>
      </w:pPr>
      <w:r w:rsidRPr="00225B63">
        <w:rPr>
          <w:snapToGrid w:val="0"/>
        </w:rPr>
        <w:t>–</w:t>
      </w:r>
      <w:r w:rsidRPr="00225B63">
        <w:rPr>
          <w:snapToGrid w:val="0"/>
        </w:rPr>
        <w:tab/>
        <w:t>като взе предвид доклада за наблюдение на изборите на ad hoc комисията на Бюрото на Парламентарната асамблея на Съвета на Европа от 17 януари 2024 г., озаглавен „Наблюдение на предсрочните парламентарни избори в Сърбия (17 декември 2023 г.)“,</w:t>
      </w:r>
    </w:p>
    <w:p w:rsidR="00B22A91" w:rsidRPr="00225B63" w:rsidRDefault="00B22A91" w:rsidP="00B22A91">
      <w:pPr>
        <w:pStyle w:val="NormalHanging12a"/>
        <w:rPr>
          <w:snapToGrid w:val="0"/>
        </w:rPr>
      </w:pPr>
      <w:r w:rsidRPr="00225B63">
        <w:rPr>
          <w:snapToGrid w:val="0"/>
        </w:rPr>
        <w:t>–</w:t>
      </w:r>
      <w:r w:rsidRPr="00225B63">
        <w:rPr>
          <w:snapToGrid w:val="0"/>
        </w:rPr>
        <w:tab/>
        <w:t xml:space="preserve">като взе предвид речта относно изборите в Сърбия от 17 януари 2024 г., </w:t>
      </w:r>
      <w:r w:rsidRPr="00225B63">
        <w:rPr>
          <w:snapToGrid w:val="0"/>
        </w:rPr>
        <w:lastRenderedPageBreak/>
        <w:t xml:space="preserve">произнесена от комисаря по въпросите на правосъдието Дидие </w:t>
      </w:r>
      <w:proofErr w:type="spellStart"/>
      <w:r w:rsidRPr="00225B63">
        <w:rPr>
          <w:snapToGrid w:val="0"/>
        </w:rPr>
        <w:t>Рейндерс</w:t>
      </w:r>
      <w:proofErr w:type="spellEnd"/>
      <w:r w:rsidRPr="00225B63">
        <w:rPr>
          <w:snapToGrid w:val="0"/>
        </w:rPr>
        <w:t xml:space="preserve">, от името на заместник-председателя на Комисията/върховен представител на Съюза по въпросите на външните работи и политиката на сигурност (ЗП/ВП) </w:t>
      </w:r>
      <w:proofErr w:type="spellStart"/>
      <w:r w:rsidRPr="00225B63">
        <w:rPr>
          <w:snapToGrid w:val="0"/>
        </w:rPr>
        <w:t>Жозеп</w:t>
      </w:r>
      <w:proofErr w:type="spellEnd"/>
      <w:r w:rsidRPr="00225B63">
        <w:rPr>
          <w:snapToGrid w:val="0"/>
        </w:rPr>
        <w:t xml:space="preserve"> Борел, на пленарното заседание на Парламента,</w:t>
      </w:r>
    </w:p>
    <w:p w:rsidR="00B22A91" w:rsidRPr="00225B63" w:rsidRDefault="00B22A91" w:rsidP="00B22A91">
      <w:pPr>
        <w:pStyle w:val="NormalHanging12a"/>
        <w:rPr>
          <w:snapToGrid w:val="0"/>
        </w:rPr>
      </w:pPr>
      <w:r w:rsidRPr="00225B63">
        <w:rPr>
          <w:snapToGrid w:val="0"/>
        </w:rPr>
        <w:t>–</w:t>
      </w:r>
      <w:r w:rsidRPr="00225B63">
        <w:rPr>
          <w:snapToGrid w:val="0"/>
        </w:rPr>
        <w:tab/>
        <w:t>като взе предвид отвореното писмо относно положението след изборите в Сърбия, подписано от председателите на комисиите по външни работи на няколко държави от ЕС,</w:t>
      </w:r>
    </w:p>
    <w:p w:rsidR="00B22A91" w:rsidRPr="00225B63" w:rsidRDefault="00B22A91" w:rsidP="00B22A91">
      <w:pPr>
        <w:pStyle w:val="NormalHanging12a"/>
      </w:pPr>
      <w:r w:rsidRPr="00225B63">
        <w:t>–</w:t>
      </w:r>
      <w:r w:rsidRPr="00225B63">
        <w:tab/>
        <w:t>като взе предвид процеса на парламентарен диалог в Сърбия, в който като посредник участва и Парламентът,</w:t>
      </w:r>
    </w:p>
    <w:p w:rsidR="00B22A91" w:rsidRPr="00225B63" w:rsidRDefault="00B22A91" w:rsidP="00B22A91">
      <w:pPr>
        <w:pStyle w:val="NormalHanging12a"/>
      </w:pPr>
      <w:r w:rsidRPr="00225B63">
        <w:t>–</w:t>
      </w:r>
      <w:r w:rsidRPr="00225B63">
        <w:tab/>
        <w:t>като взе предвид Конституцията на Сърбия от 2006 г. и нейния Закон от 2022 г. за избирането на членове на парламента,</w:t>
      </w:r>
    </w:p>
    <w:p w:rsidR="00B22A91" w:rsidRPr="00225B63" w:rsidRDefault="00B22A91" w:rsidP="00B22A91">
      <w:pPr>
        <w:pStyle w:val="NormalHanging12a"/>
      </w:pPr>
      <w:r w:rsidRPr="00225B63">
        <w:t>–</w:t>
      </w:r>
      <w:r w:rsidRPr="00225B63">
        <w:tab/>
        <w:t>като взе предвид Специален доклад № 1/2022 на Европейската сметна палата от 10 януари 2022 г., озаглавен „Подкрепа от ЕС за върховенството на закона в Западните Балкани – въпреки положените усилия, основните проблеми продължават да съществуват“,</w:t>
      </w:r>
    </w:p>
    <w:p w:rsidR="00B22A91" w:rsidRPr="00225B63" w:rsidRDefault="00B22A91" w:rsidP="00B22A91">
      <w:pPr>
        <w:pStyle w:val="NormalHanging12a"/>
      </w:pPr>
      <w:r w:rsidRPr="00225B63">
        <w:t>–</w:t>
      </w:r>
      <w:r w:rsidRPr="00225B63">
        <w:tab/>
        <w:t>като взе предвид член 132, параграфи 2 и 4 от своя Правилник за дейността,</w:t>
      </w:r>
    </w:p>
    <w:p w:rsidR="00B22A91" w:rsidRPr="00225B63" w:rsidRDefault="00B22A91" w:rsidP="00B22A91">
      <w:pPr>
        <w:pStyle w:val="NormalHanging12a"/>
      </w:pPr>
      <w:r w:rsidRPr="00225B63">
        <w:t>А.</w:t>
      </w:r>
      <w:r w:rsidRPr="00225B63">
        <w:tab/>
        <w:t xml:space="preserve">като има предвид, че след масовите стрелби в Белград и край </w:t>
      </w:r>
      <w:proofErr w:type="spellStart"/>
      <w:r w:rsidRPr="00225B63">
        <w:t>Младеновац</w:t>
      </w:r>
      <w:proofErr w:type="spellEnd"/>
      <w:r w:rsidRPr="00225B63">
        <w:t xml:space="preserve"> през май 2023 г. в цяла Сърбия бяха организирани масови протести под надслов „Сърбия срещу насилието“; като има предвид, че на 1 ноември 2023 г. президентът на Сърбия цитира исканията на опозицията за предсрочни избори, за да разпусне парламента; като има предвид, че той насрочи предсрочни парламентарни избори за 17 декември 2023 г.;</w:t>
      </w:r>
    </w:p>
    <w:p w:rsidR="00B22A91" w:rsidRPr="00225B63" w:rsidRDefault="00B22A91" w:rsidP="00B22A91">
      <w:pPr>
        <w:pStyle w:val="NormalHanging12a"/>
      </w:pPr>
      <w:r w:rsidRPr="00225B63">
        <w:t>Б.</w:t>
      </w:r>
      <w:r w:rsidRPr="00225B63">
        <w:tab/>
        <w:t>като има предвид, че от 2012 г. насам всички парламентарни избори в Сърбия, с изключение на един случай, са били предсрочни избори; като има предвид, че това бяха третите парламентарни избори за по-малко от четири години;</w:t>
      </w:r>
    </w:p>
    <w:p w:rsidR="00B22A91" w:rsidRPr="00225B63" w:rsidRDefault="00B22A91" w:rsidP="00B22A91">
      <w:pPr>
        <w:pStyle w:val="NormalHanging12a"/>
      </w:pPr>
      <w:r w:rsidRPr="00225B63">
        <w:t>В.</w:t>
      </w:r>
      <w:r w:rsidRPr="00225B63">
        <w:tab/>
        <w:t>като има предвид, че след внезапната и едновременна оставка на 65 кметове от управляващата партия, включително кмета на Белград, и решението на Скупщината на автономна област Войводина да се разпусне въпреки стабилните мнозинства, за същия ден – 17 декември 2023 г., бяха насрочени предсрочни местни избори в една трета от общините в Сърбия и областни избори във Войводина; като има предвид, че провеждането на частични местни и парламентарни избори в един и същи ден не е добра и утвърдена практика; като има предвид, че множество наблюдатели считат предсрочните частични местни избори за инструмент за консолидиране на властта от страна на настоящото правителство и злоупотреба с правото на глас на местните общности;</w:t>
      </w:r>
    </w:p>
    <w:p w:rsidR="00B22A91" w:rsidRPr="00225B63" w:rsidRDefault="00B22A91" w:rsidP="00B22A91">
      <w:pPr>
        <w:pStyle w:val="NormalHanging12a"/>
      </w:pPr>
      <w:r w:rsidRPr="00225B63">
        <w:t>Г.</w:t>
      </w:r>
      <w:r w:rsidRPr="00225B63">
        <w:tab/>
        <w:t>като има предвид, че изборите се проведоха в условията на засилена социална поляризация и интензивна конкуренция между противоположни политически програми; като има предвид, че те бяха белязани от безпрецедентно равнище на водене на негативни кампании и насаждане на страх, както и от нападения срещу политически опоненти и журналисти;</w:t>
      </w:r>
    </w:p>
    <w:p w:rsidR="00B22A91" w:rsidRPr="00225B63" w:rsidRDefault="00B22A91" w:rsidP="00B22A91">
      <w:pPr>
        <w:pStyle w:val="NormalHanging12a"/>
      </w:pPr>
      <w:r w:rsidRPr="00225B63">
        <w:t>Д.</w:t>
      </w:r>
      <w:r w:rsidRPr="00225B63">
        <w:tab/>
        <w:t xml:space="preserve">като има предвид, че преди изборния ден Сърбия не беше изпълнила ключови препоръки на Бюрото на ОССЕ/БДИПЧ и Венецианската комисия, включително </w:t>
      </w:r>
      <w:r w:rsidRPr="00225B63">
        <w:lastRenderedPageBreak/>
        <w:t>препоръките за гарантиране на еднакви условия на конкуренция, мерки за предотвратяване на злоупотребата с публични длъжности и държавни ресурси, разделение между официалните задължения и дейностите по кампанията, както и ефективни механизми за предотвратяване на сплашване и натиск върху гласоподавателите, включително купуване на гласове;</w:t>
      </w:r>
    </w:p>
    <w:p w:rsidR="00B22A91" w:rsidRPr="00225B63" w:rsidRDefault="00B22A91" w:rsidP="00B22A91">
      <w:pPr>
        <w:pStyle w:val="NormalHanging12a"/>
      </w:pPr>
      <w:r w:rsidRPr="00225B63">
        <w:t>Е.</w:t>
      </w:r>
      <w:r w:rsidRPr="00225B63">
        <w:tab/>
        <w:t>като има предвид, че кампанията като цяло се отличаваше с още по-крайна поляризация, агресивна реторика, лично дискредитиране, словесен тормоз и подстрекателски език; като има предвид, че натискът върху служителите в публичния сектор, злоупотребата с публични ресурси и схемите за стимулиране на гласоподавателите породиха опасения относно способността на гласоподавателите да направят избор, без да бъдат подложени на неправомерен натиск; като има предвид, че тези практики, в допълнение към някои проблеми при достъпа до публична инфраструктура за опозицията, нарушиха еднаквите условия на конкуренция и размиха границата между държавата и управляващата партия, което е в противоречие с международните стандарти; като има предвид, че спонсорираните от Русия медии „</w:t>
      </w:r>
      <w:proofErr w:type="spellStart"/>
      <w:r w:rsidRPr="00225B63">
        <w:t>Спутник</w:t>
      </w:r>
      <w:proofErr w:type="spellEnd"/>
      <w:r w:rsidRPr="00225B63">
        <w:t xml:space="preserve"> Сърбия“ и „Русия днес Балкани“ допринасяха активно за разпространението на дезинформация, основно относно опозиционните кандидати;</w:t>
      </w:r>
    </w:p>
    <w:p w:rsidR="00B22A91" w:rsidRPr="00225B63" w:rsidRDefault="00B22A91" w:rsidP="00B22A91">
      <w:pPr>
        <w:pStyle w:val="NormalHanging12a"/>
      </w:pPr>
      <w:r w:rsidRPr="00225B63">
        <w:t>Ж.</w:t>
      </w:r>
      <w:r w:rsidRPr="00225B63">
        <w:tab/>
        <w:t xml:space="preserve">като има предвид, че кампанията беше до голяма степен доминирана от действащия президент </w:t>
      </w:r>
      <w:proofErr w:type="spellStart"/>
      <w:r w:rsidRPr="00225B63">
        <w:t>Вучич</w:t>
      </w:r>
      <w:proofErr w:type="spellEnd"/>
      <w:r w:rsidRPr="00225B63">
        <w:t xml:space="preserve">, който, макар и да не беше кандидат за тези избори, пое централна роля в ежедневната кампания чрез много активно участие в прояви на Сръбската прогресивна партия (СПП); като има предвид, че оглавяваната от СПП листа носеше името на г-н </w:t>
      </w:r>
      <w:proofErr w:type="spellStart"/>
      <w:r w:rsidRPr="00225B63">
        <w:t>Вучич</w:t>
      </w:r>
      <w:proofErr w:type="spellEnd"/>
      <w:r w:rsidRPr="00225B63">
        <w:t>;</w:t>
      </w:r>
    </w:p>
    <w:p w:rsidR="00B22A91" w:rsidRPr="00225B63" w:rsidRDefault="00B22A91" w:rsidP="00B22A91">
      <w:pPr>
        <w:pStyle w:val="NormalHanging12a"/>
      </w:pPr>
      <w:r w:rsidRPr="00225B63">
        <w:t>З.</w:t>
      </w:r>
      <w:r w:rsidRPr="00225B63">
        <w:tab/>
        <w:t>като има предвид, че органите за надзор на кампанията и електронните медии останаха до голяма степен неефективни във възпирането на нарушенията по време на изборния период;</w:t>
      </w:r>
    </w:p>
    <w:p w:rsidR="00B22A91" w:rsidRPr="00225B63" w:rsidRDefault="00B22A91" w:rsidP="00B22A91">
      <w:pPr>
        <w:pStyle w:val="NormalHanging12a"/>
      </w:pPr>
      <w:r w:rsidRPr="00225B63">
        <w:t>И.</w:t>
      </w:r>
      <w:r w:rsidRPr="00225B63">
        <w:tab/>
        <w:t>като има предвид, че ОССЕ/БДИПЧ, Парламентарната асамблея на ОССЕ, Парламентарната асамблея на Съвета на Европа и Европейският парламент проведоха ММНИ, за да се определи дали изборите са в съответствие с ангажиментите към ОССЕ и с други международни задължения и стандарти за демократични избори, както и с националното законодателство;</w:t>
      </w:r>
    </w:p>
    <w:p w:rsidR="00B22A91" w:rsidRPr="00225B63" w:rsidRDefault="00B22A91" w:rsidP="00B22A91">
      <w:pPr>
        <w:pStyle w:val="NormalHanging12a"/>
      </w:pPr>
      <w:r w:rsidRPr="00225B63">
        <w:t>Й.</w:t>
      </w:r>
      <w:r w:rsidRPr="00225B63">
        <w:tab/>
        <w:t>като има предвид, че избирателните списъци бяха актуализирани чрез единния регистър на гласоподавателите и окончателният брой на гласоподавателите беше 6 500 666; като има предвид, че се твърдеше, че множество починали лица продължават да фигурират в регистъра;</w:t>
      </w:r>
    </w:p>
    <w:p w:rsidR="00B22A91" w:rsidRPr="00225B63" w:rsidRDefault="00B22A91" w:rsidP="00B22A91">
      <w:pPr>
        <w:pStyle w:val="NormalHanging12a"/>
      </w:pPr>
      <w:r w:rsidRPr="00225B63">
        <w:t>К.</w:t>
      </w:r>
      <w:r w:rsidRPr="00225B63">
        <w:tab/>
        <w:t>като има предвид, че избирателната активност беше 58,58% – равнище, което е по-високо от това на предишните избори, проведени през 2022 г.;</w:t>
      </w:r>
    </w:p>
    <w:p w:rsidR="00B22A91" w:rsidRPr="00225B63" w:rsidRDefault="00B22A91" w:rsidP="00B22A91">
      <w:pPr>
        <w:pStyle w:val="NormalHanging12a"/>
      </w:pPr>
      <w:r w:rsidRPr="00225B63">
        <w:t>Л.</w:t>
      </w:r>
      <w:r w:rsidRPr="00225B63">
        <w:tab/>
        <w:t>като има предвид, че въпреки факта, че 43% от 2 827-те кандидати за парламента са жени и че са положени усилия за насърчаване на участието на жените, жените като цяло остават недостатъчно представени на изборни длъжности и длъжности с назначения;</w:t>
      </w:r>
    </w:p>
    <w:p w:rsidR="00B22A91" w:rsidRPr="00225B63" w:rsidRDefault="00B22A91" w:rsidP="00B22A91">
      <w:pPr>
        <w:pStyle w:val="NormalHanging12a"/>
      </w:pPr>
      <w:r w:rsidRPr="00225B63">
        <w:t>М.</w:t>
      </w:r>
      <w:r w:rsidRPr="00225B63">
        <w:tab/>
        <w:t xml:space="preserve">като има предвид, че изборите като цяло преминаха гладко, но денят беше белязан от многобройни процедурни недостатъци, включително </w:t>
      </w:r>
      <w:r w:rsidRPr="00225B63">
        <w:lastRenderedPageBreak/>
        <w:t>непоследователно прилагане на предпазните мерки по време на гласуването и преброяването, чести случаи на прекалено струпване на хора, нарушения на тайната на гласуването, многобройни случаи на групово гласуване и изолирани физически нападения;</w:t>
      </w:r>
    </w:p>
    <w:p w:rsidR="00B22A91" w:rsidRPr="00225B63" w:rsidRDefault="00B22A91" w:rsidP="00B22A91">
      <w:pPr>
        <w:pStyle w:val="NormalHanging12a"/>
      </w:pPr>
      <w:r w:rsidRPr="00225B63">
        <w:t>Н.</w:t>
      </w:r>
      <w:r w:rsidRPr="00225B63">
        <w:tab/>
        <w:t>като има предвид, че според избирателната комисия на Република Сърбия СПП е спечелила 46,75% от гласовете, докато най-голямата опозиционна коалиция „Сърбия срещу насилието“ е спечелила 23,66%, Социалистическата партия на Сърбия – 6,55%, коалицията NADA – 5,02%, „Ние – гласът на народа“ – 4,69%, а пет миноритарни листи са спечелили общо 3,68%;</w:t>
      </w:r>
    </w:p>
    <w:p w:rsidR="00B22A91" w:rsidRPr="00225B63" w:rsidRDefault="00B22A91" w:rsidP="00B22A91">
      <w:pPr>
        <w:pStyle w:val="NormalHanging12a"/>
      </w:pPr>
      <w:r w:rsidRPr="00225B63">
        <w:t>О.</w:t>
      </w:r>
      <w:r w:rsidRPr="00225B63">
        <w:tab/>
        <w:t>като има предвид, че в изявлението за предварителните констатации и заключения на ММНИ се подчертава, че предсрочните парламентарни избори на 17 декември, въпреки че са били технически добре организирани и са предложили на гласоподавателите избор на политически алтернативи, са били доминирани от решителното участие на президента, което, в съчетание със системните предимства на управляващата партия, е създало несправедливи условия; като има предвид, че окончателният доклад на ОССЕ/БДИПЧ се очаква да бъде публикуван през следващите седмици;</w:t>
      </w:r>
    </w:p>
    <w:p w:rsidR="00B22A91" w:rsidRPr="00225B63" w:rsidRDefault="00B22A91" w:rsidP="00B22A91">
      <w:pPr>
        <w:pStyle w:val="NormalHanging12a"/>
      </w:pPr>
      <w:r w:rsidRPr="00225B63">
        <w:t>П.</w:t>
      </w:r>
      <w:r w:rsidRPr="00225B63">
        <w:tab/>
        <w:t>като има предвид, че основните твърдения за нередности по време на изборния ден се отнасят по-специално до Белград, където „гласоподаватели фантоми“ от други сръбски общини, в които не се провеждаха избори в същия ден, както и от съседни държави, са били регистрирани от органите като пребиваващи в апартаменти, в които всъщност не са живеели; като има предвид, че имаше множество твърдения, според които гласоподаватели, живеещи в чужбина, са били организирани и превозвани с автобуси до Сърбия от управляващата партия, за да гласуват на местните избори в Белград;</w:t>
      </w:r>
    </w:p>
    <w:p w:rsidR="00B22A91" w:rsidRPr="00225B63" w:rsidRDefault="00B22A91" w:rsidP="00B22A91">
      <w:pPr>
        <w:pStyle w:val="NormalHanging12a"/>
      </w:pPr>
      <w:r w:rsidRPr="00225B63">
        <w:t>Р.</w:t>
      </w:r>
      <w:r w:rsidRPr="00225B63">
        <w:tab/>
        <w:t>като има предвид, че сръбската организация на гражданското общество CRTA извърши задълбочен анализ въз основа на ограничени данни и ресурси и направи изключително консервативната оценка, че неточностите в регистъра на гласоподавателите касаят най-малко 30 000 гласоподаватели; като има предвид, че организацията разполага с убедителни доказателства, че тази неточност е била част от стратегия за незаконен и нелегитимен изборен инженеринг с цел да се повлияе на изборните резултати и да се изкриви волята на гласоподавателите; като има предвид, че от цяла Сърбия и чужбина (Босна и Херцеговина и Черна гора) бяха превозвани хора, за да гласуват на общинските избори в Белград; като има предвид, че дори правителствени служители и политици от Босна и Херцеговина гласуваха открито на общинските избори в Белград; като има предвид, че сръбското правителство защитава тази практика като законна;</w:t>
      </w:r>
    </w:p>
    <w:p w:rsidR="00B22A91" w:rsidRPr="00225B63" w:rsidRDefault="00B22A91" w:rsidP="00B22A91">
      <w:pPr>
        <w:pStyle w:val="NormalHanging12a"/>
      </w:pPr>
      <w:r w:rsidRPr="00225B63">
        <w:t>С.</w:t>
      </w:r>
      <w:r w:rsidRPr="00225B63">
        <w:tab/>
        <w:t>като има предвид, че други съществени твърдения за нередности включват купуване на гласове, пристрастност на медиите, натиск върху служителите в публичния сектор и социално уязвимите групи, злоупотреба с публични ресурси, сплашване и неправомерно пускане на много бюлетини от едни и същи лица;</w:t>
      </w:r>
    </w:p>
    <w:p w:rsidR="00B22A91" w:rsidRPr="00225B63" w:rsidRDefault="00B22A91" w:rsidP="00B22A91">
      <w:pPr>
        <w:pStyle w:val="NormalHanging12a"/>
      </w:pPr>
      <w:r w:rsidRPr="00225B63">
        <w:t>Т.</w:t>
      </w:r>
      <w:r w:rsidRPr="00225B63">
        <w:tab/>
        <w:t xml:space="preserve">като има предвид, че сръбските органи отричат всякакви нередности; като има предвид, че както сръбският президент, така и контролираните от Кремъл медии твърдят, че други държави са се намесили по брутален начин в изборния процес в Сърбия, но не са предоставили обосновани доказателства за тези твърдения; като </w:t>
      </w:r>
      <w:r w:rsidRPr="00225B63">
        <w:lastRenderedPageBreak/>
        <w:t xml:space="preserve">има предвид, че министър-председателят </w:t>
      </w:r>
      <w:proofErr w:type="spellStart"/>
      <w:r w:rsidRPr="00225B63">
        <w:t>Бърнабич</w:t>
      </w:r>
      <w:proofErr w:type="spellEnd"/>
      <w:r w:rsidRPr="00225B63">
        <w:t xml:space="preserve"> публично благодари на руските разузнавателни служби за предоставянето на информация относно планираните дейности на опозицията; като има предвид, че разпространението на дезинформация и послания от Русия е сериозен и траен проблем в Сърбия, по-специално по време на предизборни кампании; като има предвид, че Кремъл осъди обществените протести срещу манипулираните общи избори в Сърбия като опити от страна на Запада да свали правителството и да организира още един „</w:t>
      </w:r>
      <w:proofErr w:type="spellStart"/>
      <w:r w:rsidRPr="00225B63">
        <w:t>майдански</w:t>
      </w:r>
      <w:proofErr w:type="spellEnd"/>
      <w:r w:rsidRPr="00225B63">
        <w:t xml:space="preserve"> преврат“;</w:t>
      </w:r>
    </w:p>
    <w:p w:rsidR="00B22A91" w:rsidRPr="00225B63" w:rsidRDefault="00B22A91" w:rsidP="00B22A91">
      <w:pPr>
        <w:pStyle w:val="NormalHanging12a"/>
      </w:pPr>
      <w:r w:rsidRPr="00225B63">
        <w:t>У.</w:t>
      </w:r>
      <w:r w:rsidRPr="00225B63">
        <w:tab/>
        <w:t>като има предвид, че независимите сръбски организации, които осъждат нередностите по време на последните избори, бяха подложени на непрекъснати нападения от страна на правителствени служители; като има предвид, че въпреки факта, че те разкриха много конкретни доказателства, сочещи изборни измами, до момента сръбските органи отказват да разследват тези твърдения за нередности и вместо това се опитват да дискредитират и сплашват наблюдателите на изборите, публикували отчети за нередностите; като има предвид, че след изборите водещи сръбски политици, включително президентът, несправедливо оклеветиха членове на Европейския парламент и други членове на ММНИ;</w:t>
      </w:r>
    </w:p>
    <w:p w:rsidR="00B22A91" w:rsidRPr="00225B63" w:rsidRDefault="00B22A91" w:rsidP="00B22A91">
      <w:pPr>
        <w:pStyle w:val="NormalHanging12a"/>
      </w:pPr>
      <w:r w:rsidRPr="00225B63">
        <w:t>Ф.</w:t>
      </w:r>
      <w:r w:rsidRPr="00225B63">
        <w:tab/>
        <w:t>като има предвид, че резултатите от изборите, особено общинските избори в Белград, бяха оспорени от опозицията, което доведе до мащабни мирни демонстрации, инициирани от опозиционната коалиция „Сърбия срещу насилието“ и надпартийното сдружение „</w:t>
      </w:r>
      <w:proofErr w:type="spellStart"/>
      <w:r w:rsidRPr="00225B63">
        <w:t>ПроГлас</w:t>
      </w:r>
      <w:proofErr w:type="spellEnd"/>
      <w:r w:rsidRPr="00225B63">
        <w:t>“ с искане за отмяна на изборите и провеждане на нови избори; като има предвид, че държавната избирателна комисия отхвърли жалбите на опозицията; като има предвид, че опозицията призова за отмяна на изборните резултати пред Конституционния съд поради твърдения за широко разпространени измами;</w:t>
      </w:r>
    </w:p>
    <w:p w:rsidR="00B22A91" w:rsidRPr="00225B63" w:rsidRDefault="00B22A91" w:rsidP="00B22A91">
      <w:pPr>
        <w:pStyle w:val="NormalHanging12a"/>
      </w:pPr>
      <w:r w:rsidRPr="00225B63">
        <w:t>Х.</w:t>
      </w:r>
      <w:r w:rsidRPr="00225B63">
        <w:tab/>
        <w:t>като има предвид, че протест на 24 декември 2023 г. прерасна в насилие, когато някои от протестиращите щурмуваха Градската скупщина на Белград, след което полицията арестува 38 души, включително учащи, които станаха обект на наказателно преследване за оспорване на конституционния ред и някои от които все още остават под домашен арест; като има предвид, че няколко мирни демонстранти заявиха, че маскирани хулигани са проникнали сред демонстриращите; като има предвид, че мирните демонстранти също така осъдиха непропорционалното използване на сила от страна на полицията;</w:t>
      </w:r>
    </w:p>
    <w:p w:rsidR="00B22A91" w:rsidRPr="00225B63" w:rsidRDefault="00B22A91" w:rsidP="00B22A91">
      <w:pPr>
        <w:pStyle w:val="NormalHanging12a"/>
      </w:pPr>
      <w:r w:rsidRPr="00225B63">
        <w:t>Ц.</w:t>
      </w:r>
      <w:r w:rsidRPr="00225B63">
        <w:tab/>
        <w:t xml:space="preserve">като има предвид, че през последното десетилетие, откакто президентът </w:t>
      </w:r>
      <w:proofErr w:type="spellStart"/>
      <w:r w:rsidRPr="00225B63">
        <w:t>Вучич</w:t>
      </w:r>
      <w:proofErr w:type="spellEnd"/>
      <w:r w:rsidRPr="00225B63">
        <w:t xml:space="preserve"> дойде на власт, се наблюдава непрекъснато подкопаване на свободата на медиите в Сърбия, което се характеризира с политически натиск, заплахи и дори физически нападения срещу журналисти; като има предвид, че организацията „Репортери без граници“ постави Сърбия на едно от последните места в Европа в своя Световен индекс за свобода на печата, като страната е спаднала с 12 места на 91-во място през 2023 г.;</w:t>
      </w:r>
    </w:p>
    <w:p w:rsidR="00B22A91" w:rsidRPr="00225B63" w:rsidRDefault="00B22A91" w:rsidP="00B22A91">
      <w:pPr>
        <w:pStyle w:val="NormalHanging12a"/>
      </w:pPr>
      <w:r w:rsidRPr="00225B63">
        <w:t>Ч.</w:t>
      </w:r>
      <w:r w:rsidRPr="00225B63">
        <w:tab/>
        <w:t>като има предвид, че принципите на правовата държава и правилното функциониране на демократичните институции в Сърбия продължават да бъдат основно предизвикателство за процеса на присъединяване на Сърбия към ЕС;</w:t>
      </w:r>
    </w:p>
    <w:p w:rsidR="00B22A91" w:rsidRPr="00225B63" w:rsidRDefault="00B22A91" w:rsidP="00B22A91">
      <w:pPr>
        <w:pStyle w:val="NormalHanging12a"/>
      </w:pPr>
      <w:r w:rsidRPr="00225B63">
        <w:t>1.</w:t>
      </w:r>
      <w:r w:rsidRPr="00225B63">
        <w:tab/>
        <w:t xml:space="preserve">изразява съжаление относно факта, че парламентарните и местните избори в Сърбия, проведени на 17 декември 2023 г., се отклоняват от международните </w:t>
      </w:r>
      <w:r w:rsidRPr="00225B63">
        <w:lastRenderedPageBreak/>
        <w:t>стандарти и ангажиментите на Сърбия за свободни и честни избори поради продължаващите и системни злоупотреби от страна на управляващите с институции и медии с цел да си осигурят несправедливо и неправомерно предимство; счита, че тези избори не могат да се считат за проведени при справедливи условия; изразява тревога във връзка със сведенията за широко разпространени и системни измами, които компрометираха почтеността на изборите в Сърбия;</w:t>
      </w:r>
    </w:p>
    <w:p w:rsidR="00B22A91" w:rsidRPr="00225B63" w:rsidRDefault="00B22A91" w:rsidP="00B22A91">
      <w:pPr>
        <w:pStyle w:val="NormalHanging12a"/>
      </w:pPr>
      <w:r w:rsidRPr="00225B63">
        <w:t>2.</w:t>
      </w:r>
      <w:r w:rsidRPr="00225B63">
        <w:tab/>
        <w:t>отбелязва, че според изявлението на ММНИ изборите като цяло са преминали гладко, но денят е бил белязан от многобройни процедурни недостатъци, включително непоследователно прилагане на предпазните мерки по време на гласуването и преброяването, чести случаи на прекалено струпване на хора, нарушения на тайната на гласуването и многобройни случаи на групово гласуване; изразява сериозна загриженост относно тези нередности и цялостната изборна обстановка, която е далеч под стандартите, очаквани от страна – кандидатка за членство в ЕС; припомня на сръбските органи, че правилното функциониране на демократичните институции на Сърбия е в основата на процеса на присъединяване на Сърбия към ЕС и на методологията за присъединяване към ЕС;</w:t>
      </w:r>
    </w:p>
    <w:p w:rsidR="00B22A91" w:rsidRPr="00225B63" w:rsidRDefault="00B22A91" w:rsidP="00B22A91">
      <w:pPr>
        <w:pStyle w:val="NormalHanging12a"/>
      </w:pPr>
      <w:r w:rsidRPr="00225B63">
        <w:t>3.</w:t>
      </w:r>
      <w:r w:rsidRPr="00225B63">
        <w:tab/>
        <w:t>отбелязва със сериозна загриженост множеството доказателства за нередности, събрани от международните и местните наблюдатели, показващи дейности в периода преди и по време на изборния ден, които може да са променили резултата от изборите и да са оказали критично въздействие по-специално върху резултатите от общинските избори в Белград и които сериозно са подкопали легитимността на парламентарните избори;</w:t>
      </w:r>
    </w:p>
    <w:p w:rsidR="00B22A91" w:rsidRPr="00225B63" w:rsidRDefault="00B22A91" w:rsidP="00B22A91">
      <w:pPr>
        <w:pStyle w:val="NormalHanging12a"/>
      </w:pPr>
      <w:r w:rsidRPr="00225B63">
        <w:t>4.</w:t>
      </w:r>
      <w:r w:rsidRPr="00225B63">
        <w:tab/>
        <w:t>призовава за независимо международно разследване от страна на уважавани международни правни експерти и институции на нередностите при провеждането на парламентарните, областните и общинските избори, със специално внимание към изборите за Градската скупщина на Белград, тъй като някои твърдения, включително тези относно организираната миграция на гласоподаватели на местно равнище, излизат извън обхвата на докладите на ОССЕ/БДИПЧ; подкрепя бързото разполагане на ad hoc мисия за установяване на фактите в Сърбия с участието на Парламента;</w:t>
      </w:r>
    </w:p>
    <w:p w:rsidR="00B22A91" w:rsidRPr="00225B63" w:rsidRDefault="00B22A91" w:rsidP="00B22A91">
      <w:pPr>
        <w:pStyle w:val="NormalHanging12a"/>
      </w:pPr>
      <w:r w:rsidRPr="00225B63">
        <w:t>5.</w:t>
      </w:r>
      <w:r w:rsidRPr="00225B63">
        <w:tab/>
        <w:t>настоятелно призовава Комисията да започне инициатива за изпращане на експертна мисия в Сърбия за оценка на положението по отношение на неотдавнашните избори и събитията след изборите с цел улесняване на предварителните условия за установяване на необходимия обществен диалог, за да се направи опит за възстановяване на доверието на обществеността в институциите, както и да се направи оценка и да се обърне внимание на системните проблеми, свързани с принципите на правовата държава в Сърбия, като се вземе предвид примерът на докладите „</w:t>
      </w:r>
      <w:proofErr w:type="spellStart"/>
      <w:r w:rsidRPr="00225B63">
        <w:t>Priebe</w:t>
      </w:r>
      <w:proofErr w:type="spellEnd"/>
      <w:r w:rsidRPr="00225B63">
        <w:t>“;</w:t>
      </w:r>
    </w:p>
    <w:p w:rsidR="00B22A91" w:rsidRPr="00225B63" w:rsidRDefault="00B22A91" w:rsidP="00B22A91">
      <w:pPr>
        <w:pStyle w:val="NormalHanging12a"/>
      </w:pPr>
      <w:r w:rsidRPr="00225B63">
        <w:t>6.</w:t>
      </w:r>
      <w:r w:rsidRPr="00225B63">
        <w:tab/>
        <w:t xml:space="preserve">изразява съжаление относно липсата на институционална реакция спрямо сериозните твърдения за участие на управляващите в манипулиране на изборите и изборни злоупотреби, което допринася за атмосфера на безнаказаност и гарантира продължаването на тези практики; отбелязва със загриженост, че някои от изборните нередности, довели до изборите през декември 2023 г., представляват потенциални нарушения на сръбското право и конституцията на страната; </w:t>
      </w:r>
      <w:r w:rsidRPr="00225B63">
        <w:lastRenderedPageBreak/>
        <w:t>подчертава, че ако бъде позволено да продължава без никакви последици, тази практика и занапред ще подкопава доверието в изборния процес и институциите на Сърбия, което безвъзвратно ще възпрепятства демократичното управление и по-нататъшната европейска интеграция; подчертава значението на задълбоченото разследване на всички жалби, свързани с изборите, включително неотдавнашното искане за отмяна на изборите за Градска скупщина в Белград от 17 декември 2023 г., което беше внесено в Конституционния съд от длъжностно лице на коалицията „Сърбия срещу насилието“;</w:t>
      </w:r>
    </w:p>
    <w:p w:rsidR="00B22A91" w:rsidRPr="00225B63" w:rsidRDefault="00B22A91" w:rsidP="00B22A91">
      <w:pPr>
        <w:pStyle w:val="NormalHanging12a"/>
      </w:pPr>
      <w:r w:rsidRPr="00225B63">
        <w:t>7.</w:t>
      </w:r>
      <w:r w:rsidRPr="00225B63">
        <w:tab/>
        <w:t>изразява съжаление относно липсата на наказателно преследване и санкции във връзка с престъпления по време на изборите, включително сериозни твърдения за незаконно манипулиране на регистъра на гласоподавателите и правата на гласуване, натиск и сплашване на граждани и кандидати за изборите, случаи на корупция, подправяне на подписи на гражданите, клиентелизъм, нелегитимна и незаконна злоупотреба с данни на граждани, злоупотреби с държавни длъжности и липса на ефективни механизми за предотвратяване на получаването на несправедливо институционално предимство в изборите от страна на управляващите;</w:t>
      </w:r>
    </w:p>
    <w:p w:rsidR="00B22A91" w:rsidRPr="00225B63" w:rsidRDefault="00B22A91" w:rsidP="00B22A91">
      <w:pPr>
        <w:pStyle w:val="NormalHanging12a"/>
      </w:pPr>
      <w:r w:rsidRPr="00225B63">
        <w:t>8.</w:t>
      </w:r>
      <w:r w:rsidRPr="00225B63">
        <w:tab/>
        <w:t>настоятелно призовава сръбските органи да разследват, преследват по съдебен ред и да подведат под съдебна отговорност лицата, отговорни за престъпления по време на изборите и за нападения срещу студенти;</w:t>
      </w:r>
    </w:p>
    <w:p w:rsidR="00B22A91" w:rsidRPr="00225B63" w:rsidRDefault="00B22A91" w:rsidP="00B22A91">
      <w:pPr>
        <w:pStyle w:val="NormalHanging12a"/>
      </w:pPr>
      <w:r w:rsidRPr="00225B63">
        <w:t>9.</w:t>
      </w:r>
      <w:r w:rsidRPr="00225B63">
        <w:tab/>
        <w:t>осъжда организираните нападения от страна на сръбски длъжностни лица срещу наблюдатели на избори, включително членове на Европейския парламент, и призовава за завръщане към уважителен и конструктивен дискурс, като подчертава значението на взаимния респект в демократичния процес; изразява дълбока загриженост във връзка с опитите за дискредитиране и сплашване на наблюдателите; настоятелно призовава сръбските органи да предприемат всички необходими мерки за избягване на всякакви по-нататъшни кампании за дезинформация срещу наблюдатели на избори и да създадат условия, които да позволяват на националните и международните наблюдатели на избори да вършат ефективно работата си, както и да ги защитават от всякакво насилие, заплахи, ответни действия с цел отмъщение, негативна дискриминация, натиск или други произволни действия вследствие на законното упражняване на техните права и свободи; приветства работата на местните наблюдатели от Центъра за научни изследвания, прозрачност и отчетност (CRTA) и Центъра за свободни избори и демокрация (</w:t>
      </w:r>
      <w:proofErr w:type="spellStart"/>
      <w:r w:rsidRPr="00225B63">
        <w:t>CeSID</w:t>
      </w:r>
      <w:proofErr w:type="spellEnd"/>
      <w:r w:rsidRPr="00225B63">
        <w:t>);</w:t>
      </w:r>
    </w:p>
    <w:p w:rsidR="00B22A91" w:rsidRPr="00225B63" w:rsidRDefault="00B22A91" w:rsidP="00B22A91">
      <w:pPr>
        <w:pStyle w:val="NormalHanging12a"/>
      </w:pPr>
      <w:r w:rsidRPr="00225B63">
        <w:t>10.</w:t>
      </w:r>
      <w:r w:rsidRPr="00225B63">
        <w:tab/>
        <w:t>изразява загриженост относно „</w:t>
      </w:r>
      <w:proofErr w:type="spellStart"/>
      <w:r w:rsidRPr="00225B63">
        <w:t>пасивизирането</w:t>
      </w:r>
      <w:proofErr w:type="spellEnd"/>
      <w:r w:rsidRPr="00225B63">
        <w:t>“ на жилищните адреси на определени категории граждани, включително в Белград и Южна Сърбия, което ги лишава от правото им на глас; призовава отговорните органи да отстранят незабавно тези сериозни нарушения на избирателните права;</w:t>
      </w:r>
    </w:p>
    <w:p w:rsidR="00B22A91" w:rsidRPr="00225B63" w:rsidRDefault="00B22A91" w:rsidP="00B22A91">
      <w:pPr>
        <w:pStyle w:val="NormalHanging12a"/>
      </w:pPr>
      <w:r w:rsidRPr="00225B63">
        <w:t>11.</w:t>
      </w:r>
      <w:r w:rsidRPr="00225B63">
        <w:tab/>
        <w:t>настоятелно призовава Република Сърбия да обърне внимание на загрижеността относно участието на националните малцинства в изборния процес, като гарантира последователното прилагане на критериите за статут на малцинствата и предприеме действия по отношение на уязвимостта на натиск и купуване на гласове;</w:t>
      </w:r>
    </w:p>
    <w:p w:rsidR="00B22A91" w:rsidRPr="00225B63" w:rsidRDefault="00B22A91" w:rsidP="00B22A91">
      <w:pPr>
        <w:pStyle w:val="NormalHanging12a"/>
      </w:pPr>
      <w:r w:rsidRPr="00225B63">
        <w:t>12.</w:t>
      </w:r>
      <w:r w:rsidRPr="00225B63">
        <w:tab/>
        <w:t xml:space="preserve">призовава сръбските органи да предоставят институционални решения за </w:t>
      </w:r>
      <w:r w:rsidRPr="00225B63">
        <w:lastRenderedPageBreak/>
        <w:t>преодоляване на настоящите проблеми; призовава сръбския парламент и сръбското правителство да положат всички усилия, за да функционират ефективно, без постоянен цикъл на кампании и чести предсрочни избори;</w:t>
      </w:r>
    </w:p>
    <w:p w:rsidR="00B22A91" w:rsidRPr="00225B63" w:rsidRDefault="00B22A91" w:rsidP="00B22A91">
      <w:pPr>
        <w:pStyle w:val="NormalHanging12a"/>
      </w:pPr>
      <w:r w:rsidRPr="00225B63">
        <w:t>13.</w:t>
      </w:r>
      <w:r w:rsidRPr="00225B63">
        <w:tab/>
        <w:t>настоятелно призовава сръбските органи да възстановят доверието на избирателите в целия процес, да установят напълно прозрачни изборни процедури и да гарантират търсенето на отговорност от органите, независимо дали те провеждат избори или се намесват в тях; призовава сръбските органи да си сътрудничат изцяло и по същество с БДИПЧ, ЕС и Съвета на Европа и да способстват за приобщаващ процес за подкрепа на правата и свободите, свързани с изборите, и на институциите и процесите, с участието на местните наблюдатели на избори и политическите партии; приветства всички реални стъпки в тази посока;</w:t>
      </w:r>
    </w:p>
    <w:p w:rsidR="00B22A91" w:rsidRPr="00225B63" w:rsidRDefault="00B22A91" w:rsidP="00B22A91">
      <w:pPr>
        <w:pStyle w:val="NormalHanging12a"/>
      </w:pPr>
      <w:r w:rsidRPr="00225B63">
        <w:t>14.</w:t>
      </w:r>
      <w:r w:rsidRPr="00225B63">
        <w:tab/>
        <w:t>отбелязва със загриженост, че Сърбия не е изпълнила много от отдавна отправените препоръки на ОССЕ/БДИПЧ по основни въпроси в изборния процес, макар че многократно е била призовавана да направи това, включително от Комисията; отбелязва неотдавнашните изменения, с които избирателно бяха отразени някои от предишните препоръки на ОССЕ/БДИПЧ и на Венецианската комисия, по-специално онези, които се отнасят до правната рамка за финансиране на предизборни кампании;</w:t>
      </w:r>
    </w:p>
    <w:p w:rsidR="00B22A91" w:rsidRPr="00225B63" w:rsidRDefault="00B22A91" w:rsidP="00B22A91">
      <w:pPr>
        <w:pStyle w:val="NormalHanging12a"/>
      </w:pPr>
      <w:r w:rsidRPr="00225B63">
        <w:t>15.</w:t>
      </w:r>
      <w:r w:rsidRPr="00225B63">
        <w:tab/>
        <w:t>очаква окончателния доклад на международната мисия за наблюдение на избори на ОССЕ/БДИПЧ; настоятелно призовава Сърбия да изпълни препоръките, изложени в съвместното становище на Венецианската комисия и ОССЕ/БДИПЧ от 19 декември 2022 г. относно конституционната и правната рамка, уреждаща функционирането на демократичните институции в Сърбия, в консултация с експертни организации на гражданското общество и достатъчно дълго преди следващите избори, за да се предотвратят нови нередности и измами, като същевременно се гарантира демократичното функциониране на страната, по-специално такива, които са свързани с достъпа на състезаващите се кандидати до медиите, повишената прозрачност и отчетност на финансирането на кампаниите, мерките за справяне с натиска върху гласоподавателите и злоупотребата с административни ресурси;</w:t>
      </w:r>
    </w:p>
    <w:p w:rsidR="00B22A91" w:rsidRPr="00225B63" w:rsidRDefault="00B22A91" w:rsidP="00B22A91">
      <w:pPr>
        <w:pStyle w:val="NormalHanging12a"/>
      </w:pPr>
      <w:r w:rsidRPr="00225B63">
        <w:t>16.</w:t>
      </w:r>
      <w:r w:rsidRPr="00225B63">
        <w:tab/>
        <w:t>призовава Сърбия да изпълни препоръката на ОССЕ/БДИПЧ и на Венецианската комисия за провеждане на цялостен одит на единния регистър на гласоподавателите, за да се отговори на опасенията относно точността му, включително твърденията за миграция на гласоподаватели и вписвания на починали лица; изразява загриженост относно твърденията, че единният регистър на гласоподавателите вече е отчел значително увеличение на броя на гласоподавателите в градовете, в които местните избори ще се проведат по-късно през 2024 г.;</w:t>
      </w:r>
    </w:p>
    <w:p w:rsidR="00B22A91" w:rsidRPr="00225B63" w:rsidRDefault="00B22A91" w:rsidP="00B22A91">
      <w:pPr>
        <w:pStyle w:val="NormalHanging12a"/>
      </w:pPr>
      <w:r w:rsidRPr="00225B63">
        <w:t>17.</w:t>
      </w:r>
      <w:r w:rsidRPr="00225B63">
        <w:tab/>
        <w:t>настоятелно призовава Републиканската избирателна комисия да предприеме необходимите стъпки, за да отговори на опасенията относно прозрачността и ефикасността на нейното функциониране, включително навременното публикуване на резултатите от мониторинга през периода на кампанията;</w:t>
      </w:r>
    </w:p>
    <w:p w:rsidR="00B22A91" w:rsidRPr="00225B63" w:rsidRDefault="00B22A91" w:rsidP="00B22A91">
      <w:pPr>
        <w:pStyle w:val="NormalHanging12a"/>
      </w:pPr>
      <w:r w:rsidRPr="00225B63">
        <w:t>18.</w:t>
      </w:r>
      <w:r w:rsidRPr="00225B63">
        <w:tab/>
        <w:t xml:space="preserve">осъжда липсата на медиен плурализъм по време на предизборната кампания, както и дезинформацията и широко разпространеното неетично и пристрастно </w:t>
      </w:r>
      <w:r w:rsidRPr="00225B63">
        <w:lastRenderedPageBreak/>
        <w:t>медийно отразяване в полза на управляващите; отбелязва със загриженост, че голям брой медии са под влиянието или контрола на правителството, което доведе до неравни условия на конкуренция за опозиционните кандидати по време на кампанията; осъжда нападенията, подбудени от близките до правителството медии, срещу критично настроени журналисти; изразява съжаление относно изключително силното публично присъствие на президента на Сърбия преди и по време на кампанията, тъй като то е заличило линията между президентската институция, държавата и управляващата политическа партия;</w:t>
      </w:r>
    </w:p>
    <w:p w:rsidR="00B22A91" w:rsidRPr="00225B63" w:rsidRDefault="00B22A91" w:rsidP="00B22A91">
      <w:pPr>
        <w:pStyle w:val="NormalHanging12a"/>
      </w:pPr>
      <w:r w:rsidRPr="00225B63">
        <w:t>19.</w:t>
      </w:r>
      <w:r w:rsidRPr="00225B63">
        <w:tab/>
        <w:t>изразява загриженост, че въпреки новите закони за електронните медии и за обществената информация и медиите, условията и плурализмът в медиите се влошиха; изразява дълбоко съжаление, че регулаторният орган за електронни медии (REM) пренебрегна задълженията си съгласно закона да следи кампанията в медиите, да докладва за своите констатации и да санкционира медиите, които са нарушили закона, разпространяват изказвания, подбуждащи към омраза, или са нарушили журналистическите стандарти; отбелязва със загриженост, че REM е публикувал резултати от наблюдението само за обществения радио- и телевизионен оператор и частните кабелни канали, но не и за частните национални канали, близки до управляващата партия;</w:t>
      </w:r>
    </w:p>
    <w:p w:rsidR="00B22A91" w:rsidRPr="00225B63" w:rsidRDefault="00B22A91" w:rsidP="00B22A91">
      <w:pPr>
        <w:pStyle w:val="NormalHanging12a"/>
      </w:pPr>
      <w:r w:rsidRPr="00225B63">
        <w:t>20.</w:t>
      </w:r>
      <w:r w:rsidRPr="00225B63">
        <w:tab/>
        <w:t>изразява загриженост относно случаите на злонамерени атаки и оскърбителен език, съчетани с тормоз срещу журналисти, защитници на правата на човека и активисти на гражданското общество, в някои случаи от страна на правителствени служители, особено преди изборите; настоятелно призовава сръбските органи да противодействат на външната намеса и кампаниите за дезинформация, да подобрят значително защитата на независимата журналистика и да гарантират прозрачна медийна среда; подчертава, че институциите на ЕС трябва да положат повече усилия, за да гарантират, че правата и свободите на сръбските журналисти и медии са защитени; посочва, че достъпът до предприсъединително финансиране следва да се използва като инструмент за спиране на по-нататъшното влошаване на положението със свободата на медиите;</w:t>
      </w:r>
    </w:p>
    <w:p w:rsidR="00B22A91" w:rsidRPr="00225B63" w:rsidRDefault="00B22A91" w:rsidP="00B22A91">
      <w:pPr>
        <w:pStyle w:val="NormalHanging12a"/>
      </w:pPr>
      <w:r w:rsidRPr="00225B63">
        <w:t>21.</w:t>
      </w:r>
      <w:r w:rsidRPr="00225B63">
        <w:tab/>
        <w:t>призовава за реформа на ефективността на механизмите за надзор на кампаниите, включително на Агенцията за предотвратяване на корупцията и на специалната комисия за надзор на кампаниите, за да се гарантира навременно и прозрачно разглеждане на жалби, свързани със злоупотреба с публични ресурси;</w:t>
      </w:r>
    </w:p>
    <w:p w:rsidR="00B22A91" w:rsidRPr="00225B63" w:rsidRDefault="00B22A91" w:rsidP="00B22A91">
      <w:pPr>
        <w:pStyle w:val="NormalHanging12a"/>
      </w:pPr>
      <w:r w:rsidRPr="00225B63">
        <w:t>22.</w:t>
      </w:r>
      <w:r w:rsidRPr="00225B63">
        <w:tab/>
        <w:t>подчертава, че Сърбия, като страна – кандидатка за членство в ЕС, не е въвела в достатъчна степен основни европейски и международни демократични стандарти; призовава сръбските органи да гарантират, че са налице достатъчно демократични гаранции за провеждането на следващите редовни местни избори през 2024 г., както и на бъдещите избори;</w:t>
      </w:r>
    </w:p>
    <w:p w:rsidR="00B22A91" w:rsidRPr="00225B63" w:rsidRDefault="00B22A91" w:rsidP="00B22A91">
      <w:pPr>
        <w:pStyle w:val="NormalHanging12a"/>
      </w:pPr>
      <w:r w:rsidRPr="00225B63">
        <w:t>23.</w:t>
      </w:r>
      <w:r w:rsidRPr="00225B63">
        <w:tab/>
        <w:t>отбелязва, че всички сръбски парламенти през последните 12 години, с изключение на един, бяха разпуснати предсрочно и че продължаването на ненужните предсрочни избори подкопава политическата стабилност; подчертава, че непрекъснатите предсрочни избори, постоянният режим на провеждане на кампании и продължителното забавяне при сформирането на правителства не допринасят за ефективно демократично управление на държавата, а отслабват парламента, и водят до липса на парламентарен законодателен контрол и на легитимност;</w:t>
      </w:r>
    </w:p>
    <w:p w:rsidR="00B22A91" w:rsidRPr="00225B63" w:rsidRDefault="00B22A91" w:rsidP="00B22A91">
      <w:pPr>
        <w:pStyle w:val="NormalHanging12a"/>
      </w:pPr>
      <w:r w:rsidRPr="00225B63">
        <w:lastRenderedPageBreak/>
        <w:t>24.</w:t>
      </w:r>
      <w:r w:rsidRPr="00225B63">
        <w:tab/>
        <w:t>подчертава значението на свободата на словото и признава, че всеки има право да изразява своите възгледи и да участва в мирни протести; осъжда в този контекст непропорционалното използване на полицейско насилие срещу мирни демонстранти, протестиращи срещу изборните измами; изразява загриженост относно твърденията, че агент-провокатори са проникнали сред протестиращите, за да предизвикат намесата на полицията; изразява загриженост относно оценките, че някои участници в протеста на 24 декември 2023 г. са били подложени на непропорционално сурово отношение от страна на полицията и съдебната система, което е в рязък контраст с практиките на сръбската полиция при предишни протести в страната; настоятелно призовава дипломатическите мисии на ЕС и на държавите членки да продължат да наблюдават текущите съдебни дела, свързани с протестите;</w:t>
      </w:r>
    </w:p>
    <w:p w:rsidR="00B22A91" w:rsidRPr="00225B63" w:rsidRDefault="00B22A91" w:rsidP="00B22A91">
      <w:pPr>
        <w:pStyle w:val="NormalHanging12a"/>
      </w:pPr>
      <w:r w:rsidRPr="00225B63">
        <w:t>25.</w:t>
      </w:r>
      <w:r w:rsidRPr="00225B63">
        <w:tab/>
        <w:t>решително осъжда необоснованите твърдения на сръбските органи, че държави – членки на ЕС, са участвали в организирането на протести след изборите; изразява съжаление, че протестите бяха използвани като извинение за разпространяване на послания, насочени срещу ЕС, в медии, близки до управляващата партия;</w:t>
      </w:r>
    </w:p>
    <w:p w:rsidR="00B22A91" w:rsidRPr="00225B63" w:rsidRDefault="00B22A91" w:rsidP="00B22A91">
      <w:pPr>
        <w:pStyle w:val="NormalHanging12a"/>
      </w:pPr>
      <w:r w:rsidRPr="00225B63">
        <w:t>26.</w:t>
      </w:r>
      <w:r w:rsidRPr="00225B63">
        <w:tab/>
        <w:t>изразява съжаление относно липсата на открити критики от страна на Комисията, по-специално от страна на члена на Комисията, отговарящ за разширяването, по отношение на многобройните твърдения за измами с гласоподаватели по време на изборите в Сърбия, и призовава Комисията незабавно да отстрани недостатъците, довели до тези твърдения;</w:t>
      </w:r>
    </w:p>
    <w:p w:rsidR="00B22A91" w:rsidRPr="00225B63" w:rsidRDefault="00B22A91" w:rsidP="00B22A91">
      <w:pPr>
        <w:pStyle w:val="NormalHanging12a"/>
      </w:pPr>
      <w:r w:rsidRPr="00225B63">
        <w:t>27.</w:t>
      </w:r>
      <w:r w:rsidRPr="00225B63">
        <w:tab/>
        <w:t>отново заявява своята позиция, че преговорите за присъединяване със Сърбия следва да напредват само ако страната постигне значителен напредък по свързаните с ЕС реформи, включително цялостно изпълнение на препоръките на ОССЕ/БДИПЧ и на Венецианската комисия; призовава Комисията и Съвета да прилагат строго обвързване с условия; призовава Комисията да предприеме задълбочени последващи действия във връзка с докладите на Европейската сметна палата и незабавно да започне одита на финансирането, предоставено на сръбското правителство по линия на Инструмента за предприсъединителна помощ III (ИПП III) и други финансови инструменти; подчертава, че ако сръбските органи не желаят да изпълнят ключови препоръки за изборите или ако констатациите от това разследване показват, че сръбските органи са участвали пряко в измамите с гласоподавателите, призовава за спиране на финансирането от ЕС въз основа на сериозни нарушения на принципите на правовата държава във връзка с изборите в Сърбия;</w:t>
      </w:r>
    </w:p>
    <w:p w:rsidR="00B22A91" w:rsidRPr="00225B63" w:rsidRDefault="00B22A91" w:rsidP="00B22A91">
      <w:pPr>
        <w:pStyle w:val="NormalHanging12a"/>
      </w:pPr>
      <w:r w:rsidRPr="00225B63">
        <w:t>28.</w:t>
      </w:r>
      <w:r w:rsidRPr="00225B63">
        <w:tab/>
        <w:t xml:space="preserve">поема ангажимент да следи отблизо събитията след изборите в Сърбия, както и да подкрепя реформите, които укрепват демокрацията и помагат на Сърбия да постигне напредък по пътя за присъединяване към ЕС; подчертава, че винаги се е стремил да подкрепя политическия плурализъм и укрепването на приобщаваща изборна среда в Сърбия чрез всички свои дейности, по-специално чрез междупартийния диалог и процеса на парламентарен диалог; подчертава значението на продължаването на междупартийния диалог и процеса на парламентарен диалог; призовава ЕС да съдейства за улесняване на провеждането на вътрешен и съдържателен диалог в Сърбия между правителството и опозицията, за да се преодолее настоящият климат на дълбока политическа поляризация; в този контекст счита, че от всички институции Парламентът е най-подходящ да действа като конструктивен </w:t>
      </w:r>
      <w:proofErr w:type="spellStart"/>
      <w:r w:rsidRPr="00225B63">
        <w:t>фасилитатор</w:t>
      </w:r>
      <w:proofErr w:type="spellEnd"/>
      <w:r w:rsidRPr="00225B63">
        <w:t>;</w:t>
      </w:r>
    </w:p>
    <w:p w:rsidR="00B22A91" w:rsidRPr="00225B63" w:rsidRDefault="00B22A91" w:rsidP="00B22A91">
      <w:pPr>
        <w:pStyle w:val="NormalHanging12a"/>
      </w:pPr>
      <w:r w:rsidRPr="00225B63">
        <w:lastRenderedPageBreak/>
        <w:t>29.</w:t>
      </w:r>
      <w:r w:rsidRPr="00225B63">
        <w:tab/>
        <w:t>възлага на своя председател да предаде настоящата резолюция съответно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Народната скупщина на Сърбия, на Бюрото за демократични институции и права на човека на ОССЕ, на Парламентарната асамблея на ОССЕ и на Парламентарната асамблея на Съвета на Европа.</w:t>
      </w:r>
    </w:p>
    <w:p w:rsidR="00B22A91" w:rsidRPr="00225B63" w:rsidRDefault="00B22A91" w:rsidP="00B22A91">
      <w:pPr>
        <w:widowControl/>
      </w:pPr>
    </w:p>
    <w:p w:rsidR="00B22A91" w:rsidRPr="00225B63" w:rsidRDefault="00B22A91" w:rsidP="00B22A91">
      <w:pPr>
        <w:widowControl/>
      </w:pPr>
    </w:p>
    <w:p w:rsidR="00B22A91" w:rsidRPr="00225B63" w:rsidRDefault="00B22A91" w:rsidP="00B22A91"/>
    <w:p w:rsidR="00E365E1" w:rsidRPr="00225B63" w:rsidRDefault="00E365E1" w:rsidP="00B22A91">
      <w:bookmarkStart w:id="8" w:name="TextBodyEnd"/>
      <w:bookmarkEnd w:id="8"/>
    </w:p>
    <w:sectPr w:rsidR="00E365E1" w:rsidRPr="00225B63" w:rsidSect="00225B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D2A" w:rsidRPr="00225B63" w:rsidRDefault="00883D2A">
      <w:r w:rsidRPr="00225B63">
        <w:separator/>
      </w:r>
    </w:p>
  </w:endnote>
  <w:endnote w:type="continuationSeparator" w:id="0">
    <w:p w:rsidR="00883D2A" w:rsidRPr="00225B63" w:rsidRDefault="00883D2A">
      <w:r w:rsidRPr="00225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D2A" w:rsidRPr="00225B63" w:rsidRDefault="00883D2A">
      <w:r w:rsidRPr="00225B63">
        <w:separator/>
      </w:r>
    </w:p>
  </w:footnote>
  <w:footnote w:type="continuationSeparator" w:id="0">
    <w:p w:rsidR="00883D2A" w:rsidRPr="00225B63" w:rsidRDefault="00883D2A">
      <w:r w:rsidRPr="00225B63">
        <w:continuationSeparator/>
      </w:r>
    </w:p>
  </w:footnote>
  <w:footnote w:id="1">
    <w:p w:rsidR="00B22A91" w:rsidRPr="00225B63" w:rsidRDefault="00B22A91" w:rsidP="00225B63">
      <w:pPr>
        <w:pStyle w:val="FootnoteText"/>
        <w:ind w:left="567" w:hanging="567"/>
        <w:rPr>
          <w:sz w:val="24"/>
          <w:lang w:val="bg-BG"/>
        </w:rPr>
      </w:pPr>
      <w:r w:rsidRPr="00225B63">
        <w:rPr>
          <w:rStyle w:val="FootnoteReference"/>
          <w:sz w:val="24"/>
          <w:lang w:val="bg-BG"/>
        </w:rPr>
        <w:footnoteRef/>
      </w:r>
      <w:r w:rsidR="00225B63" w:rsidRPr="00225B63">
        <w:rPr>
          <w:sz w:val="24"/>
          <w:lang w:val="bg-BG"/>
        </w:rPr>
        <w:t xml:space="preserve"> </w:t>
      </w:r>
      <w:r w:rsidR="00225B63" w:rsidRPr="00225B63">
        <w:rPr>
          <w:sz w:val="24"/>
          <w:lang w:val="bg-BG"/>
        </w:rPr>
        <w:tab/>
      </w:r>
      <w:r w:rsidRPr="00225B63">
        <w:rPr>
          <w:sz w:val="24"/>
          <w:lang w:val="bg-BG"/>
        </w:rPr>
        <w:t xml:space="preserve">OВ C, C/2023/1065, 15.12.2023 г., ELI: </w:t>
      </w:r>
      <w:hyperlink r:id="rId1" w:history="1">
        <w:r w:rsidR="004D7116" w:rsidRPr="00720462">
          <w:rPr>
            <w:rStyle w:val="Hyperlink"/>
            <w:sz w:val="24"/>
            <w:lang w:val="bg-BG"/>
          </w:rPr>
          <w:t>https://eur-lex.europa.eu/legal-content/BG/TXT/?uri=CELEX:52023IP0192</w:t>
        </w:r>
      </w:hyperlink>
      <w:r w:rsidR="004D7116">
        <w:rPr>
          <w:sz w:val="24"/>
          <w:lang w:val="bg-BG"/>
        </w:rPr>
        <w:t xml:space="preserve"> </w:t>
      </w: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5B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and 0134/2024"/>
    <w:docVar w:name="dvlangue" w:val="BG"/>
    <w:docVar w:name="dvnumam" w:val="0"/>
    <w:docVar w:name="dvpe" w:val="756.848"/>
    <w:docVar w:name="dvtitre" w:val="Резолюция на Европейския парламент от ... 2024 г. относно положението в Сърбия след изборите(2024/2521(RSP))"/>
  </w:docVars>
  <w:rsids>
    <w:rsidRoot w:val="00883D2A"/>
    <w:rsid w:val="00002272"/>
    <w:rsid w:val="000475DB"/>
    <w:rsid w:val="00064002"/>
    <w:rsid w:val="000677B9"/>
    <w:rsid w:val="000831BA"/>
    <w:rsid w:val="000A42CC"/>
    <w:rsid w:val="000E7DD9"/>
    <w:rsid w:val="0010095E"/>
    <w:rsid w:val="00125B37"/>
    <w:rsid w:val="00187494"/>
    <w:rsid w:val="001F32AE"/>
    <w:rsid w:val="00225B6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11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D2A"/>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A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3FB86"/>
  <w15:chartTrackingRefBased/>
  <w15:docId w15:val="{56B5EF46-1BBD-4B39-A7B9-653A5786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2A91"/>
    <w:pPr>
      <w:spacing w:after="240"/>
      <w:ind w:left="567" w:hanging="567"/>
    </w:pPr>
  </w:style>
  <w:style w:type="paragraph" w:customStyle="1" w:styleId="EPComma">
    <w:name w:val="EPComma"/>
    <w:basedOn w:val="Normal"/>
    <w:rsid w:val="00B22A91"/>
    <w:pPr>
      <w:spacing w:before="480" w:after="240"/>
    </w:pPr>
  </w:style>
  <w:style w:type="character" w:customStyle="1" w:styleId="NormalHanging12aChar">
    <w:name w:val="NormalHanging12a Char"/>
    <w:basedOn w:val="DefaultParagraphFont"/>
    <w:link w:val="NormalHanging12a"/>
    <w:locked/>
    <w:rsid w:val="00B22A91"/>
    <w:rPr>
      <w:sz w:val="24"/>
      <w:lang w:val="bg-BG"/>
    </w:rPr>
  </w:style>
  <w:style w:type="character" w:styleId="Hyperlink">
    <w:name w:val="Hyperlink"/>
    <w:basedOn w:val="DefaultParagraphFont"/>
    <w:rsid w:val="004D71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BG/TXT/?uri=CELEX:52023IP0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7D41E-9666-49C3-BC22-28DF62D9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4263</Words>
  <Characters>25982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2024-02-08T11:56:00Z</dcterms:created>
  <dcterms:modified xsi:type="dcterms:W3CDTF">2024-02-08T11:56:00Z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B9-0106, 0108, 0131, 0132, 0133 and 0134/2024</vt:lpwstr>
  </property>
  <property fmtid="{D5CDD505-2E9C-101B-9397-08002B2CF9AE}" pid="4" name="&lt;Type&gt;">
    <vt:lpwstr>RR</vt:lpwstr>
  </property>
</Properties>
</file>