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EC453D" w:rsidTr="0010095E">
        <w:trPr>
          <w:trHeight w:hRule="exact" w:val="1418"/>
        </w:trPr>
        <w:tc>
          <w:tcPr>
            <w:tcW w:w="6804" w:type="dxa"/>
            <w:shd w:val="clear" w:color="auto" w:fill="auto"/>
            <w:vAlign w:val="center"/>
          </w:tcPr>
          <w:p w:rsidR="00751A4A" w:rsidRPr="00EC453D" w:rsidRDefault="00011FA2" w:rsidP="0010095E">
            <w:pPr>
              <w:pStyle w:val="EPName"/>
            </w:pPr>
            <w:r w:rsidRPr="00EC453D">
              <w:t>Europos Parlamentas</w:t>
            </w:r>
          </w:p>
          <w:p w:rsidR="00751A4A" w:rsidRPr="00EC453D" w:rsidRDefault="00817416" w:rsidP="00756632">
            <w:pPr>
              <w:pStyle w:val="EPTerm"/>
              <w:rPr>
                <w:rStyle w:val="HideTWBExt"/>
                <w:noProof w:val="0"/>
                <w:vanish w:val="0"/>
                <w:color w:val="auto"/>
              </w:rPr>
            </w:pPr>
            <w:r w:rsidRPr="00EC453D">
              <w:t>2019-2024</w:t>
            </w:r>
          </w:p>
        </w:tc>
        <w:tc>
          <w:tcPr>
            <w:tcW w:w="2268" w:type="dxa"/>
            <w:shd w:val="clear" w:color="auto" w:fill="auto"/>
          </w:tcPr>
          <w:p w:rsidR="00751A4A" w:rsidRPr="00EC453D" w:rsidRDefault="00187494" w:rsidP="0010095E">
            <w:pPr>
              <w:pStyle w:val="EPLogo"/>
            </w:pPr>
            <w:r w:rsidRPr="00EC453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EC453D" w:rsidRDefault="00D058B8" w:rsidP="004C5D52">
      <w:pPr>
        <w:pStyle w:val="LineTop"/>
      </w:pPr>
    </w:p>
    <w:p w:rsidR="00680577" w:rsidRPr="00EC453D" w:rsidRDefault="00011FA2" w:rsidP="00680577">
      <w:pPr>
        <w:pStyle w:val="EPBodyTA1"/>
      </w:pPr>
      <w:r w:rsidRPr="00EC453D">
        <w:t>PRIIMTI TEKSTAI</w:t>
      </w:r>
    </w:p>
    <w:p w:rsidR="00D058B8" w:rsidRPr="00EC453D" w:rsidRDefault="00D058B8" w:rsidP="00D058B8">
      <w:pPr>
        <w:pStyle w:val="LineBottom"/>
      </w:pPr>
    </w:p>
    <w:p w:rsidR="00011FA2" w:rsidRPr="00EC453D" w:rsidRDefault="00011FA2" w:rsidP="00011FA2">
      <w:pPr>
        <w:pStyle w:val="ATHeading1"/>
      </w:pPr>
      <w:bookmarkStart w:id="0" w:name="TANumber"/>
      <w:r w:rsidRPr="00EC453D">
        <w:t>P9_TA(2024)00</w:t>
      </w:r>
      <w:r w:rsidR="00CF5EFF">
        <w:t>75</w:t>
      </w:r>
      <w:bookmarkEnd w:id="0"/>
    </w:p>
    <w:p w:rsidR="00011FA2" w:rsidRPr="00EC453D" w:rsidRDefault="00011FA2" w:rsidP="00011FA2">
      <w:pPr>
        <w:pStyle w:val="ATHeading2"/>
      </w:pPr>
      <w:bookmarkStart w:id="1" w:name="title"/>
      <w:r w:rsidRPr="00EC453D">
        <w:t>Padėtis Serbijoje po rinkimų</w:t>
      </w:r>
      <w:bookmarkEnd w:id="1"/>
    </w:p>
    <w:p w:rsidR="00011FA2" w:rsidRPr="00EC453D" w:rsidRDefault="00011FA2" w:rsidP="00011FA2">
      <w:pPr>
        <w:rPr>
          <w:i/>
          <w:vanish/>
        </w:rPr>
      </w:pPr>
      <w:r w:rsidRPr="00EC453D">
        <w:rPr>
          <w:i/>
        </w:rPr>
        <w:fldChar w:fldCharType="begin"/>
      </w:r>
      <w:r w:rsidRPr="00EC453D">
        <w:rPr>
          <w:i/>
        </w:rPr>
        <w:instrText xml:space="preserve"> TC"(</w:instrText>
      </w:r>
      <w:bookmarkStart w:id="2" w:name="DocNumber"/>
      <w:r w:rsidRPr="00EC453D">
        <w:rPr>
          <w:i/>
        </w:rPr>
        <w:instrText>B9-0106, 0108, 0131, 0132, 0133 ir 0134/2024</w:instrText>
      </w:r>
      <w:bookmarkEnd w:id="2"/>
      <w:r w:rsidRPr="00EC453D">
        <w:rPr>
          <w:i/>
        </w:rPr>
        <w:instrText xml:space="preserve">)"\l3 \n&gt; \* MERGEFORMAT </w:instrText>
      </w:r>
      <w:r w:rsidRPr="00EC453D">
        <w:rPr>
          <w:i/>
        </w:rPr>
        <w:fldChar w:fldCharType="end"/>
      </w:r>
    </w:p>
    <w:p w:rsidR="00011FA2" w:rsidRPr="00EC453D" w:rsidRDefault="00011FA2" w:rsidP="00011FA2">
      <w:pPr>
        <w:rPr>
          <w:vanish/>
        </w:rPr>
      </w:pPr>
      <w:bookmarkStart w:id="3" w:name="PE"/>
      <w:r w:rsidRPr="00EC453D">
        <w:rPr>
          <w:vanish/>
        </w:rPr>
        <w:t>PE756.848</w:t>
      </w:r>
      <w:bookmarkEnd w:id="3"/>
    </w:p>
    <w:p w:rsidR="00011FA2" w:rsidRPr="00EC453D" w:rsidRDefault="00011FA2" w:rsidP="00B8270D">
      <w:pPr>
        <w:pStyle w:val="ATHeading3"/>
      </w:pPr>
      <w:bookmarkStart w:id="4" w:name="Sujet"/>
      <w:r w:rsidRPr="00EC453D">
        <w:t>2024 m. vasario 8 d. Europos Parlamento rezoliucija dėl padėties Serbijoje po rinkimų</w:t>
      </w:r>
      <w:bookmarkEnd w:id="4"/>
      <w:r w:rsidRPr="00EC453D">
        <w:t xml:space="preserve"> </w:t>
      </w:r>
      <w:bookmarkStart w:id="5" w:name="References"/>
      <w:r w:rsidRPr="00EC453D">
        <w:t>(2024/2521(RSP))</w:t>
      </w:r>
      <w:bookmarkEnd w:id="5"/>
    </w:p>
    <w:p w:rsidR="00551F18" w:rsidRPr="00EC453D" w:rsidRDefault="00551F18" w:rsidP="00551F18">
      <w:pPr>
        <w:pStyle w:val="EPComma"/>
      </w:pPr>
      <w:bookmarkStart w:id="6" w:name="TextBodyBegin"/>
      <w:bookmarkEnd w:id="6"/>
      <w:r w:rsidRPr="00EC453D">
        <w:rPr>
          <w:i/>
        </w:rPr>
        <w:t>Europos Parlamentas</w:t>
      </w:r>
      <w:r w:rsidRPr="00EC453D">
        <w:t>,</w:t>
      </w:r>
    </w:p>
    <w:p w:rsidR="00551F18" w:rsidRPr="00EC453D" w:rsidRDefault="00551F18" w:rsidP="00551F18">
      <w:pPr>
        <w:pStyle w:val="NormalHanging12a"/>
      </w:pPr>
      <w:r w:rsidRPr="00EC453D">
        <w:t>–</w:t>
      </w:r>
      <w:r w:rsidRPr="00EC453D">
        <w:tab/>
        <w:t>atsižvelgdamas į savo ankstesnes rezoliucijas dėl Serbijos, ypač į 2023 m. gegužės 10 d. rezoliuciją dėl 2022 m. Komisijos ataskaitos dėl Serbijos</w:t>
      </w:r>
      <w:r w:rsidRPr="00EC453D">
        <w:rPr>
          <w:rStyle w:val="FootnoteReference"/>
        </w:rPr>
        <w:footnoteReference w:id="1"/>
      </w:r>
      <w:r w:rsidRPr="00EC453D">
        <w:t>,</w:t>
      </w:r>
    </w:p>
    <w:p w:rsidR="00551F18" w:rsidRPr="00EC453D" w:rsidRDefault="00551F18" w:rsidP="00551F18">
      <w:pPr>
        <w:pStyle w:val="NormalHanging12a"/>
      </w:pPr>
      <w:r w:rsidRPr="00EC453D">
        <w:t>–</w:t>
      </w:r>
      <w:r w:rsidRPr="00EC453D">
        <w:tab/>
        <w:t>atsižvelgdamas į ankstesnius ES pareiškimus dėl Serbijos, visų pirma į 2023 m. gruodžio 19 d. Sąjungos vyriausiojo įgaliotinio užsienio reikalams ir saugumo politikai Josepo Borrellio ir už kaimynystę ir plėtrą atsakingo Komisijos nario Olivério Várhelyi bendrą pareiškimą dėl parlamento rinkimų,</w:t>
      </w:r>
    </w:p>
    <w:p w:rsidR="00551F18" w:rsidRPr="00EC453D" w:rsidRDefault="00551F18" w:rsidP="00551F18">
      <w:pPr>
        <w:pStyle w:val="NormalHanging12a"/>
      </w:pPr>
      <w:r w:rsidRPr="00EC453D">
        <w:t>–</w:t>
      </w:r>
      <w:r w:rsidRPr="00EC453D">
        <w:tab/>
        <w:t>atsižvelgdamas į 2023 m. gruodžio 17 d. Serbijoje vykusių pirmalaikių parlamento rinkimų tarptautinės rinkimų stebėjimo misijos pareiškimą d</w:t>
      </w:r>
      <w:r w:rsidR="00B8270D">
        <w:t>ėl preliminarių faktų ir išvadų,</w:t>
      </w:r>
    </w:p>
    <w:p w:rsidR="00551F18" w:rsidRPr="00EC453D" w:rsidRDefault="00551F18" w:rsidP="00551F18">
      <w:pPr>
        <w:pStyle w:val="NormalHanging12a"/>
        <w:rPr>
          <w:snapToGrid w:val="0"/>
        </w:rPr>
      </w:pPr>
      <w:r w:rsidRPr="00EC453D">
        <w:rPr>
          <w:snapToGrid w:val="0"/>
        </w:rPr>
        <w:t>–</w:t>
      </w:r>
      <w:r w:rsidRPr="00EC453D">
        <w:rPr>
          <w:snapToGrid w:val="0"/>
        </w:rPr>
        <w:tab/>
        <w:t>atsižvelgdamas į 2022 m. gruodžio 19 d. Europos saugumo ir bendradarbiavimo organizacijos (ESBO) Demokratinių institucijų ir žmogaus teisių biuro (ODIHR) ir Venecijos komisijos bendrą nuomonę dėl konstitucinės ir teisinės sistemos, kuria reglamentuojamas demokratinių institucijų veikimas Serbijoje, – rinkimų teisės ir rinkimų administravimo,</w:t>
      </w:r>
    </w:p>
    <w:p w:rsidR="00551F18" w:rsidRPr="00EC453D" w:rsidRDefault="00551F18" w:rsidP="00551F18">
      <w:pPr>
        <w:pStyle w:val="NormalHanging12a"/>
        <w:rPr>
          <w:snapToGrid w:val="0"/>
        </w:rPr>
      </w:pPr>
      <w:r w:rsidRPr="00EC453D">
        <w:rPr>
          <w:snapToGrid w:val="0"/>
        </w:rPr>
        <w:t>–</w:t>
      </w:r>
      <w:r w:rsidRPr="00EC453D">
        <w:rPr>
          <w:snapToGrid w:val="0"/>
        </w:rPr>
        <w:tab/>
        <w:t xml:space="preserve">atsižvelgdamas į 2024 m. sausio 17 d. Europos Tarybos Parlamentinės Asamblėjos biuro </w:t>
      </w:r>
      <w:r w:rsidRPr="00EC453D">
        <w:rPr>
          <w:i/>
          <w:iCs/>
          <w:snapToGrid w:val="0"/>
        </w:rPr>
        <w:t>Ad hoc</w:t>
      </w:r>
      <w:r w:rsidRPr="00EC453D">
        <w:rPr>
          <w:snapToGrid w:val="0"/>
        </w:rPr>
        <w:t xml:space="preserve"> komiteto rinkimų stebėjimo ataskaitą „Pirmalaikių parlamento rinkimų Serbijoje stebėjimas (2023 m. gruodžio 17 d.)“,</w:t>
      </w:r>
    </w:p>
    <w:p w:rsidR="00551F18" w:rsidRPr="00EC453D" w:rsidRDefault="00551F18" w:rsidP="00551F18">
      <w:pPr>
        <w:pStyle w:val="NormalHanging12a"/>
        <w:rPr>
          <w:snapToGrid w:val="0"/>
        </w:rPr>
      </w:pPr>
      <w:r w:rsidRPr="00EC453D">
        <w:rPr>
          <w:snapToGrid w:val="0"/>
        </w:rPr>
        <w:t>–</w:t>
      </w:r>
      <w:r w:rsidRPr="00EC453D">
        <w:rPr>
          <w:snapToGrid w:val="0"/>
        </w:rPr>
        <w:tab/>
        <w:t>atsižvelgdamas į 2024 m. sausio 17 d. už teisingumą atsakingo Komisijos nario Didier Reynderso kalbą dėl rinkimų Serbijoje, pasakytą Parlamento plenariniame posėdyje Komisijos pirmininko pavaduotojo ir Sąjungos vyriausiojo įgaliotinio užsienio reikalams ir saugumo politikai Josepo Borrellio vardu,</w:t>
      </w:r>
    </w:p>
    <w:p w:rsidR="00551F18" w:rsidRPr="00EC453D" w:rsidRDefault="00551F18" w:rsidP="00551F18">
      <w:pPr>
        <w:pStyle w:val="NormalHanging12a"/>
        <w:rPr>
          <w:snapToGrid w:val="0"/>
        </w:rPr>
      </w:pPr>
      <w:r w:rsidRPr="00EC453D">
        <w:rPr>
          <w:snapToGrid w:val="0"/>
        </w:rPr>
        <w:t>–</w:t>
      </w:r>
      <w:r w:rsidRPr="00EC453D">
        <w:rPr>
          <w:snapToGrid w:val="0"/>
        </w:rPr>
        <w:tab/>
        <w:t>atsižvelgdamas į kelių ES šalių užsienio reikalų komitetų pirmininkų pasirašytą atvirą laišką dėl padėties Serbijoje po rinkimų,</w:t>
      </w:r>
    </w:p>
    <w:p w:rsidR="00551F18" w:rsidRPr="00EC453D" w:rsidRDefault="00551F18" w:rsidP="00551F18">
      <w:pPr>
        <w:pStyle w:val="NormalHanging12a"/>
      </w:pPr>
      <w:r w:rsidRPr="00EC453D">
        <w:lastRenderedPageBreak/>
        <w:t>–</w:t>
      </w:r>
      <w:r w:rsidRPr="00EC453D">
        <w:tab/>
        <w:t>atsižvelgdamas į savo bendrai remiamą parlamentinio dialogo procesą Serbijoje,</w:t>
      </w:r>
    </w:p>
    <w:p w:rsidR="00551F18" w:rsidRPr="00EC453D" w:rsidRDefault="00551F18" w:rsidP="00551F18">
      <w:pPr>
        <w:pStyle w:val="NormalHanging12a"/>
      </w:pPr>
      <w:r w:rsidRPr="00EC453D">
        <w:t>–</w:t>
      </w:r>
      <w:r w:rsidRPr="00EC453D">
        <w:tab/>
        <w:t>atsižvelgdamas į 2006 m. Serbijos Konstituciją ir 2022 m. Įstatymą dėl parlamento narių rinkimų,</w:t>
      </w:r>
    </w:p>
    <w:p w:rsidR="00551F18" w:rsidRPr="00EC453D" w:rsidRDefault="00551F18" w:rsidP="00551F18">
      <w:pPr>
        <w:pStyle w:val="NormalHanging12a"/>
      </w:pPr>
      <w:r w:rsidRPr="00EC453D">
        <w:t>–</w:t>
      </w:r>
      <w:r w:rsidRPr="00EC453D">
        <w:tab/>
        <w:t>atsižvelgdamas į 2022 m. sausio 10 d. Europos Audito Rūmų specialiąją ataskaitą Nr. 01/2022 „ES parama teisinei valstybei Vakarų Balkanuose: nepaisant pastangų, esminės problemos neišspręstos“,</w:t>
      </w:r>
    </w:p>
    <w:p w:rsidR="00551F18" w:rsidRPr="00EC453D" w:rsidRDefault="00551F18" w:rsidP="00551F18">
      <w:pPr>
        <w:pStyle w:val="NormalHanging12a"/>
      </w:pPr>
      <w:r w:rsidRPr="00EC453D">
        <w:t>–</w:t>
      </w:r>
      <w:r w:rsidRPr="00EC453D">
        <w:tab/>
        <w:t>atsižvelgdamas į Darbo tvarkos taisyklių 132 straipsnio 2 ir 4 dalis,</w:t>
      </w:r>
    </w:p>
    <w:p w:rsidR="00551F18" w:rsidRPr="00EC453D" w:rsidRDefault="00551F18" w:rsidP="00551F18">
      <w:pPr>
        <w:pStyle w:val="NormalHanging12a"/>
      </w:pPr>
      <w:r w:rsidRPr="00EC453D">
        <w:t>A.</w:t>
      </w:r>
      <w:r w:rsidRPr="00EC453D">
        <w:tab/>
        <w:t>kadangi po 2023 m. gegužės mėn. įvykusių masinių šaudynių Belgrade ir netoli Mladenovaco visoje Serbijoje buvo surengti masiniai protestai su šūkiu „Serbija prieš smurtą“; kadangi 2023 m. lapkričio 1 d. Serbijos prezidentas paminėjo opozicijos reikalavimus surengti pirmalaikius rinkimus, kad būtų paleistas parlamentas; kadangi jis nustatė, kad pirmalaikiai parlamento rinkimai vyks 2023 m. gruodžio 17 d.;</w:t>
      </w:r>
    </w:p>
    <w:p w:rsidR="00551F18" w:rsidRPr="00EC453D" w:rsidRDefault="00551F18" w:rsidP="00551F18">
      <w:pPr>
        <w:pStyle w:val="NormalHanging12a"/>
      </w:pPr>
      <w:r w:rsidRPr="00EC453D">
        <w:t>B.</w:t>
      </w:r>
      <w:r w:rsidRPr="00EC453D">
        <w:tab/>
        <w:t>kadangi nuo 2012 m. visi parlamento rinkimai Serbijoje, išskyrus vienus, buvo pirmalaikiai; kadangi tai buvo tretieji parlamento rinkimai per mažiau nei ketverius metus;</w:t>
      </w:r>
    </w:p>
    <w:p w:rsidR="00551F18" w:rsidRPr="00EC453D" w:rsidRDefault="00551F18" w:rsidP="00551F18">
      <w:pPr>
        <w:pStyle w:val="NormalHanging12a"/>
      </w:pPr>
      <w:r w:rsidRPr="00EC453D">
        <w:t>C.</w:t>
      </w:r>
      <w:r w:rsidRPr="00EC453D">
        <w:tab/>
        <w:t>kadangi po staigaus ir vienalaikio valdančiajai partijai priklausančių 65 merų, įskaitant Belgrado merą, atsistatydinimo ir Voivodinos autonominio regiono asamblėjos sprendimo save paleisti, nepaisant stabilios daugumos, tą pačią dieną, 2023 m. gruodžio 17 d., buvo sušaukti trečdalio Serbijos savivaldybių pirmalaikiai vietos rinkimai ir provincijos rinkimai Voivodinoje; kadangi rengti dalinius vietos ir parlamento rinkimus tą pačią dieną yra netinkama ilgalaikė praktika; kadangi daugelis stebėtojų pirmalaikius dalinius vietos rinkimus vertina kaip dabartinės vyriausybės priemonę sustiprinti galią ir kaip netinkamą vietos bendruomenių balsavimo teisių panaudojimą;</w:t>
      </w:r>
    </w:p>
    <w:p w:rsidR="00551F18" w:rsidRPr="00EC453D" w:rsidRDefault="00551F18" w:rsidP="00551F18">
      <w:pPr>
        <w:pStyle w:val="NormalHanging12a"/>
      </w:pPr>
      <w:r w:rsidRPr="00EC453D">
        <w:t>D.</w:t>
      </w:r>
      <w:r w:rsidRPr="00EC453D">
        <w:tab/>
        <w:t>kadangi rinkimai įvyko tvyrant ypatingai socialinei poliarizacijai ir intensyviai konkurencijai tarp priešingų politinių darbotvarkių; kadangi rinkimams buvo būdingas beprecedentis neigiamos agitacijos ir baimės kurstymo mastas bei išpuoliai prieš politinius oponentus ir žurnalistus;</w:t>
      </w:r>
    </w:p>
    <w:p w:rsidR="00551F18" w:rsidRPr="00EC453D" w:rsidRDefault="00551F18" w:rsidP="00551F18">
      <w:pPr>
        <w:pStyle w:val="NormalHanging12a"/>
      </w:pPr>
      <w:r w:rsidRPr="00EC453D">
        <w:t>E.</w:t>
      </w:r>
      <w:r w:rsidRPr="00EC453D">
        <w:tab/>
        <w:t>kadangi iki rinkimų dienos Serbija neįgyvendino pagrindinių ESBO ODIHR ir Venecijos komisijos rekomendacijų, įskaitant rekomendacijas dėl vienodų sąlygų užtikrinimo, priemonių, kuriomis būtų siekiama užkirsti kelią netinkamam elgesiui einant valstybines pareigas ir viešųjų išteklių naudojimui, tarnybinių pareigų ir kampanijos veiklos atskyrimo ir veiksmingų mechanizmų, kuriais būtų siekiama užkirsti kelią bauginimui ir spaudimui rinkėjams, įskaitant balsų pirkimą;</w:t>
      </w:r>
    </w:p>
    <w:p w:rsidR="00551F18" w:rsidRPr="00EC453D" w:rsidRDefault="00551F18" w:rsidP="00551F18">
      <w:pPr>
        <w:pStyle w:val="NormalHanging12a"/>
      </w:pPr>
      <w:r w:rsidRPr="00EC453D">
        <w:t>F.</w:t>
      </w:r>
      <w:r w:rsidRPr="00EC453D">
        <w:tab/>
        <w:t>kadangi visai kampanijai buvo būdinga dar radikalesnė poliarizacija, agresyvi retorika, asmeninis diskreditavimas, žodinis užgauliojimas ir neapykantą kurstančios kalbos; kadangi spaudimas viešojo sektoriaus darbuotojams, netinkamas viešųjų išteklių naudojimas ir rinkėjų skatinimo schemos kėlė susirūpinimą dėl rinkėjų gebėjimo priimti sprendimą nepatiriant nederamo spaudimo; kadangi ši praktika ir kai kurios problemos, kilusios opozicijai siekiant patekti į viešo naudojimo vietas, iškreipė sąlygas ir apsunkino galimybes valstybę atskirti nuo valdančiosios partijos, o tai neatitinka tarptautinių standartų; kadangi Rusijos remiamais leidiniais „Sputnik Serbia“ ir „Russia Today Balkan“ buvo aktyviai prisidedama prie dezinformacijos, daugiausia apie opozicijos kandidatus, skleidimo;</w:t>
      </w:r>
    </w:p>
    <w:p w:rsidR="00551F18" w:rsidRPr="00EC453D" w:rsidRDefault="00551F18" w:rsidP="00551F18">
      <w:pPr>
        <w:pStyle w:val="NormalHanging12a"/>
      </w:pPr>
      <w:r w:rsidRPr="00EC453D">
        <w:lastRenderedPageBreak/>
        <w:t>G.</w:t>
      </w:r>
      <w:r w:rsidRPr="00EC453D">
        <w:tab/>
        <w:t>kadangi šioje kampanijoje didelį poveikį turėjo dabartinis prezidentas A. Vučić, kuris, nors šiuose rinkimuose ir nebuvo kandidatas, atliko labai svarbų vaidmenį kasdienėje kampanijos veikloje aktyviai dalyvaudamas Serbijos pažangos partijos (SNS) renginiuose; kadangi SNS sąrašas buvo pavadintas A. Vučićiaus vardu;</w:t>
      </w:r>
    </w:p>
    <w:p w:rsidR="00551F18" w:rsidRPr="00EC453D" w:rsidRDefault="00551F18" w:rsidP="00551F18">
      <w:pPr>
        <w:pStyle w:val="NormalHanging12a"/>
      </w:pPr>
      <w:r w:rsidRPr="00EC453D">
        <w:t>H.</w:t>
      </w:r>
      <w:r w:rsidRPr="00EC453D">
        <w:tab/>
        <w:t>kadangi kampanijos ir elektroninės žiniasklaidos priežiūros institucijos buvo iš esmės neveiksmingos atgrasant nuo pažeidimų rinkimų laikotarpiu;</w:t>
      </w:r>
    </w:p>
    <w:p w:rsidR="00551F18" w:rsidRPr="00EC453D" w:rsidRDefault="00551F18" w:rsidP="00551F18">
      <w:pPr>
        <w:pStyle w:val="NormalHanging12a"/>
      </w:pPr>
      <w:r w:rsidRPr="00EC453D">
        <w:t>I.</w:t>
      </w:r>
      <w:r w:rsidRPr="00EC453D">
        <w:tab/>
        <w:t>kadangi ESBO ODIHR, ESBO Parlamentinė Asamblėja, Europos Tarybos Parlamentinė Asamblėja ir Europos Parlamentas surengė tarptautinę rinkimų stebėjimo misiją, kad nustatytų, ar rinkimai atitiko ESBO įsipareigojimus ir kitus tarptautinius įsipareigojimus bei demokratinių rinkimų standartus ir nacionalinės teisės aktus;</w:t>
      </w:r>
    </w:p>
    <w:p w:rsidR="00551F18" w:rsidRPr="00EC453D" w:rsidRDefault="00551F18" w:rsidP="00551F18">
      <w:pPr>
        <w:pStyle w:val="NormalHanging12a"/>
      </w:pPr>
      <w:r w:rsidRPr="00EC453D">
        <w:t>J.</w:t>
      </w:r>
      <w:r w:rsidRPr="00EC453D">
        <w:tab/>
        <w:t>kadangi rinkėjų sąrašai buvo atnaujinti naudojant bendrą rinkėjų registrą ir galutinis balsavusiųjų skaičius siekė 6 500 666; kadangi buvo įtariama, kad ne vienas miręs asmuo liko įtrauktas į registrą;</w:t>
      </w:r>
    </w:p>
    <w:p w:rsidR="00551F18" w:rsidRPr="00EC453D" w:rsidRDefault="00551F18" w:rsidP="00551F18">
      <w:pPr>
        <w:pStyle w:val="NormalHanging12a"/>
      </w:pPr>
      <w:r w:rsidRPr="00EC453D">
        <w:t>K.</w:t>
      </w:r>
      <w:r w:rsidRPr="00EC453D">
        <w:tab/>
        <w:t>kadangi rinkėjų aktyvumas buvo 58,58 proc., t. y. šiek tiek didesnis nei per ankstesnius 2022 metais vykusius rinkimus;</w:t>
      </w:r>
    </w:p>
    <w:p w:rsidR="00551F18" w:rsidRPr="00EC453D" w:rsidRDefault="00551F18" w:rsidP="00551F18">
      <w:pPr>
        <w:pStyle w:val="NormalHanging12a"/>
      </w:pPr>
      <w:r w:rsidRPr="00EC453D">
        <w:t>L.</w:t>
      </w:r>
      <w:r w:rsidRPr="00EC453D">
        <w:tab/>
        <w:t>kadangi, nepaisant to, kad iš 2 817 kandidatų į parlamentą 43 proc. buvo moterys, ir nepaisant pastangų skatinti moterų dalyvavimą, iš esmės renkamas ir skiriamas pareigas eina nepakankamai moterų;</w:t>
      </w:r>
    </w:p>
    <w:p w:rsidR="00551F18" w:rsidRPr="00EC453D" w:rsidRDefault="00551F18" w:rsidP="00551F18">
      <w:pPr>
        <w:pStyle w:val="NormalHanging12a"/>
      </w:pPr>
      <w:r w:rsidRPr="00EC453D">
        <w:t>M.</w:t>
      </w:r>
      <w:r w:rsidRPr="00EC453D">
        <w:tab/>
        <w:t>kadangi apskritai rinkimai praėjo sklandžiai, tačiau ta diena neapsiėjo be įvairių procedūrinių trūkumų, įskaitant nenuoseklų apsaugos priemonių taikymą balsavimo ir balsų skaičiavimo metu, dažnus balsavimo vietų perkrovimo atvejus, balsavimo slaptumo pažeidimus, įvairius grupinio balsavimo atvejus ir pavienius fizinius išpuolius;</w:t>
      </w:r>
    </w:p>
    <w:p w:rsidR="00551F18" w:rsidRPr="00EC453D" w:rsidRDefault="00551F18" w:rsidP="00551F18">
      <w:pPr>
        <w:pStyle w:val="NormalHanging12a"/>
      </w:pPr>
      <w:r w:rsidRPr="00EC453D">
        <w:t>N.</w:t>
      </w:r>
      <w:r w:rsidRPr="00EC453D">
        <w:tab/>
        <w:t>kadangi, Serbijos respublikinės rinkimų komisijos duomenimis, SNS surinko 46,75 proc. balsų, o didžiausia opozicijos koalicija „Serbija prieš smurtą“ – 23,66 proc., Serbijos socialistų partija – 6,55 proc., koalicija NADA – 5,02 proc., sąrašas „Mes – tautos balsas“ – 4,69 proc. ir penki mažumų sąrašai – iš viso 3,68 proc.;</w:t>
      </w:r>
    </w:p>
    <w:p w:rsidR="00551F18" w:rsidRPr="00EC453D" w:rsidRDefault="00551F18" w:rsidP="00551F18">
      <w:pPr>
        <w:pStyle w:val="NormalHanging12a"/>
      </w:pPr>
      <w:r w:rsidRPr="00EC453D">
        <w:t>O.</w:t>
      </w:r>
      <w:r w:rsidRPr="00EC453D">
        <w:tab/>
        <w:t>kadangi tarptautinės rinkimų stebėjimo misijos pareiškime apie preliminarius nustatytus faktus ir išvadas pabrėžiama, kad „gruodžio 17 d. įvykusiuose pirmalaikiuose parlamento rinkimuose, nors jie buvo techniškai gerai administruojami ir rinkėjams buvo suteikta galimybė rinktis politines alternatyvas, didelį poveikį turėjo prezidento dalyvavimas, kuris kartu su valdančiosios partijos sisteminiais pranašumais sukūrė neteisingas sąlygas“; kadangi tikimasi, kad ESBO ODIHR galutinė ataskaita bus paskelbta artimiausiomis savaitėmis;</w:t>
      </w:r>
    </w:p>
    <w:p w:rsidR="00551F18" w:rsidRPr="00EC453D" w:rsidRDefault="00551F18" w:rsidP="00551F18">
      <w:pPr>
        <w:pStyle w:val="NormalHanging12a"/>
      </w:pPr>
      <w:r w:rsidRPr="00EC453D">
        <w:t>P.</w:t>
      </w:r>
      <w:r w:rsidRPr="00EC453D">
        <w:tab/>
        <w:t>kadangi pagrindiniai įtarimai dėl pažeidimų rinkimų dieną susiję visų pirma su Belgradu, kurio butuose valdžios institucijos buvo užregistravusios ten negyvenančius „rinkėjus vaiduoklius“ iš kitų Serbijos savivaldybių, kuriose tą dieną rinkimai nevyko, taip pat iš kaimyninių šalių; kadangi buvo įvairių įtarimų, kad valdančioji partija organizavo ir autobusais į Serbiją vežė užsienyje gyvenančius rinkėjus, kad jie savo balsus atiduotų vietos rinkimuose Belgrade;</w:t>
      </w:r>
    </w:p>
    <w:p w:rsidR="00551F18" w:rsidRPr="00EC453D" w:rsidRDefault="00551F18" w:rsidP="00551F18">
      <w:pPr>
        <w:pStyle w:val="NormalHanging12a"/>
      </w:pPr>
      <w:r w:rsidRPr="00EC453D">
        <w:t>Q.</w:t>
      </w:r>
      <w:r w:rsidRPr="00EC453D">
        <w:tab/>
        <w:t xml:space="preserve">kadangi Serbijos pilietinės visuomenės organizacija CRTA atliko išsamią analizę, pagrįstą ribotais duomenimis ir ištekliais, ir labai atsargiai konstatavo, kad rinkėjų registre yra netikslumų, susijusių su ne mažiau kaip 30 000 rinkėjų; kadangi ji turi tvirtų įrodymų, kad šie netikslumai buvo neteisėtos ir nelegitimios rinkimų inžinerijos </w:t>
      </w:r>
      <w:r w:rsidRPr="00EC453D">
        <w:lastRenderedPageBreak/>
        <w:t>strategijos, kuria buvo siekiama daryti įtaką rinkimų rezultatams ir iškreipti rinkėjų valią, dalis; kadangi balsuoti vietos savivaldos rinkimuose Belgrade žmonės buvo vežami iš visos Serbijos ir užsienio (Bosnijos ir Hercegovinos ir Juodkalnijos); kadangi Belgrado savivaldos rinkimuose atvirai balsavo net ir Bosnijos ir Hercegovinos valdžios pareigūnai bei politikai; kadangi Serbijos vyriausybė šią praktiką gynė kaip teisėtą;</w:t>
      </w:r>
    </w:p>
    <w:p w:rsidR="00551F18" w:rsidRPr="00EC453D" w:rsidRDefault="00551F18" w:rsidP="00551F18">
      <w:pPr>
        <w:pStyle w:val="NormalHanging12a"/>
      </w:pPr>
      <w:r w:rsidRPr="00EC453D">
        <w:t>R.</w:t>
      </w:r>
      <w:r w:rsidRPr="00EC453D">
        <w:tab/>
        <w:t>kadangi kiti esminiai įtarimai dėl pažeidimų susiję su balsų pirkimu, žiniasklaidos šališkumu, spaudimu viešojo sektoriaus darbuotojams ir socialiai pažeidžiamoms grupėms, netinkamu viešųjų išteklių naudojimu, bauginimu ir biuletenių klastojimu;</w:t>
      </w:r>
    </w:p>
    <w:p w:rsidR="00551F18" w:rsidRPr="00EC453D" w:rsidRDefault="00551F18" w:rsidP="00551F18">
      <w:pPr>
        <w:pStyle w:val="NormalHanging12a"/>
      </w:pPr>
      <w:r w:rsidRPr="00EC453D">
        <w:t>S.</w:t>
      </w:r>
      <w:r w:rsidRPr="00EC453D">
        <w:tab/>
        <w:t>kadangi Serbijos valdžios institucijos neigia bet kokius pažeidimus; kadangi tiek Serbijos prezidentas, tiek Kremliaus kontroliuojama žiniasklaida tvirtino, kad kitos šalys šiurkščiai kišosi į rinkimų procesą Serbijoje, tačiau nepateikė pagrįstų šių teiginių įrodymų; kadangi ministrė pirmininkė Ana Brnabić viešai padėkojo Rusijos žvalgybos tarnyboms už tai, kad jos teikė informaciją apie planuojamą opozicijos veiklą; kadangi Rusijos dezinformacijos ir naratyvų sklaida, ypač per rinkimų kampanijas, yra gili ir nuolatinė problema Serbijoje; kadangi Kremlius pasmerkė visuomenės protestus prieš suklastotus Serbijos visuotinius rinkimus kaip Vakarų bandymus nuversti vyriausybę ir surengti dar vieną, į Maidaną panašų perversmą;</w:t>
      </w:r>
    </w:p>
    <w:p w:rsidR="00551F18" w:rsidRPr="00EC453D" w:rsidRDefault="00551F18" w:rsidP="00551F18">
      <w:pPr>
        <w:pStyle w:val="NormalHanging12a"/>
      </w:pPr>
      <w:r w:rsidRPr="00EC453D">
        <w:t>T.</w:t>
      </w:r>
      <w:r w:rsidRPr="00EC453D">
        <w:tab/>
        <w:t>kadangi nepriklausomos serbų organizacijos, smerkiančios pažeidimus per paskutinius rinkimus, patiria nuolatinius vyriausybės pareigūnų išpuolius; kadangi, nepaisant to, kad jos pateikė daug konkrečių įrodymų, rodančių, kad per rinkimus buvo sukčiaujama, Serbijos valdžios institucijos iki šiol atsisakė tirti šiuos teiginius dėl pažeidimų ir vietoj to bandė diskredituoti ir įbauginti rinkimų stebėtojus, paskelbusius informaciją apie pažeidimus; kadangi nuo rinkimų pradžios pagrindiniai Serbijos politikai, įskaitant prezidentą, nepagrįstai šmeižia Europos Parlamento narius ir kitus tarptautinės rinkimų stebėjimo misijos narius;</w:t>
      </w:r>
    </w:p>
    <w:p w:rsidR="00551F18" w:rsidRPr="00EC453D" w:rsidRDefault="00551F18" w:rsidP="00551F18">
      <w:pPr>
        <w:pStyle w:val="NormalHanging12a"/>
      </w:pPr>
      <w:r w:rsidRPr="00EC453D">
        <w:t>U.</w:t>
      </w:r>
      <w:r w:rsidRPr="00EC453D">
        <w:tab/>
        <w:t>kadangi rinkimų, ypač savivaldos rinkimų Belgrade, rezultatai buvo užginčyti opozicijos, dėl to kilo masinės taikios demonstracijos, jas pradėjo opozicijos koalicija „Serbija prieš smurtą“ ir nepartinė asociacija „ProGlas“, per demonstracijas reikalaujama panaikinti rinkimų rezultatus ir surengti naują balsavimą; kadangi respublikinė rinkimų komisija atmetė opozicijos skundus; kadangi opozicija, kilus įtarimams dėl plačiai paplitusio sukčiavimo, paragino Konstituciniame Teisme panaikinti rinkimų rezultatus;</w:t>
      </w:r>
    </w:p>
    <w:p w:rsidR="00551F18" w:rsidRPr="00EC453D" w:rsidRDefault="00551F18" w:rsidP="00551F18">
      <w:pPr>
        <w:pStyle w:val="NormalHanging12a"/>
      </w:pPr>
      <w:r w:rsidRPr="00EC453D">
        <w:t>V.</w:t>
      </w:r>
      <w:r w:rsidRPr="00EC453D">
        <w:tab/>
        <w:t>kadangi 2023 m. gruodžio 24 d. kilęs protestas tapo smurtiniu, kai kai kurie protestuotojai įsiveržė į Belgrado miesto asamblėją, o po to policija sulaikė 38 žmones, taip pat studentus, visiems jiems pradėta baudžiamoji teisena už pasipriešinimą konstitucinei tvarkai, kai kuriems iš jų vis dar paskirtas namų areštas; kadangi keletas taikių demonstrantų nurodė, jog į demonstracijas įsiskverbė kaukėti chuliganai; kadangi taikūs demonstrantai taip pat pasmerkė tai, kad policija neproporcingai naudojo smurtą;</w:t>
      </w:r>
    </w:p>
    <w:p w:rsidR="00551F18" w:rsidRPr="00EC453D" w:rsidRDefault="00551F18" w:rsidP="00551F18">
      <w:pPr>
        <w:pStyle w:val="NormalHanging12a"/>
      </w:pPr>
      <w:r w:rsidRPr="00EC453D">
        <w:t>W.</w:t>
      </w:r>
      <w:r w:rsidRPr="00EC453D">
        <w:tab/>
        <w:t>kadangi per pastarąjį dešimtmetį nuo prezidento A. Vučićiaus atėjimo į valdžią Serbijoje nuolat traukiasi žiniasklaidos laisvė: tai išduoda politinis spaudimas, grasinimai žurnalistams ir prieš juos netgi vykdomi fiziniai išpuoliai; kadangi organizacija „Žurnalistai be sienų“ Serbiją įvertino kaip vieną iš žemiausią reitingą Europoje turinčių šalių pagal Pasaulio spaudos laisvės indeksą, o 2023 m. šalis nukrito 12 vietų iki 91-os vietos;</w:t>
      </w:r>
    </w:p>
    <w:p w:rsidR="00551F18" w:rsidRPr="00EC453D" w:rsidRDefault="00551F18" w:rsidP="00551F18">
      <w:pPr>
        <w:pStyle w:val="NormalHanging12a"/>
      </w:pPr>
      <w:r w:rsidRPr="00EC453D">
        <w:t>X.</w:t>
      </w:r>
      <w:r w:rsidRPr="00EC453D">
        <w:tab/>
        <w:t xml:space="preserve">kadangi teisinė valstybė ir tinkamas Serbijos demokratinių institucijų veikimas tebėra </w:t>
      </w:r>
      <w:r w:rsidRPr="00EC453D">
        <w:lastRenderedPageBreak/>
        <w:t>vienas pagrindinių Serbijos stojimo į ES proceso uždavinių;</w:t>
      </w:r>
    </w:p>
    <w:p w:rsidR="00551F18" w:rsidRPr="00EC453D" w:rsidRDefault="00551F18" w:rsidP="00551F18">
      <w:pPr>
        <w:pStyle w:val="NormalHanging12a"/>
      </w:pPr>
      <w:r w:rsidRPr="00EC453D">
        <w:t>1.</w:t>
      </w:r>
      <w:r w:rsidRPr="00EC453D">
        <w:tab/>
        <w:t>apgailestauja, kad per 2023 m. gruodžio 17 d. surengtus Serbijos parlamento ir vietos rinkimus buvo nukrypta nuo tarptautinių standartų ir Serbijos įsipareigojimų rengti laisvus ir sąžiningus rinkimus, nes valdžioje esantys politikai nuolat sistemingai piktnaudžiauja institucijomis ir žiniasklaidos priemonėmis, kad įgytų nesąžiningą ir nederamą pranašumą; mano, kad šių rinkimų negalima laikyti sąžiningais; nerimą kelia pranešimai apie plačiai paplitusį ir sistemingą sukčiavimo mastą – tai pakenkė rinkimų Serbijoje sąžiningumui;</w:t>
      </w:r>
    </w:p>
    <w:p w:rsidR="00551F18" w:rsidRPr="00EC453D" w:rsidRDefault="00551F18" w:rsidP="00551F18">
      <w:pPr>
        <w:pStyle w:val="NormalHanging12a"/>
      </w:pPr>
      <w:r w:rsidRPr="00EC453D">
        <w:t>2.</w:t>
      </w:r>
      <w:r w:rsidRPr="00EC453D">
        <w:tab/>
        <w:t>pažymi, jog tarptautinė rinkimų stebėjimo misija nurodė, kad rinkimai vyko sklandžiai, tačiau rinkimų dieną nustatyta nemažai procedūrinių pažeidimų, įskaitant netinkamą apsaugos priemonių taikymą balsavimo ir balsų skaičiavimo metu, dažnus balsavimo apylinkių perpildymo atvejus, balsavimo slaptumo pažeidimus ir daugybę grupinio balsavimo atvejų; reiškia didelį susirūpinimą dėl šių pažeidimų ir bendros rinkimų aplinkos, kuri neatitiko standartų, kurių tikimasi iš ES šalies kandidatės; primena Serbijos valdžios institucijoms, kad tinkamas Serbijos demokratinių institucijų veikimas yra Serbijos stojimo į ES proceso ir stojimo į ES metodikos pagrindas;</w:t>
      </w:r>
    </w:p>
    <w:p w:rsidR="00551F18" w:rsidRPr="00EC453D" w:rsidRDefault="00551F18" w:rsidP="00551F18">
      <w:pPr>
        <w:pStyle w:val="NormalHanging12a"/>
      </w:pPr>
      <w:r w:rsidRPr="00EC453D">
        <w:t>3.</w:t>
      </w:r>
      <w:r w:rsidRPr="00EC453D">
        <w:tab/>
        <w:t>su dideliu susirūpinimu atkreipia dėmesį į gausius tarptautinių ir vietos stebėtojų surinktus įrodymus, rodančius veiklą iki rinkimų dienos ir jų metu, kuri galėjo pakeisti rinkimų rezultatus ir, visų pirma, labai paveikti Belgrado vietos savivaldos rinkimų rezultatus, be to, rimtai pakenkti parlamento rinkimų teisėtumui;</w:t>
      </w:r>
    </w:p>
    <w:p w:rsidR="00551F18" w:rsidRPr="00EC453D" w:rsidRDefault="00551F18" w:rsidP="00551F18">
      <w:pPr>
        <w:pStyle w:val="NormalHanging12a"/>
      </w:pPr>
      <w:r w:rsidRPr="00EC453D">
        <w:t>4.</w:t>
      </w:r>
      <w:r w:rsidRPr="00EC453D">
        <w:tab/>
        <w:t xml:space="preserve">ragina gerbiamus tarptautinius teisės ekspertus ir institucijas atlikti nepriklausomą tarptautinį parlamento, regionų ir savivaldos rinkimų pažeidimų tyrimą, ypač daug dėmesio skiriant Belgrado miesto asamblėjos rinkimams, nes tam tikri įtarimai, įskaitant susijusius su organizuota rinkėjų migracija vietos lygmeniu, rodo viršytą ESBO ODIHR ataskaitose nurodytą aprėptį; pritaria pasiūlymui į Serbiją skubiai nusiųsti </w:t>
      </w:r>
      <w:r w:rsidRPr="00EC453D">
        <w:rPr>
          <w:i/>
          <w:iCs/>
        </w:rPr>
        <w:t>ad hoc</w:t>
      </w:r>
      <w:r w:rsidRPr="00EC453D">
        <w:t xml:space="preserve"> faktų nustatymo misiją, kurioje dalyvautų Parlamentas;</w:t>
      </w:r>
    </w:p>
    <w:p w:rsidR="00551F18" w:rsidRPr="00EC453D" w:rsidRDefault="00551F18" w:rsidP="00551F18">
      <w:pPr>
        <w:pStyle w:val="NormalHanging12a"/>
      </w:pPr>
      <w:r w:rsidRPr="00EC453D">
        <w:t>5.</w:t>
      </w:r>
      <w:r w:rsidRPr="00EC453D">
        <w:tab/>
        <w:t>primygtinai ragina Komisiją imtis iniciatyvos siųsti ekspertų misiją į Serbiją siekiant įvertinti padėtį, susijusią su neseniai įvykusiais rinkimais ir porinkiminiais pokyčiais, kad būtų galima sudaryti palankesnes sąlygas būtino visuomenės dialogo užmezgimui ir taip būtų atkurtas visuomenės tikėjimas ir pasitikėjimas institucijomis, taip pat įvertinti bei spręsti sisteminius teisinės valstybės klausimus Serbijoje, atsižvelgiant į „Priebe Reports“ pavyzdį;</w:t>
      </w:r>
    </w:p>
    <w:p w:rsidR="00551F18" w:rsidRPr="00EC453D" w:rsidRDefault="00551F18" w:rsidP="00551F18">
      <w:pPr>
        <w:pStyle w:val="NormalHanging12a"/>
      </w:pPr>
      <w:r w:rsidRPr="00EC453D">
        <w:t>6.</w:t>
      </w:r>
      <w:r w:rsidRPr="00EC453D">
        <w:tab/>
        <w:t>apgailestauja, jog institucijos nereaguoja į rimtus įtarimus, kad valdžioje esantys politikai manipuliavo ir piktnaudžiavo rinkimais, o tai prisideda prie nebaudžiamumo atmosferos ir užtikrina, kad ši praktika būtų tęsiama toliau; susirūpinęs pažymi, kad kai kurie rinkimų pažeidimai, padaryti iki 2023 m. gruodžio mėn. rinkimų, gali būti vertinami kaip galimas Serbijos įstatymų ir jos Konstitucijos pažeidimas; pabrėžia, kad, jeigu šią praktiką bus leidžiama tęsti nesulaukiant padarinių, ji ir toliau mažins pasitikėjimą Serbijos rinkimų procesu ir institucijomis, galutinai sutrukdydama demokratiniam valdymui ir tolesnei integracijai į Europą; pabrėžia, kad svarbu nuodugniai ištirti visus su rinkimais susijusius skundus, taip pat neseniai pateiktą prašymą panaikinti 2023 m. gruodžio 17 d. Belgrado miesto asamblėjos rinkimų rezultatus, šį skundą Konstituciniam Teismui pateikė koalicijos „Serbija prieš smurtą“ pareigūnas;</w:t>
      </w:r>
    </w:p>
    <w:p w:rsidR="00551F18" w:rsidRPr="00EC453D" w:rsidRDefault="00551F18" w:rsidP="00551F18">
      <w:pPr>
        <w:pStyle w:val="NormalHanging12a"/>
      </w:pPr>
      <w:r w:rsidRPr="00EC453D">
        <w:t>7.</w:t>
      </w:r>
      <w:r w:rsidRPr="00EC453D">
        <w:tab/>
        <w:t xml:space="preserve">smerkia tai, kad nevykdomas baudžiamasis persekiojimas ir netaikomos sankcijos už </w:t>
      </w:r>
      <w:r w:rsidRPr="00EC453D">
        <w:lastRenderedPageBreak/>
        <w:t>nusikalstamas veikas per rinkimus, įskaitant rimtus įtarimus, kad neteisėtai manipuliuota rinkėjų registru ir balsavimo teisėmis, darytas spaudimas piliečiams ir rinkimų kandidatams bei jie bauginti, užsiimta korupcine veikla, klastoti piliečių parašai, naudotasi klientelizmu, neleistinai ir neteisėtai piktnaudžiauta piliečių duomenimis, piktnaudžiauta valstybės tarnyba ir nėra veiksmingų mechanizmų, kuriuos taikant būtų galima užkirsti kelią valdžioje esantiems politikams įgyti nesąžiningą institucinį pranašumą per rinkimus;</w:t>
      </w:r>
    </w:p>
    <w:p w:rsidR="00551F18" w:rsidRPr="00EC453D" w:rsidRDefault="00551F18" w:rsidP="00551F18">
      <w:pPr>
        <w:pStyle w:val="NormalHanging12a"/>
      </w:pPr>
      <w:r w:rsidRPr="00EC453D">
        <w:t>8.</w:t>
      </w:r>
      <w:r w:rsidRPr="00EC453D">
        <w:tab/>
        <w:t>primygtinai ragina Serbijos valdžios institucijas tirti per rinkimus vykdytas visas nusikalstamas veikas, išpuolius prieš studentus, pradėti už jas ir juos baudžiamąjį persekiojimą ir įvykdyti teisingumą juos ir jas padariusiems asmenims;</w:t>
      </w:r>
    </w:p>
    <w:p w:rsidR="00551F18" w:rsidRPr="00EC453D" w:rsidRDefault="00551F18" w:rsidP="00551F18">
      <w:pPr>
        <w:pStyle w:val="NormalHanging12a"/>
      </w:pPr>
      <w:r w:rsidRPr="00EC453D">
        <w:t>9.</w:t>
      </w:r>
      <w:r w:rsidRPr="00EC453D">
        <w:tab/>
        <w:t>smerkia Serbijos pareigūnų organizuotus išpuolius prieš rinkimų stebėtojus, įskaitant Europos Parlamento narius, ir ragina grįžti prie pagarbaus ir konstruktyvaus diskurso, pabrėžia abipusės pagarbos demokratiniame procese svarbą; yra giliai susirūpinęs dėl bandymų diskredituoti ir bauginti stebėtojus; primygtinai ragina Serbijos valdžios institucijas imtis visų reikiamų veiksmų, kad būtų išvengta tolesnių dezinformacijos kampanijų prieš rinkimų stebėtojus, būtų sudarytos sąlygos nacionaliniams ir tarptautiniams rinkimų stebėtojams faktiškai atlikti savo darbą ir jie būtų apsaugoti nuo bet kokio smurto, grasinimų, atsakomųjų veiksmų, priešiškos diskriminacijos, spaudimo ar kokių nors kitų veiksmų, atliekamų už tai, kad šie asmenys teisėtai naudojasi savo teisėmis ir laisvėmis; palankiai vertina Mokslinių tyrimų, skaidrumo ir atskaitomybės centro (CRTA) ir Laisvų rinkimų ir demokratijos centro (CESID) vietos stebėtojų darbą;</w:t>
      </w:r>
    </w:p>
    <w:p w:rsidR="00551F18" w:rsidRPr="00EC453D" w:rsidRDefault="00551F18" w:rsidP="00551F18">
      <w:pPr>
        <w:pStyle w:val="NormalHanging12a"/>
      </w:pPr>
      <w:r w:rsidRPr="00EC453D">
        <w:t>10.</w:t>
      </w:r>
      <w:r w:rsidRPr="00EC453D">
        <w:tab/>
        <w:t>yra susirūpinęs dėl tam tikrų kategorijų piliečių, įskaitant piliečius Belgrade ir pietų Serbijoje, gyvenamosios vietos adresų pripažinimo „neaktyviais“ – dėl to jie netenka teisės balsuoti; ragina atsakingas valdžios institucijas nedelsiant ištaisyti šiuos sunkius rinkimų teisių pažeidimus;</w:t>
      </w:r>
    </w:p>
    <w:p w:rsidR="00551F18" w:rsidRPr="00EC453D" w:rsidRDefault="00551F18" w:rsidP="00551F18">
      <w:pPr>
        <w:pStyle w:val="NormalHanging12a"/>
      </w:pPr>
      <w:r w:rsidRPr="00EC453D">
        <w:t>11.</w:t>
      </w:r>
      <w:r w:rsidRPr="00EC453D">
        <w:tab/>
        <w:t>primygtinai ragina Serbijos Respubliką spręsti susirūpinimą keliančius klausimus dėl tautinių mažumų dalyvavimo rinkimų procese, užtikrinant nuoseklų mažumos statuso kriterijų taikymą ir sprendžiant su spaudimu ir balsų pirkimu susijusias problemas;</w:t>
      </w:r>
    </w:p>
    <w:p w:rsidR="00551F18" w:rsidRPr="00EC453D" w:rsidRDefault="00551F18" w:rsidP="00551F18">
      <w:pPr>
        <w:pStyle w:val="NormalHanging12a"/>
      </w:pPr>
      <w:r w:rsidRPr="00EC453D">
        <w:t>12.</w:t>
      </w:r>
      <w:r w:rsidRPr="00EC453D">
        <w:tab/>
        <w:t>ragina Serbijos valdžios institucijas pateikti institucinius sprendimus dabartinėms problemoms spręsti; ragina Serbijos parlamentą ir vyriausybę itin stengtis veikti veiksmingai, nesivaikant nuolatinio kampanijų ciklo ir dažnų trumpų rinkimų;</w:t>
      </w:r>
    </w:p>
    <w:p w:rsidR="00551F18" w:rsidRPr="00EC453D" w:rsidRDefault="00551F18" w:rsidP="00551F18">
      <w:pPr>
        <w:pStyle w:val="NormalHanging12a"/>
      </w:pPr>
      <w:r w:rsidRPr="00EC453D">
        <w:t>13.</w:t>
      </w:r>
      <w:r w:rsidRPr="00EC453D">
        <w:tab/>
        <w:t>primygtinai ragina Serbijos valdžios institucijas atkurti rinkėjų pasitikėjimą visu procesu, nustatyti visiškai skaidrias rinkimų procedūras ir užtikrinti valdžios institucijų atskaitomybę už rinkimų organizavimą ar kišimąsi į juos; ragina Serbijos valdžios institucijas visapusiškai ir iš esmės bendradarbiauti su ODIHR, ES ir Europos Taryba, kad būtų sudarytos palankios sąlygos įtraukiam procesui ir atitinkamai būtų sustiprintos su rinkimais susijusios teisės ir laisvės, institucijos ir procesai, dalyvaujant šalies vidaus rinkimų stebėtojams ir politinėms partijoms; palankiai vertina visus tikrus veiksmus šia linkme;</w:t>
      </w:r>
    </w:p>
    <w:p w:rsidR="00551F18" w:rsidRPr="00EC453D" w:rsidRDefault="00551F18" w:rsidP="00551F18">
      <w:pPr>
        <w:pStyle w:val="NormalHanging12a"/>
      </w:pPr>
      <w:r w:rsidRPr="00EC453D">
        <w:t>14.</w:t>
      </w:r>
      <w:r w:rsidRPr="00EC453D">
        <w:tab/>
        <w:t xml:space="preserve">susirūpinęs pažymi, kad Serbija neįgyvendino daugelio ilgalaikių ESBO ODIHR rekomendacijų svarbiausiais rinkimų proceso klausimais, nors jis, taip pat Komisija, ne kartą primygtinai ragino tai padaryti; atkreipia dėmesį į naujausius pakeitimus, kuriais selektyviai atsižvelgta į kai kurias ankstesnes ESBO ODIHR ir Venecijos komisijos rekomendacijas, visų pirma susijusias su rinkimų kampanijų finansavimo teisine </w:t>
      </w:r>
      <w:r w:rsidRPr="00EC453D">
        <w:lastRenderedPageBreak/>
        <w:t>sistema;</w:t>
      </w:r>
    </w:p>
    <w:p w:rsidR="00551F18" w:rsidRPr="00EC453D" w:rsidRDefault="00551F18" w:rsidP="00551F18">
      <w:pPr>
        <w:pStyle w:val="NormalHanging12a"/>
      </w:pPr>
      <w:r w:rsidRPr="00EC453D">
        <w:t>15.</w:t>
      </w:r>
      <w:r w:rsidRPr="00EC453D">
        <w:tab/>
        <w:t>laukia ESBO ODIHR tarptautinės rinkimų stebėjimo misijos galutinės ataskaitos; primygtinai ragina Serbiją įgyvendinti rekomendacijas, pateiktas 2022 m. gruodžio 19 d. Venecijos komisijos ir ESBO ODIHR bendroje nuomonėje dėl konstitucinės ir teisinės sistemos, kuria reglamentuojamas demokratinių institucijų veikimas Serbijoje, konsultuojantis su specializuotomis pilietinės visuomenės organizacijomis ir gerokai prieš kitus rinkimus, siekiant užkirsti kelią naujiems pažeidimams ir sukčiavimui, kartu užtikrinant demokratinį šalies funkcionavimą, visų pirma rekomendacijas, susijusias su konkuruojančių kandidatų galimybe pasisakyti žiniasklaidoje, didesniu kampanijų finansavimo skaidrumu ir atskaitomybe, priemonėmis, kuriomis kovojama su spaudimu rinkėjams ir piktnaudžiavimu administraciniais ištekliais;</w:t>
      </w:r>
    </w:p>
    <w:p w:rsidR="00551F18" w:rsidRPr="00EC453D" w:rsidRDefault="00551F18" w:rsidP="00551F18">
      <w:pPr>
        <w:pStyle w:val="NormalHanging12a"/>
      </w:pPr>
      <w:r w:rsidRPr="00EC453D">
        <w:t>16.</w:t>
      </w:r>
      <w:r w:rsidRPr="00EC453D">
        <w:tab/>
        <w:t>ragina Serbiją įgyvendinti ESBO ODIHR rekomendaciją atlikti išsamų bendro rinkėjų sąrašo auditą, kad būtų galima pašalinti abejones dėl jo tikslumo, įskaitant įtarimus dėl rinkėjų migracijos ir mirusių asmenų įrašų; yra susirūpinęs dėl įtarimų, kad bendrame rinkėjų sąraše jau užfiksuotas žymus rinkėjų skaičiaus padidėjimas miestuose, kuriuose vėliau 2024 m. vyks vietos rinkimai;</w:t>
      </w:r>
    </w:p>
    <w:p w:rsidR="00551F18" w:rsidRPr="00EC453D" w:rsidRDefault="00551F18" w:rsidP="00551F18">
      <w:pPr>
        <w:pStyle w:val="NormalHanging12a"/>
      </w:pPr>
      <w:r w:rsidRPr="00EC453D">
        <w:t>17.</w:t>
      </w:r>
      <w:r w:rsidRPr="00EC453D">
        <w:tab/>
        <w:t>primygtinai ragina respublikinę rinkimų komisiją imtis būtinų veiksmų siekiant išspręsti problemas dėl jos veikimo skaidrumo ir veiksmingumo, įskaitant stebėjimo rezultatų skelbimą laiku kampanijos laikotarpiu;</w:t>
      </w:r>
    </w:p>
    <w:p w:rsidR="00551F18" w:rsidRPr="00EC453D" w:rsidRDefault="00551F18" w:rsidP="00551F18">
      <w:pPr>
        <w:pStyle w:val="NormalHanging12a"/>
      </w:pPr>
      <w:r w:rsidRPr="00EC453D">
        <w:t>18.</w:t>
      </w:r>
      <w:r w:rsidRPr="00EC453D">
        <w:tab/>
        <w:t>smerkia žiniasklaidos pliuralizmo nebuvimą rinkimų kampanijos metu, taip pat diskriminaciją ir plačiai paplitusius neetiškus ir šališkus žiniasklaidos pranešimus, naudingus valdžioje esantiems politikams; susirūpinęs pažymi, kad vyriausybė daro įtaką daugeliui žiniasklaidos priemonių arba jas kontroliuoja, todėl rinkimų kampanijos metu opozicijos kandidatams buvo sudarytos nevienodos sąlygos; smerkia vyriausybei artimų žiniasklaidos priemonių išpuolius prieš kritišką nuomonę reiškiančius žurnalistus; apgailestauja dėl Serbijos prezidento veiklos viešinimo itin dideliu mastu prieš rinkimų kampaniją ir jos metu, nes tokiu būdu buvo nutrintos ribos tarp prezidento institucijos, valstybės ir valdžioje esančios politinės partijos;</w:t>
      </w:r>
    </w:p>
    <w:p w:rsidR="00551F18" w:rsidRPr="00EC453D" w:rsidRDefault="00551F18" w:rsidP="00551F18">
      <w:pPr>
        <w:pStyle w:val="NormalHanging12a"/>
      </w:pPr>
      <w:r w:rsidRPr="00EC453D">
        <w:t>19.</w:t>
      </w:r>
      <w:r w:rsidRPr="00EC453D">
        <w:tab/>
        <w:t>yra susirūpinęs dėl to, kad, nepaisant naujų įstatymų dėl elektroninės žiniasklaidos, viešosios informacijos ir žiniasklaidos, pablogėjo sąlygos ir pliuralizmo padėtis žiniasklaidos sektoriuje; labai apgailestauja, kad Elektroninės žiniasklaidos reguliavimo institucija nevykdė įstatyme numatytų savo pareigų tikrinti kampaniją žiniasklaidoje, pranešti apie savo nustatytus faktus ir skirti sankcijas žiniasklaidos priemonėms, kurios pažeidė teisės aktus, skleidė neapykantos kalbas arba pažeidė žurnalistikos normas; susirūpinęs pažymi, kad Elektroninės žiniasklaidos reguliavimo institucija paskelbė tik su visuomeniniu transliuotoju ir privačiais kabeliniais kanalais, bet ne su privačiais nacionaliniais kanalais, kurie palaiko valdančiąją partiją, susijusius stebėjimo rezultatus;</w:t>
      </w:r>
    </w:p>
    <w:p w:rsidR="00551F18" w:rsidRPr="00EC453D" w:rsidRDefault="00551F18" w:rsidP="00551F18">
      <w:pPr>
        <w:pStyle w:val="NormalHanging12a"/>
      </w:pPr>
      <w:r w:rsidRPr="00EC453D">
        <w:t>20.</w:t>
      </w:r>
      <w:r w:rsidRPr="00EC453D">
        <w:tab/>
        <w:t xml:space="preserve">reiškia susirūpinimą dėl piktavališkų išpuolių, užgaulios kalbos ir persekiojimo, nukreiptų prieš žurnalistus, žmogaus teisių aktyvistus ir pilietinės visuomenės organizacijas ir kai kuriais atvejais vykdytų vyriausybės pareigūnų, ypač prieš rinkimus; primygtinai ragina Serbijos valdžios institucijas pasipriešinti užsienio šalių kišimosi ir dezinformavimo kampanijoms, gerokai pagerinti nepriklausomos žurnalistikos apsaugą ir užtikrinti skaidrią žiniasklaidos aplinką; pabrėžia, jog ES institucijos privalo dėti daugiau pastangų, kad būtų apsaugotos Serbijos žurnalistų ir žiniasklaidos teisės ir laisvės; pažymi, kad galimybė gauti pasirengimo narystei finansavimą turėtų būti naudojama kaip priemonė siekiant sustabdyti tolesnį žiniasklaidos laisvės padėties </w:t>
      </w:r>
      <w:r w:rsidRPr="00EC453D">
        <w:lastRenderedPageBreak/>
        <w:t>blogėjimą;</w:t>
      </w:r>
    </w:p>
    <w:p w:rsidR="00551F18" w:rsidRPr="00EC453D" w:rsidRDefault="00551F18" w:rsidP="00551F18">
      <w:pPr>
        <w:pStyle w:val="NormalHanging12a"/>
      </w:pPr>
      <w:r w:rsidRPr="00EC453D">
        <w:t>21.</w:t>
      </w:r>
      <w:r w:rsidRPr="00EC453D">
        <w:tab/>
        <w:t xml:space="preserve">ragina reformuoti kampanijos priežiūros mechanizmų, be kita ko, Korupcijos prevencijos agentūros ir </w:t>
      </w:r>
      <w:r w:rsidRPr="00EC453D">
        <w:rPr>
          <w:i/>
          <w:iCs/>
        </w:rPr>
        <w:t>ad hoc</w:t>
      </w:r>
      <w:r w:rsidRPr="00EC453D">
        <w:t xml:space="preserve"> kampanijos priežiūros komiteto, veiksmingumą, siekiant užtikrinti, kad skundai, susiję su netinkamu viešųjų išteklių naudojimu, būtų išnagrinėti laiku ir skaidriai;</w:t>
      </w:r>
    </w:p>
    <w:p w:rsidR="00551F18" w:rsidRPr="00EC453D" w:rsidRDefault="00551F18" w:rsidP="00551F18">
      <w:pPr>
        <w:pStyle w:val="NormalHanging12a"/>
      </w:pPr>
      <w:r w:rsidRPr="00EC453D">
        <w:t>22.</w:t>
      </w:r>
      <w:r w:rsidRPr="00EC453D">
        <w:tab/>
        <w:t>pabrėžia, kad Serbijoje, kaip narystės ES siekiančioje šalyje kandidatėje, trūksta tinkamai įgyvendintų pagrindinių Europos ir tarptautinių demokratijos standartų; ragina Serbijos valdžios institucijas užtikrinti pakankamas demokratines garantijas, kad būtų galima surengti kitus eilinius vietos valdžios rinkimus 2024 m., taip pat būsimus rinkimus;</w:t>
      </w:r>
    </w:p>
    <w:p w:rsidR="00551F18" w:rsidRPr="00EC453D" w:rsidRDefault="00551F18" w:rsidP="00551F18">
      <w:pPr>
        <w:pStyle w:val="NormalHanging12a"/>
      </w:pPr>
      <w:r w:rsidRPr="00EC453D">
        <w:t>23.</w:t>
      </w:r>
      <w:r w:rsidRPr="00EC453D">
        <w:tab/>
        <w:t>pažymi, kad per pastaruosius 12 metų visi Serbijos parlamentai, išskyrus vieną, buvo paleisti anksčiau laiko ir kad tolesni nereikalingi pirmalaikiai rinkimai kenkia politiniam stabilumui; pabrėžia, kad nuolatiniai pirmalaikiai rinkimai, nuolatinis rinkiminės agitacijos režimas ir ilgai trunkantis vyriausybių formavimas neprisideda prie veiksmingo demokratinio šalies valdymo, o vietoj to silpnina Parlamentą bei lemia parlamentinės teisėkūros priežiūros ir legitimumo stoką;</w:t>
      </w:r>
    </w:p>
    <w:p w:rsidR="00551F18" w:rsidRPr="00EC453D" w:rsidRDefault="00551F18" w:rsidP="00551F18">
      <w:pPr>
        <w:pStyle w:val="NormalHanging12a"/>
      </w:pPr>
      <w:r w:rsidRPr="00EC453D">
        <w:t>24.</w:t>
      </w:r>
      <w:r w:rsidRPr="00EC453D">
        <w:tab/>
        <w:t>pabrėžia žodžio laisvės svarbą ir pripažįsta, kad kiekvienas turi teisę reikšti savo nuomonę ir dalyvauti taikiuose protestuose; atsižvelgdamas į tai, smerkia neproporcingą policijos smurto naudojimą prieš taikius demonstrantus, kurie protestuoja prieš rinkimų klastojimą; yra susirūpinęs dėl įtarimų, kad protestuose dalyvauja provokatoriai, siekiantys išprovokuoti policijos įsikišimą; yra susirūpinęs dėl vertinimų, kad policijos ir teisminių institucijų atstovai neproporcingai griežtai elgėsi su kai kuriais 2023 m. gruodžio 24 d. protesto dalyviais, nes tai visiškai prieštarauja Serbijos policijos praktikai, taikytai ankstesnių šalyje vykusių protestų atvejais; primygtinai ragina ES ir valstybių narių diplomatines atstovybes toliau stebėti iškeltas su protestais susijusias teismo bylas;</w:t>
      </w:r>
    </w:p>
    <w:p w:rsidR="00551F18" w:rsidRPr="00EC453D" w:rsidRDefault="00551F18" w:rsidP="00551F18">
      <w:pPr>
        <w:pStyle w:val="NormalHanging12a"/>
      </w:pPr>
      <w:r w:rsidRPr="00EC453D">
        <w:t>25.</w:t>
      </w:r>
      <w:r w:rsidRPr="00EC453D">
        <w:tab/>
        <w:t>griežtai smerkia nepagrįstus Serbijos valdžios institucijų teiginius, kad į protestų organizavimą po rinkimų buvo įsitraukusios ES valstybės narės; apgailestauja dėl to, kad protestai buvo panaudoti kaip pretekstas prieš ES nukreiptiems naratyvams valdančiajai partijai palankioje žiniasklaidoje skleisti;</w:t>
      </w:r>
    </w:p>
    <w:p w:rsidR="00551F18" w:rsidRPr="00EC453D" w:rsidRDefault="00551F18" w:rsidP="00551F18">
      <w:pPr>
        <w:pStyle w:val="NormalHanging12a"/>
      </w:pPr>
      <w:r w:rsidRPr="00EC453D">
        <w:t>26.</w:t>
      </w:r>
      <w:r w:rsidRPr="00EC453D">
        <w:tab/>
        <w:t xml:space="preserve">apgailestauja dėl to, kad Komisija, visų pirma už plėtrą atsakingas Komisijos narys, nepareiškė </w:t>
      </w:r>
      <w:r w:rsidR="00362223" w:rsidRPr="00362223">
        <w:t xml:space="preserve">aštrios </w:t>
      </w:r>
      <w:r w:rsidRPr="00EC453D">
        <w:t>kritikos dėl daugybės įtarimų dėl balsų klastojimo per rinkimus Serbijoje, ir ragina Komisiją nedelsiant pašalinti trūkumus, dėl kurių buvo pateikti šie įtarimai;</w:t>
      </w:r>
      <w:bookmarkStart w:id="7" w:name="_GoBack"/>
      <w:bookmarkEnd w:id="7"/>
    </w:p>
    <w:p w:rsidR="00551F18" w:rsidRPr="00EC453D" w:rsidRDefault="00551F18" w:rsidP="00551F18">
      <w:pPr>
        <w:pStyle w:val="NormalHanging12a"/>
      </w:pPr>
      <w:r w:rsidRPr="00EC453D">
        <w:t>27.</w:t>
      </w:r>
      <w:r w:rsidRPr="00EC453D">
        <w:tab/>
        <w:t xml:space="preserve">pakartoja savo poziciją, kad stojimo derybos su Serbija turėtų būti toliau vykdomos tik tuo atveju, jeigu šalis padarys reikšmingą pažangą vykdant su ES susijusias reformas, be kita ko, visapusiškai įgyvendins ESBO ODIHR ir Venecijos komisijos rekomendacijas; ragina Komisiją ir Tarybą taikyti griežtas sąlygas; ragina Komisiją imtis tolesnių veiksmų nuodugniai atsižvelgiant į Europos Audito Rūmų ataskaitas ir nedelsiant pradėti Serbijos vyriausybei pagal Pasirengimo narystei pagalbos priemonę III (PNPP III) ir kitas finansines priemones suteikto finansavimo auditą; pabrėžia, kad tuo atveju, jei Serbijos valdžios institucijos nenorės įgyvendinti pagrindinių su rinkimais susijusių rekomendacijų arba jei minėtu tyrimu nustatyti faktai parodys, kad Serbijos valdžios institucijos tiesiogiai dalyvavo vykdant įtariamą balsų klastojimą, ragins sustabdyti ES finansavimą dėl sunkių teisinės valstybės principo pažeidimų, susijusių su </w:t>
      </w:r>
      <w:r w:rsidRPr="00EC453D">
        <w:lastRenderedPageBreak/>
        <w:t>rinkimais Serbijoje;</w:t>
      </w:r>
    </w:p>
    <w:p w:rsidR="00551F18" w:rsidRPr="00EC453D" w:rsidRDefault="00551F18" w:rsidP="00551F18">
      <w:pPr>
        <w:pStyle w:val="NormalHanging12a"/>
      </w:pPr>
      <w:r w:rsidRPr="00EC453D">
        <w:t>28.</w:t>
      </w:r>
      <w:r w:rsidRPr="00EC453D">
        <w:tab/>
        <w:t>ketina atidžiai stebėti pokyčius po rinkimų Serbijoje ir įsipareigoja remti reformas, kuriomis stiprinama demokratija ir padedama Serbijai daryti pažangą siekiant narystės ES; atkreipia dėmesį į nuolatines savo pastangas remti politinį pliuralizmą ir įtraukios rinkimų aplinkos Serbijoje stiprinimą, vykdant visą Parlamento veiklą, visų pirma palaikant partijų dialogą ir parlamentinio dialogo procesą; pabrėžia, kad svarbu tęsti partijų dialogą ir parlamentinio dialogo procesą; ragina ES prisidėti sudarant palankesnes sąlygas, kuriomis Serbijoje galėtų vykti prasmingas šalies vyriausybės ir opozicijos dialogas, siekiant išspręsti dabartinės gilios politinės poliarizacijos klausimą; atsižvelgdamas į tai, mano, kad Parlamentas yra tinkamiausia institucija, galinti veikti kaip konstruktyvus tarpininkas;</w:t>
      </w:r>
    </w:p>
    <w:p w:rsidR="00551F18" w:rsidRPr="00EC453D" w:rsidRDefault="00551F18" w:rsidP="00551F18">
      <w:pPr>
        <w:pStyle w:val="NormalHanging12a"/>
      </w:pPr>
      <w:r w:rsidRPr="00EC453D">
        <w:t>29.</w:t>
      </w:r>
      <w:r w:rsidRPr="00EC453D">
        <w:tab/>
        <w:t>paveda Pirmininkei perduoti šią rezoliuciją Europos Vadovų Tarybos pirmininkui, Komisijai, Komisijos pirmininko pavaduotojui ir Sąjungos vyriausiajam įgaliotiniui užsienio reikalams ir saugumo politikai, valstybių narių vyriausybėms ir parlamentams, Serbijos prezidentui, vyriausybei ir Nacionalinei Asamblėjai, ESBO Demokratinių institucijų ir žmogaus teisių biurui, ESBO parlamentinei asamblėjai ir Europos Tarybos Parlamentinei Asamblėjai.</w:t>
      </w:r>
    </w:p>
    <w:p w:rsidR="00E365E1" w:rsidRPr="00EC453D" w:rsidRDefault="00E365E1" w:rsidP="00011FA2">
      <w:bookmarkStart w:id="8" w:name="TextBodyEnd"/>
      <w:bookmarkEnd w:id="8"/>
    </w:p>
    <w:sectPr w:rsidR="00E365E1" w:rsidRPr="00EC453D" w:rsidSect="00EC453D">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1FA2" w:rsidRPr="00EC453D" w:rsidRDefault="00011FA2">
      <w:r w:rsidRPr="00EC453D">
        <w:separator/>
      </w:r>
    </w:p>
  </w:endnote>
  <w:endnote w:type="continuationSeparator" w:id="0">
    <w:p w:rsidR="00011FA2" w:rsidRPr="00EC453D" w:rsidRDefault="00011FA2">
      <w:r w:rsidRPr="00EC453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1FA2" w:rsidRPr="00EC453D" w:rsidRDefault="00011FA2">
      <w:r w:rsidRPr="00EC453D">
        <w:separator/>
      </w:r>
    </w:p>
  </w:footnote>
  <w:footnote w:type="continuationSeparator" w:id="0">
    <w:p w:rsidR="00011FA2" w:rsidRPr="00EC453D" w:rsidRDefault="00011FA2">
      <w:r w:rsidRPr="00EC453D">
        <w:continuationSeparator/>
      </w:r>
    </w:p>
  </w:footnote>
  <w:footnote w:id="1">
    <w:p w:rsidR="00551F18" w:rsidRPr="00EC453D" w:rsidRDefault="00551F18" w:rsidP="00EC453D">
      <w:pPr>
        <w:pStyle w:val="FootnoteText"/>
        <w:ind w:left="567" w:hanging="567"/>
        <w:rPr>
          <w:sz w:val="24"/>
          <w:lang w:val="lt-LT"/>
        </w:rPr>
      </w:pPr>
      <w:r w:rsidRPr="00EC453D">
        <w:rPr>
          <w:rStyle w:val="FootnoteReference"/>
          <w:sz w:val="24"/>
          <w:lang w:val="lt-LT"/>
        </w:rPr>
        <w:footnoteRef/>
      </w:r>
      <w:r w:rsidR="00EC453D" w:rsidRPr="00EC453D">
        <w:rPr>
          <w:sz w:val="24"/>
          <w:lang w:val="lt-LT"/>
        </w:rPr>
        <w:t xml:space="preserve"> </w:t>
      </w:r>
      <w:r w:rsidR="00EC453D" w:rsidRPr="00EC453D">
        <w:rPr>
          <w:sz w:val="24"/>
          <w:lang w:val="lt-LT"/>
        </w:rPr>
        <w:tab/>
      </w:r>
      <w:r w:rsidRPr="00EC453D">
        <w:rPr>
          <w:sz w:val="24"/>
          <w:lang w:val="lt-LT"/>
        </w:rPr>
        <w:t xml:space="preserve">OL C, C/2023/1065, 2023 12 15, ELI: </w:t>
      </w:r>
      <w:hyperlink r:id="rId1" w:history="1">
        <w:r w:rsidRPr="003C429E">
          <w:rPr>
            <w:rStyle w:val="Hyperlink"/>
            <w:sz w:val="24"/>
            <w:lang w:val="lt-LT"/>
          </w:rPr>
          <w:t>http://data.europa.eu/eli/C/2023/1065/oj</w:t>
        </w:r>
      </w:hyperlink>
      <w:r w:rsidRPr="00EC453D">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06, 0108, 0131, 0132, 0133 ir 0134/2024"/>
    <w:docVar w:name="dvlangue" w:val="LT"/>
    <w:docVar w:name="dvnumam" w:val="0"/>
    <w:docVar w:name="dvpe" w:val="756.848"/>
    <w:docVar w:name="dvtitre" w:val="2024 m. vasario 8 d. Europos Parlamento rezoliucija dėl padėties Serbijoje po rinkimų(2024/2521(RSP))"/>
  </w:docVars>
  <w:rsids>
    <w:rsidRoot w:val="00011FA2"/>
    <w:rsid w:val="00002272"/>
    <w:rsid w:val="00011FA2"/>
    <w:rsid w:val="00064002"/>
    <w:rsid w:val="000677B9"/>
    <w:rsid w:val="0007093E"/>
    <w:rsid w:val="000831BA"/>
    <w:rsid w:val="000A267D"/>
    <w:rsid w:val="000A42CC"/>
    <w:rsid w:val="000E7DD9"/>
    <w:rsid w:val="0010095E"/>
    <w:rsid w:val="00125B37"/>
    <w:rsid w:val="00187494"/>
    <w:rsid w:val="001F32AE"/>
    <w:rsid w:val="002767FF"/>
    <w:rsid w:val="002B18FE"/>
    <w:rsid w:val="002B5493"/>
    <w:rsid w:val="00343214"/>
    <w:rsid w:val="00361C00"/>
    <w:rsid w:val="00362223"/>
    <w:rsid w:val="00395FA1"/>
    <w:rsid w:val="003C429E"/>
    <w:rsid w:val="003E15D4"/>
    <w:rsid w:val="00411CCE"/>
    <w:rsid w:val="0041666E"/>
    <w:rsid w:val="00421060"/>
    <w:rsid w:val="00471C19"/>
    <w:rsid w:val="004867E3"/>
    <w:rsid w:val="00494A28"/>
    <w:rsid w:val="004C0004"/>
    <w:rsid w:val="004C5D52"/>
    <w:rsid w:val="00502A29"/>
    <w:rsid w:val="0050519A"/>
    <w:rsid w:val="005072A1"/>
    <w:rsid w:val="00514517"/>
    <w:rsid w:val="00545827"/>
    <w:rsid w:val="00551F18"/>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1F54"/>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270D"/>
    <w:rsid w:val="00BD48FE"/>
    <w:rsid w:val="00BD7BD8"/>
    <w:rsid w:val="00BE6ADC"/>
    <w:rsid w:val="00C05BFE"/>
    <w:rsid w:val="00C23CD4"/>
    <w:rsid w:val="00C61C0C"/>
    <w:rsid w:val="00C941CB"/>
    <w:rsid w:val="00CC2357"/>
    <w:rsid w:val="00CF071A"/>
    <w:rsid w:val="00CF5EFF"/>
    <w:rsid w:val="00D058B8"/>
    <w:rsid w:val="00D56C11"/>
    <w:rsid w:val="00D834A0"/>
    <w:rsid w:val="00D872DF"/>
    <w:rsid w:val="00D91E21"/>
    <w:rsid w:val="00DA7FCD"/>
    <w:rsid w:val="00E365E1"/>
    <w:rsid w:val="00E820A4"/>
    <w:rsid w:val="00EB006A"/>
    <w:rsid w:val="00EB4772"/>
    <w:rsid w:val="00EC453D"/>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F111F4"/>
  <w15:chartTrackingRefBased/>
  <w15:docId w15:val="{556F5E06-8518-4D96-99EE-C67A2E826E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551F18"/>
    <w:pPr>
      <w:spacing w:after="240"/>
      <w:ind w:left="567" w:hanging="567"/>
    </w:pPr>
  </w:style>
  <w:style w:type="paragraph" w:customStyle="1" w:styleId="EPComma">
    <w:name w:val="EPComma"/>
    <w:basedOn w:val="Normal"/>
    <w:rsid w:val="00551F18"/>
    <w:pPr>
      <w:spacing w:before="480" w:after="240"/>
    </w:pPr>
  </w:style>
  <w:style w:type="character" w:customStyle="1" w:styleId="NormalHanging12aChar">
    <w:name w:val="NormalHanging12a Char"/>
    <w:basedOn w:val="DefaultParagraphFont"/>
    <w:link w:val="NormalHanging12a"/>
    <w:locked/>
    <w:rsid w:val="00551F18"/>
    <w:rPr>
      <w:sz w:val="24"/>
      <w:lang w:val="lt-LT"/>
    </w:rPr>
  </w:style>
  <w:style w:type="paragraph" w:styleId="BalloonText">
    <w:name w:val="Balloon Text"/>
    <w:basedOn w:val="Normal"/>
    <w:link w:val="BalloonTextChar"/>
    <w:rsid w:val="003C429E"/>
    <w:rPr>
      <w:rFonts w:ascii="Segoe UI" w:hAnsi="Segoe UI" w:cs="Segoe UI"/>
      <w:sz w:val="18"/>
      <w:szCs w:val="18"/>
    </w:rPr>
  </w:style>
  <w:style w:type="character" w:customStyle="1" w:styleId="BalloonTextChar">
    <w:name w:val="Balloon Text Char"/>
    <w:basedOn w:val="DefaultParagraphFont"/>
    <w:link w:val="BalloonText"/>
    <w:rsid w:val="003C429E"/>
    <w:rPr>
      <w:rFonts w:ascii="Segoe UI" w:hAnsi="Segoe UI" w:cs="Segoe UI"/>
      <w:sz w:val="18"/>
      <w:szCs w:val="18"/>
      <w:lang w:val="lt-LT"/>
    </w:rPr>
  </w:style>
  <w:style w:type="character" w:styleId="Hyperlink">
    <w:name w:val="Hyperlink"/>
    <w:basedOn w:val="DefaultParagraphFont"/>
    <w:rsid w:val="003C429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3/106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E2E387D-F726-4621-A522-43670E9F3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3411</Words>
  <Characters>24282</Characters>
  <Application>Microsoft Office Word</Application>
  <DocSecurity>0</DocSecurity>
  <Lines>202</Lines>
  <Paragraphs>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27638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2024-02-09T09:31:00Z</dcterms:created>
  <dcterms:modified xsi:type="dcterms:W3CDTF">2024-02-09T09:31:00Z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P9_TA(2024)0075_</vt:lpwstr>
  </property>
  <property fmtid="{D5CDD505-2E9C-101B-9397-08002B2CF9AE}" pid="4" name="&lt;Type&gt;">
    <vt:lpwstr>RR</vt:lpwstr>
  </property>
</Properties>
</file>