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4A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4AFC" w:rsidRDefault="00F23EF2" w:rsidP="0010095E">
            <w:pPr>
              <w:pStyle w:val="EPName"/>
            </w:pPr>
            <w:r w:rsidRPr="00404AFC">
              <w:t>Parlament Europejski</w:t>
            </w:r>
          </w:p>
          <w:p w:rsidR="00751A4A" w:rsidRPr="00404A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4A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04AFC" w:rsidRDefault="00187494" w:rsidP="0010095E">
            <w:pPr>
              <w:pStyle w:val="EPLogo"/>
            </w:pPr>
            <w:r w:rsidRPr="00404A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4AFC" w:rsidRDefault="00D058B8" w:rsidP="004C5D52">
      <w:pPr>
        <w:pStyle w:val="LineTop"/>
      </w:pPr>
    </w:p>
    <w:p w:rsidR="00680577" w:rsidRPr="00404AFC" w:rsidRDefault="00F23EF2" w:rsidP="00680577">
      <w:pPr>
        <w:pStyle w:val="EPBodyTA1"/>
      </w:pPr>
      <w:r w:rsidRPr="00404AFC">
        <w:t>TEKSTY PRZYJĘTE</w:t>
      </w:r>
    </w:p>
    <w:p w:rsidR="00D058B8" w:rsidRPr="00404AFC" w:rsidRDefault="00D058B8" w:rsidP="00D058B8">
      <w:pPr>
        <w:pStyle w:val="LineBottom"/>
      </w:pPr>
    </w:p>
    <w:p w:rsidR="00F23EF2" w:rsidRPr="00404AFC" w:rsidRDefault="00F23EF2" w:rsidP="00F23EF2">
      <w:pPr>
        <w:pStyle w:val="ATHeading1"/>
      </w:pPr>
      <w:bookmarkStart w:id="0" w:name="TANumber"/>
      <w:r w:rsidRPr="00404AFC">
        <w:t>P9_TA(2024)00</w:t>
      </w:r>
      <w:bookmarkEnd w:id="0"/>
      <w:r w:rsidR="00F009A9">
        <w:t>75</w:t>
      </w:r>
      <w:bookmarkStart w:id="1" w:name="_GoBack"/>
      <w:bookmarkEnd w:id="1"/>
    </w:p>
    <w:p w:rsidR="00F23EF2" w:rsidRPr="006A754A" w:rsidRDefault="006A754A" w:rsidP="00F23EF2">
      <w:pPr>
        <w:pStyle w:val="ATHeading2"/>
      </w:pPr>
      <w:r w:rsidRPr="006A754A">
        <w:rPr>
          <w:bCs/>
        </w:rPr>
        <w:t>Sytuacja w Serbii w następstwie wyborów</w:t>
      </w:r>
    </w:p>
    <w:p w:rsidR="00F23EF2" w:rsidRPr="00404AFC" w:rsidRDefault="00F23EF2" w:rsidP="00F23EF2">
      <w:pPr>
        <w:rPr>
          <w:i/>
          <w:vanish/>
        </w:rPr>
      </w:pPr>
      <w:r w:rsidRPr="00404AFC">
        <w:rPr>
          <w:i/>
        </w:rPr>
        <w:fldChar w:fldCharType="begin"/>
      </w:r>
      <w:r w:rsidRPr="00404AFC">
        <w:rPr>
          <w:i/>
        </w:rPr>
        <w:instrText xml:space="preserve"> TC"(</w:instrText>
      </w:r>
      <w:bookmarkStart w:id="2" w:name="DocNumber"/>
      <w:r w:rsidRPr="00404AFC">
        <w:rPr>
          <w:i/>
        </w:rPr>
        <w:instrText>B9-0106</w:instrText>
      </w:r>
      <w:r w:rsidR="006A754A">
        <w:rPr>
          <w:i/>
        </w:rPr>
        <w:instrText>, 0108, 0131, 0132, 0133 oraz</w:instrText>
      </w:r>
      <w:proofErr w:type="gramStart"/>
      <w:r w:rsidR="006A754A">
        <w:rPr>
          <w:i/>
        </w:rPr>
        <w:instrText xml:space="preserve"> 0134</w:instrText>
      </w:r>
      <w:r w:rsidRPr="00404AFC">
        <w:rPr>
          <w:i/>
        </w:rPr>
        <w:instrText>/2024</w:instrText>
      </w:r>
      <w:bookmarkEnd w:id="2"/>
      <w:r w:rsidRPr="00404AFC">
        <w:rPr>
          <w:i/>
        </w:rPr>
        <w:instrText>)"\l</w:instrText>
      </w:r>
      <w:proofErr w:type="gramEnd"/>
      <w:r w:rsidRPr="00404AFC">
        <w:rPr>
          <w:i/>
        </w:rPr>
        <w:instrText xml:space="preserve">3 \n&gt; \* MERGEFORMAT </w:instrText>
      </w:r>
      <w:r w:rsidRPr="00404AFC">
        <w:rPr>
          <w:i/>
        </w:rPr>
        <w:fldChar w:fldCharType="end"/>
      </w:r>
    </w:p>
    <w:p w:rsidR="00F23EF2" w:rsidRPr="00404AFC" w:rsidRDefault="00F23EF2" w:rsidP="00F23EF2">
      <w:pPr>
        <w:rPr>
          <w:vanish/>
        </w:rPr>
      </w:pPr>
      <w:bookmarkStart w:id="3" w:name="PE"/>
      <w:r w:rsidRPr="00404AFC">
        <w:rPr>
          <w:vanish/>
        </w:rPr>
        <w:t>PE756.848</w:t>
      </w:r>
      <w:bookmarkEnd w:id="3"/>
    </w:p>
    <w:p w:rsidR="00F23EF2" w:rsidRPr="00404AFC" w:rsidRDefault="00F23EF2" w:rsidP="00F23EF2">
      <w:pPr>
        <w:pStyle w:val="ATHeading3"/>
      </w:pPr>
      <w:bookmarkStart w:id="4" w:name="Sujet"/>
      <w:r w:rsidRPr="00404AFC">
        <w:t xml:space="preserve">Rezolucja Parlamentu Europejskiego z dnia </w:t>
      </w:r>
      <w:r w:rsidR="006A754A">
        <w:t>8 lutego</w:t>
      </w:r>
      <w:r w:rsidRPr="00404AFC">
        <w:t xml:space="preserve"> 2024 r. w sprawie sytuacji w Serbii po wyborach</w:t>
      </w:r>
      <w:bookmarkEnd w:id="4"/>
      <w:r w:rsidRPr="00404AFC">
        <w:t xml:space="preserve"> </w:t>
      </w:r>
      <w:bookmarkStart w:id="5" w:name="References"/>
      <w:r w:rsidRPr="00404AFC">
        <w:t>(2024/2521(RSP))</w:t>
      </w:r>
      <w:bookmarkEnd w:id="5"/>
    </w:p>
    <w:p w:rsidR="00F23EF2" w:rsidRPr="00404AFC" w:rsidRDefault="00F23EF2" w:rsidP="00F23EF2"/>
    <w:p w:rsidR="00C878C9" w:rsidRPr="00404AFC" w:rsidRDefault="00C878C9" w:rsidP="00C878C9">
      <w:pPr>
        <w:pStyle w:val="EPComma"/>
      </w:pPr>
      <w:bookmarkStart w:id="6" w:name="TextBodyBegin"/>
      <w:bookmarkEnd w:id="6"/>
      <w:r w:rsidRPr="00404AFC">
        <w:rPr>
          <w:i/>
        </w:rPr>
        <w:t>Parlament Europejski</w:t>
      </w:r>
      <w:r w:rsidRPr="00404AFC">
        <w:t>,</w:t>
      </w:r>
    </w:p>
    <w:p w:rsidR="00C878C9" w:rsidRPr="00404AFC" w:rsidRDefault="00C878C9" w:rsidP="00C878C9">
      <w:pPr>
        <w:pStyle w:val="NormalHanging12a"/>
      </w:pPr>
      <w:r w:rsidRPr="00404AFC">
        <w:t>–</w:t>
      </w:r>
      <w:r w:rsidRPr="00404AFC">
        <w:tab/>
        <w:t>uwzględniając swoje poprzednie rezolucje w sprawie Serbii, w szczególności rezolucję z 10 maja 2023 r. w sprawie sprawozdania Komisji za rok 2022 dotyczącego Serbii</w:t>
      </w:r>
      <w:r w:rsidRPr="00404AFC">
        <w:rPr>
          <w:rStyle w:val="FootnoteReference"/>
        </w:rPr>
        <w:footnoteReference w:id="1"/>
      </w:r>
      <w:r w:rsidRPr="00404AFC">
        <w:t>,</w:t>
      </w:r>
    </w:p>
    <w:p w:rsidR="00C878C9" w:rsidRPr="00404AFC" w:rsidRDefault="00C878C9" w:rsidP="00C878C9">
      <w:pPr>
        <w:pStyle w:val="NormalHanging12a"/>
      </w:pPr>
      <w:r w:rsidRPr="00404AFC">
        <w:t>–</w:t>
      </w:r>
      <w:r w:rsidRPr="00404AFC">
        <w:tab/>
        <w:t xml:space="preserve">uwzględniając wcześniejsze oświadczenia UE w sprawie Serbii, zwłaszcza wspólne oświadczenie wysokiego przedstawiciela Unii do spraw zagranicznych i polityki bezpieczeństwa </w:t>
      </w:r>
      <w:proofErr w:type="spellStart"/>
      <w:r w:rsidRPr="00404AFC">
        <w:t>Josepa</w:t>
      </w:r>
      <w:proofErr w:type="spellEnd"/>
      <w:r w:rsidRPr="00404AFC">
        <w:t xml:space="preserve"> </w:t>
      </w:r>
      <w:proofErr w:type="spellStart"/>
      <w:r w:rsidRPr="00404AFC">
        <w:t>Borrella</w:t>
      </w:r>
      <w:proofErr w:type="spellEnd"/>
      <w:r w:rsidRPr="00404AFC">
        <w:t xml:space="preserve"> i komisarza do spraw sąsiedztwa i rozszerzenia Olivera </w:t>
      </w:r>
      <w:proofErr w:type="spellStart"/>
      <w:r w:rsidRPr="00404AFC">
        <w:t>Várhelyiego</w:t>
      </w:r>
      <w:proofErr w:type="spellEnd"/>
      <w:r w:rsidRPr="00404AFC">
        <w:t xml:space="preserve"> z 19 grudnia 2023 r. w sprawie wyborów parlamentarnych w Serbii,</w:t>
      </w:r>
    </w:p>
    <w:p w:rsidR="00C878C9" w:rsidRPr="00404AFC" w:rsidRDefault="00C878C9" w:rsidP="00C878C9">
      <w:pPr>
        <w:pStyle w:val="NormalHanging12a"/>
      </w:pPr>
      <w:r w:rsidRPr="00404AFC">
        <w:t>–</w:t>
      </w:r>
      <w:r w:rsidRPr="00404AFC">
        <w:tab/>
        <w:t>uwzględniając oświadczenie zawierające wstępne ustalenia i wnioski międzynarodowej misji obserwacji wyborów na temat przedterminowych wyborów parlamentarnych w Serbii 17 grudnia 2023 r.,</w:t>
      </w:r>
    </w:p>
    <w:p w:rsidR="00C878C9" w:rsidRPr="00404AFC" w:rsidRDefault="00C878C9" w:rsidP="00C878C9">
      <w:pPr>
        <w:pStyle w:val="NormalHanging12a"/>
        <w:rPr>
          <w:snapToGrid w:val="0"/>
        </w:rPr>
      </w:pPr>
      <w:r w:rsidRPr="00404AFC">
        <w:rPr>
          <w:snapToGrid w:val="0"/>
        </w:rPr>
        <w:t>–</w:t>
      </w:r>
      <w:r w:rsidRPr="00404AFC">
        <w:rPr>
          <w:snapToGrid w:val="0"/>
        </w:rPr>
        <w:tab/>
        <w:t>uwzględniając wspólną opinię Organizacji Bezpieczeństwa i Współpracy w Europie (OBWE) / Biura Instytucji Demokratycznych i Praw Człowieka (ODIHR) i Komisji Weneckiej z 19 grudnia 2022 r. w sprawie ram konstytucyjnych i prawnych regulujących funkcjonowanie instytucji demokratycznych w Serbii – prawo wyborcze i administracja wyborcza,</w:t>
      </w:r>
    </w:p>
    <w:p w:rsidR="00C878C9" w:rsidRPr="00404AFC" w:rsidRDefault="00C878C9" w:rsidP="00C878C9">
      <w:pPr>
        <w:pStyle w:val="NormalHanging12a"/>
        <w:rPr>
          <w:snapToGrid w:val="0"/>
        </w:rPr>
      </w:pPr>
      <w:r w:rsidRPr="00404AFC">
        <w:rPr>
          <w:snapToGrid w:val="0"/>
        </w:rPr>
        <w:t>–</w:t>
      </w:r>
      <w:r w:rsidRPr="00404AFC">
        <w:rPr>
          <w:snapToGrid w:val="0"/>
        </w:rPr>
        <w:tab/>
        <w:t>uwzględniając sprawozdanie komisji ad hoc Prezydium Zgromadzenia Parlamentarnego Rady Europy z 17 stycznia 2024 r. w sprawie obserwacji przedterminowych wyborów parlamentarnych w Serbii 17 grudnia 2023 r.,</w:t>
      </w:r>
    </w:p>
    <w:p w:rsidR="00C878C9" w:rsidRPr="00404AFC" w:rsidRDefault="00C878C9" w:rsidP="00C878C9">
      <w:pPr>
        <w:pStyle w:val="NormalHanging12a"/>
        <w:rPr>
          <w:snapToGrid w:val="0"/>
        </w:rPr>
      </w:pPr>
      <w:r w:rsidRPr="00404AFC">
        <w:rPr>
          <w:snapToGrid w:val="0"/>
        </w:rPr>
        <w:t>–</w:t>
      </w:r>
      <w:r w:rsidRPr="00404AFC">
        <w:rPr>
          <w:snapToGrid w:val="0"/>
        </w:rPr>
        <w:tab/>
        <w:t xml:space="preserve">uwzględniając przemówienie w sprawie wyborów w Serbii wygłoszone 17 stycznia 2024 r. na posiedzeniu plenarnym Parlamentu przez komisarza ds. sprawiedliwości </w:t>
      </w:r>
      <w:proofErr w:type="spellStart"/>
      <w:r w:rsidRPr="00404AFC">
        <w:rPr>
          <w:snapToGrid w:val="0"/>
        </w:rPr>
        <w:t>Didiera</w:t>
      </w:r>
      <w:proofErr w:type="spellEnd"/>
      <w:r w:rsidRPr="00404AFC">
        <w:rPr>
          <w:snapToGrid w:val="0"/>
        </w:rPr>
        <w:t xml:space="preserve"> </w:t>
      </w:r>
      <w:proofErr w:type="spellStart"/>
      <w:r w:rsidRPr="00404AFC">
        <w:rPr>
          <w:snapToGrid w:val="0"/>
        </w:rPr>
        <w:t>Reyndersa</w:t>
      </w:r>
      <w:proofErr w:type="spellEnd"/>
      <w:r w:rsidRPr="00404AFC">
        <w:rPr>
          <w:snapToGrid w:val="0"/>
        </w:rPr>
        <w:t xml:space="preserve"> w imieniu wiceprzewodniczącego Komisji / wysokiego przedstawiciela Unii do spraw zagranicznych i polityki bezpieczeństwa </w:t>
      </w:r>
      <w:proofErr w:type="spellStart"/>
      <w:r w:rsidRPr="00404AFC">
        <w:rPr>
          <w:snapToGrid w:val="0"/>
        </w:rPr>
        <w:t>Josepa</w:t>
      </w:r>
      <w:proofErr w:type="spellEnd"/>
      <w:r w:rsidRPr="00404AFC">
        <w:rPr>
          <w:snapToGrid w:val="0"/>
        </w:rPr>
        <w:t xml:space="preserve"> </w:t>
      </w:r>
      <w:proofErr w:type="spellStart"/>
      <w:r w:rsidRPr="00404AFC">
        <w:rPr>
          <w:snapToGrid w:val="0"/>
        </w:rPr>
        <w:t>Borrella</w:t>
      </w:r>
      <w:proofErr w:type="spellEnd"/>
      <w:r w:rsidRPr="00404AFC">
        <w:rPr>
          <w:snapToGrid w:val="0"/>
        </w:rPr>
        <w:t>,</w:t>
      </w:r>
    </w:p>
    <w:p w:rsidR="00C878C9" w:rsidRPr="00404AFC" w:rsidRDefault="00C878C9" w:rsidP="00C878C9">
      <w:pPr>
        <w:pStyle w:val="NormalHanging12a"/>
        <w:rPr>
          <w:snapToGrid w:val="0"/>
        </w:rPr>
      </w:pPr>
      <w:r w:rsidRPr="00404AFC">
        <w:rPr>
          <w:snapToGrid w:val="0"/>
        </w:rPr>
        <w:lastRenderedPageBreak/>
        <w:t>–</w:t>
      </w:r>
      <w:r w:rsidRPr="00404AFC">
        <w:rPr>
          <w:snapToGrid w:val="0"/>
        </w:rPr>
        <w:tab/>
        <w:t>uwzględniając list otwarty w sprawie sytuacji powyborczej w Serbii podpisany przez przewodniczących komisji spraw zagranicznych kilku państw UE,</w:t>
      </w:r>
    </w:p>
    <w:p w:rsidR="00C878C9" w:rsidRPr="00404AFC" w:rsidRDefault="00C878C9" w:rsidP="00C878C9">
      <w:pPr>
        <w:pStyle w:val="NormalHanging12a"/>
      </w:pPr>
      <w:r w:rsidRPr="00404AFC">
        <w:t>–</w:t>
      </w:r>
      <w:r w:rsidRPr="00404AFC">
        <w:tab/>
        <w:t>uwzględniając dialog parlamentarny w Serbii wspierany przez Parlament;</w:t>
      </w:r>
    </w:p>
    <w:p w:rsidR="00C878C9" w:rsidRPr="00404AFC" w:rsidRDefault="00C878C9" w:rsidP="00C878C9">
      <w:pPr>
        <w:pStyle w:val="NormalHanging12a"/>
      </w:pPr>
      <w:r w:rsidRPr="00404AFC">
        <w:t>–</w:t>
      </w:r>
      <w:r w:rsidRPr="00404AFC">
        <w:tab/>
        <w:t>uwzględniając konstytucję Serbii z 2006 r. i ustawę o wyborze posłów do parlamentu z 2022 r.,</w:t>
      </w:r>
    </w:p>
    <w:p w:rsidR="00C878C9" w:rsidRPr="00404AFC" w:rsidRDefault="00C878C9" w:rsidP="00C878C9">
      <w:pPr>
        <w:pStyle w:val="NormalHanging12a"/>
      </w:pPr>
      <w:r w:rsidRPr="00404AFC">
        <w:t>–</w:t>
      </w:r>
      <w:r w:rsidRPr="00404AFC">
        <w:tab/>
        <w:t>uwzględniając sprawozdanie specjalne Europejskiego Trybunału Obrachunkowego nr 01/2022 z 10 stycznia 2022 r. pt. „Wsparcie UE na rzecz praworządności na Bałkanach Zachodnich – pomimo poczynionych wysiłków wciąż występują zasadnicze problemy”,</w:t>
      </w:r>
    </w:p>
    <w:p w:rsidR="00C878C9" w:rsidRPr="00404AFC" w:rsidRDefault="00C878C9" w:rsidP="00C878C9">
      <w:pPr>
        <w:pStyle w:val="NormalHanging12a"/>
      </w:pPr>
      <w:r w:rsidRPr="00404AFC">
        <w:t>–</w:t>
      </w:r>
      <w:r w:rsidRPr="00404AFC">
        <w:tab/>
        <w:t>uwzględniając art. 132 ust. 2 i 4 Regulaminu,</w:t>
      </w:r>
    </w:p>
    <w:p w:rsidR="00C878C9" w:rsidRPr="00404AFC" w:rsidRDefault="00C878C9" w:rsidP="00C878C9">
      <w:pPr>
        <w:pStyle w:val="NormalHanging12a"/>
      </w:pPr>
      <w:r w:rsidRPr="00404AFC">
        <w:t>A.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po masowych strzelaninach w Belgradzie i w pobliżu miasta </w:t>
      </w:r>
      <w:proofErr w:type="spellStart"/>
      <w:r w:rsidRPr="00404AFC">
        <w:t>Mladenovac</w:t>
      </w:r>
      <w:proofErr w:type="spellEnd"/>
      <w:r w:rsidRPr="00404AFC">
        <w:t xml:space="preserve"> w maju 2023 r. w całej Serbii zorganizowano masowe protesty pod hasłem „Serbia przeciwko przemocy”; mając na uwadze, że 1 listopada 2023 r. prezydent Serbii powołał się na żądania opozycji dotyczące przeprowadzenia przedterminowych wyborów, by rozwiązać parlament; mając na uwadze, że zaplanował przedterminowe wybory parlamentarne na 17 grudnia 2023 r.;</w:t>
      </w:r>
    </w:p>
    <w:p w:rsidR="00C878C9" w:rsidRPr="00404AFC" w:rsidRDefault="00C878C9" w:rsidP="00C878C9">
      <w:pPr>
        <w:pStyle w:val="NormalHanging12a"/>
      </w:pPr>
      <w:r w:rsidRPr="00404AFC">
        <w:t>B.</w:t>
      </w:r>
      <w:r w:rsidRPr="00404AFC">
        <w:tab/>
        <w:t>mając na uwadze, że od 2012 r. niemal wszystkie wybory parlamentarne w Serbii (oprócz jednych) odbyły się przed terminem; mając na uwadze, że były to trzecie wybory parlamentarne w ciągu niespełna czterech lat;</w:t>
      </w:r>
    </w:p>
    <w:p w:rsidR="00C878C9" w:rsidRPr="00404AFC" w:rsidRDefault="00C878C9" w:rsidP="00C878C9">
      <w:pPr>
        <w:pStyle w:val="NormalHanging12a"/>
      </w:pPr>
      <w:r w:rsidRPr="00404AFC">
        <w:t>C.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po nagłej i jednoczesnej rezygnacji 65 burmistrzów z ramienia partii rządzącej, w tym burmistrza Belgradu, oraz w następstwie decyzji Zgromadzenia Autonomicznej Prowincji Wojwodiny o samorozwiązaniu mimo stabilnej większości, na ten sam dzień, tj. 17 grudnia 2023 r., zarządzono przedterminowe wybory lokalne w jednej trzeciej serbskich gmin oraz wybory regionalne w Wojwodinie; mając na uwadze, że przeprowadzenie częściowych wyborów lokalnych i wyborów parlamentarnych tego samego dnia nie jest dobrą i utrwaloną praktyką; mając na uwadze, że wielu obserwatorów uznało przedterminowe częściowe wybory lokalne za sposób na konsolidację władzy przez obecny rząd i za nadużycie prawa głosu społeczności lokalnych;</w:t>
      </w:r>
    </w:p>
    <w:p w:rsidR="00C878C9" w:rsidRPr="00404AFC" w:rsidRDefault="00C878C9" w:rsidP="00C878C9">
      <w:pPr>
        <w:pStyle w:val="NormalHanging12a"/>
      </w:pPr>
      <w:r w:rsidRPr="00404AFC">
        <w:t>D.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wybory odbyły się w warunkach podwyższonej polaryzacji społeczeństwa i zaciekłej konkurencji między kontrastującymi ze sobą programami politycznymi; mając na uwadze, że wybory te charakteryzowała bezprecedensowa kampania negatywna i kampania strachu, a także ataki na przeciwników politycznych i dziennikarzy;</w:t>
      </w:r>
    </w:p>
    <w:p w:rsidR="00C878C9" w:rsidRPr="00404AFC" w:rsidRDefault="00C878C9" w:rsidP="00C878C9">
      <w:pPr>
        <w:pStyle w:val="NormalHanging12a"/>
      </w:pPr>
      <w:r w:rsidRPr="00404AFC">
        <w:t>E.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do dnia wyborów Serbia nie wdrożyła kluczowych zaleceń OBWE/ODIHR i Komisji Weneckiej, w tym zaleceń dotyczących zapewnienia równych szans, środków zapobiegających niewłaściwemu wykorzystywaniu urzędu publicznego i zasobów państwowych, rozdziału obowiązków urzędowych od działań związanych z kampanią oraz skutecznych mechanizmów zapobiegania zastraszaniu i wywieraniu presji na wyborców, w tym kupowaniu głosów;</w:t>
      </w:r>
    </w:p>
    <w:p w:rsidR="00C878C9" w:rsidRPr="00404AFC" w:rsidRDefault="00C878C9" w:rsidP="00C878C9">
      <w:pPr>
        <w:pStyle w:val="NormalHanging12a"/>
      </w:pPr>
      <w:r w:rsidRPr="00404AFC">
        <w:t>F.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ogólnie kampania charakteryzowała się skrajną polaryzacją, agresywną retoryką, osobistym dyskredytowaniem, zniewagami słownymi i konfrontacyjnym językiem; mając na uwadze, że presja na pracowników sektora </w:t>
      </w:r>
      <w:r w:rsidRPr="00404AFC">
        <w:lastRenderedPageBreak/>
        <w:t xml:space="preserve">publicznego, niewłaściwe wykorzystywanie zasobów publicznych i metody zjednywania wyborców wzbudziły obawy co do zdolności wyborców do dokonania wyboru wolnego od nadmiernych nacisków; mając na uwadze, że praktyki te, wraz z pewnymi trudnościami w dostępie opozycji do obiektów publicznych, doprowadziły do nierównych szans i zatarły granicę między aparatem państwa a partią rządzącą, co stoi w sprzeczności ze standardami międzynarodowymi; mając na uwadze, że sponsorowane przez Rosję media Sputnik Serbia i Russia </w:t>
      </w:r>
      <w:proofErr w:type="spellStart"/>
      <w:r w:rsidRPr="00404AFC">
        <w:t>Today</w:t>
      </w:r>
      <w:proofErr w:type="spellEnd"/>
      <w:r w:rsidRPr="00404AFC">
        <w:t xml:space="preserve"> </w:t>
      </w:r>
      <w:proofErr w:type="spellStart"/>
      <w:r w:rsidRPr="00404AFC">
        <w:t>Balkan</w:t>
      </w:r>
      <w:proofErr w:type="spellEnd"/>
      <w:r w:rsidRPr="00404AFC">
        <w:t xml:space="preserve"> aktywnie </w:t>
      </w:r>
      <w:proofErr w:type="gramStart"/>
      <w:r w:rsidRPr="00404AFC">
        <w:t>przyczyniły</w:t>
      </w:r>
      <w:proofErr w:type="gramEnd"/>
      <w:r w:rsidRPr="00404AFC">
        <w:t xml:space="preserve"> się do rozpowszechniania dezinformacji na temat kandydatów opozycji;</w:t>
      </w:r>
    </w:p>
    <w:p w:rsidR="00C878C9" w:rsidRPr="00404AFC" w:rsidRDefault="00C878C9" w:rsidP="00C878C9">
      <w:pPr>
        <w:pStyle w:val="NormalHanging12a"/>
      </w:pPr>
      <w:r w:rsidRPr="00404AFC">
        <w:t>G.</w:t>
      </w:r>
      <w:r w:rsidRPr="00404AFC">
        <w:tab/>
        <w:t xml:space="preserve">mając na uwadze, że kampania była w przeważającej mierze zdominowana przez urzędującego prezydenta </w:t>
      </w:r>
      <w:proofErr w:type="spellStart"/>
      <w:r w:rsidRPr="00404AFC">
        <w:t>Vučića</w:t>
      </w:r>
      <w:proofErr w:type="spellEnd"/>
      <w:r w:rsidRPr="00404AFC">
        <w:t xml:space="preserve">, który – mimo że nie kandydował w tych wyborach – odgrywał główną rolę w codziennej kampanii poprzez silne zaangażowanie w spotkania Serbskiej Partii Postępowej (SNS); mając na uwadze, że w nazwie listy partii SNS zamieszczono nazwisko prezydenta </w:t>
      </w:r>
      <w:proofErr w:type="spellStart"/>
      <w:r w:rsidRPr="00404AFC">
        <w:t>Vučića</w:t>
      </w:r>
      <w:proofErr w:type="spellEnd"/>
      <w:r w:rsidRPr="00404AFC">
        <w:t>;</w:t>
      </w:r>
    </w:p>
    <w:p w:rsidR="00C878C9" w:rsidRPr="00404AFC" w:rsidRDefault="00C878C9" w:rsidP="00C878C9">
      <w:pPr>
        <w:pStyle w:val="NormalHanging12a"/>
      </w:pPr>
      <w:r w:rsidRPr="00404AFC">
        <w:t>H.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organy nadzorujące kampanię i media elektroniczne były w dużej mierze nieskuteczne w powstrzymywaniu naruszeń w okresie wyborczym;</w:t>
      </w:r>
    </w:p>
    <w:p w:rsidR="00C878C9" w:rsidRPr="00404AFC" w:rsidRDefault="00C878C9" w:rsidP="00C878C9">
      <w:pPr>
        <w:pStyle w:val="NormalHanging12a"/>
      </w:pPr>
      <w:r w:rsidRPr="00404AFC">
        <w:t>I.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OBWE/ODIHR, Zgromadzenie Parlamentarne OBWE, Zgromadzenie Parlamentarne Rady Europy i Parlament Europejski zorganizowały międzynarodową misję obserwacji wyborów, aby ustalić, czy wybory te przebiegły zgodnie z zobowiązaniami OBWE oraz innymi międzynarodowymi zobowiązaniami i standardami dotyczącymi demokratycznych wyborów, a także z prawodawstwem krajowym;</w:t>
      </w:r>
    </w:p>
    <w:p w:rsidR="00C878C9" w:rsidRPr="00404AFC" w:rsidRDefault="00C878C9" w:rsidP="00C878C9">
      <w:pPr>
        <w:pStyle w:val="NormalHanging12a"/>
      </w:pPr>
      <w:r w:rsidRPr="00404AFC">
        <w:t>J.</w:t>
      </w:r>
      <w:r w:rsidRPr="00404AFC">
        <w:tab/>
        <w:t>mając na uwadze, że listy wyborców zaktualizowano za pośrednictwem jednolitego rejestru wyborców, a ostateczna liczba wyborców wyniosła 6 500 666; mając na uwadze, że pojawiły się zarzuty, iż w rejestrze figurowało wiele osób zmarłych;</w:t>
      </w:r>
    </w:p>
    <w:p w:rsidR="00C878C9" w:rsidRPr="00404AFC" w:rsidRDefault="00C878C9" w:rsidP="00C878C9">
      <w:pPr>
        <w:pStyle w:val="NormalHanging12a"/>
      </w:pPr>
      <w:r w:rsidRPr="00404AFC">
        <w:t>K.</w:t>
      </w:r>
      <w:r w:rsidRPr="00404AFC">
        <w:tab/>
        <w:t>mając na uwadze, że frekwencja wyborcza wyniosła 58,58 %, czyli była nieznacznie wyższa niż w poprzednich wyborach w 2022 r.;</w:t>
      </w:r>
    </w:p>
    <w:p w:rsidR="00C878C9" w:rsidRPr="00404AFC" w:rsidRDefault="00C878C9" w:rsidP="00C878C9">
      <w:pPr>
        <w:pStyle w:val="NormalHanging12a"/>
      </w:pPr>
      <w:r w:rsidRPr="00404AFC">
        <w:t>L.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pomimo faktu, iż 43 % z 2 817 kandydatów w wyborach parlamentarnych stanowiły kobiety oraz że podjęto wysiłki na rzecz promowania udziału kobiet, kobiety są na ogół niedostatecznie reprezentowane na stanowiskach obsadzanych w drodze wyboru i mianowania;</w:t>
      </w:r>
    </w:p>
    <w:p w:rsidR="00C878C9" w:rsidRPr="00404AFC" w:rsidRDefault="00C878C9" w:rsidP="00C878C9">
      <w:pPr>
        <w:pStyle w:val="NormalHanging12a"/>
      </w:pPr>
      <w:r w:rsidRPr="00404AFC">
        <w:t>M.</w:t>
      </w:r>
      <w:r w:rsidRPr="00404AFC">
        <w:tab/>
        <w:t>mając na uwadze, że w ogólnym ujęciu wybory przebiegły sprawnie, lecz w dzień wyborów doszło do licznych uchybień proceduralnych, w tym do niekonsekwentnego stosowania zabezpieczeń podczas głosowania i liczenia głosów, częstych przypadków przepełnienia lokali wyborczych, naruszenia poufności głosowania, licznych przypadków głosowania grupowego oraz odosobnionych przypadków przemocy fizycznej;</w:t>
      </w:r>
    </w:p>
    <w:p w:rsidR="00C878C9" w:rsidRPr="00404AFC" w:rsidRDefault="00C878C9" w:rsidP="00C878C9">
      <w:pPr>
        <w:pStyle w:val="NormalHanging12a"/>
      </w:pPr>
      <w:r w:rsidRPr="00404AFC">
        <w:t>N.</w:t>
      </w:r>
      <w:r w:rsidRPr="00404AFC">
        <w:tab/>
        <w:t>mając na uwadze, że według Komisji Wyborczej Republiki Serbii SNS zdobyła 46,75 % głosów, podczas gdy największa opozycyjna koalicja Serbia Przeciwko Przemocy zdobyła 23,66 %, Socjalistyczna Partia Serbii – 6,55 %, koalicja NADA – 5,02 %, „My – głosem narodu” – 4,69 %, a pięć list mniejszościowych uzyskało łącznie 3,68 %;</w:t>
      </w:r>
    </w:p>
    <w:p w:rsidR="00C878C9" w:rsidRPr="00404AFC" w:rsidRDefault="00C878C9" w:rsidP="00C878C9">
      <w:pPr>
        <w:pStyle w:val="NormalHanging12a"/>
      </w:pPr>
      <w:r w:rsidRPr="00404AFC">
        <w:t>O.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w oświadczeniu zawierającym wstępne ustalenia i wnioski </w:t>
      </w:r>
      <w:r w:rsidRPr="00404AFC">
        <w:lastRenderedPageBreak/>
        <w:t>międzynarodowej misji obserwacji wyborów podkreślono, że „przedterminowe wybory parlamentarne 17 grudnia, chociaż dobrze zarządzane pod względem technicznym i oferujące wyborcom szereg alternatyw politycznych, były zdominowane przez zdecydowane zaangażowanie prezydenta, co wraz z systemową przewagą partii rządzącej stworzyło niesprawiedliwe warunki”; mając na uwadze, że sprawozdanie końcowe OBWE/ODIHR ma zostać opublikowane w najbliższych tygodniach;</w:t>
      </w:r>
    </w:p>
    <w:p w:rsidR="00C878C9" w:rsidRPr="00404AFC" w:rsidRDefault="00C878C9" w:rsidP="00C878C9">
      <w:pPr>
        <w:pStyle w:val="NormalHanging12a"/>
      </w:pPr>
      <w:r w:rsidRPr="00404AFC">
        <w:t>P.</w:t>
      </w:r>
      <w:r w:rsidRPr="00404AFC">
        <w:tab/>
        <w:t>mając na uwadze, że główne zarzuty dotyczące nieprawidłowości w dniu wyborów dotyczą w szczególności Belgradu, gdzie władze rejestrowały w obcych mieszkaniach „wyborców widma” z innych serbskich gmin, w których tego dnia nie odbywały się wybory, a także z krajów sąsiadujących; mając na uwadze liczne zarzuty, że partia rządząca organizowała wyborcom mieszkającym za granicą przejazdy autokarami do Serbii, by oddali głos w wyborach lokalnych w Belgradzie;</w:t>
      </w:r>
    </w:p>
    <w:p w:rsidR="00C878C9" w:rsidRPr="00404AFC" w:rsidRDefault="00C878C9" w:rsidP="00C878C9">
      <w:pPr>
        <w:pStyle w:val="NormalHanging12a"/>
      </w:pPr>
      <w:r w:rsidRPr="00404AFC">
        <w:t>Q.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serbska organizacja społeczeństwa obywatelskiego CRTA przeprowadziła dogłębną analizę w oparciu o ograniczone dane i zasoby oraz ostrożnie oszacowała, że nieścisłości w rejestrze wyborców dotyczą co najmniej 30 000 wyborców; mając na uwadze, że organizacja ta posiada mocne dowody na to, że nieścisłości te były częścią strategii bezprawnej i nieuzasadnionej inżynierii wyborczej mającej na celu wpłynięcie na wyniki wyborów i zniekształcenie woli wyborców; mając na uwadze, że na głosowanie w wyborach lokalnych w Belgradzie dowożono ludzi z całej Serbii i z zagranicy (Bośni i Hercegowiny oraz Czarnogóry); mając na uwadze, że nawet urzędnicy rządowi i politycy z Bośni i Hercegowiny otwarcie głosowali w wyborach samorządowych w Belgradzie; mając na uwadze, że rząd Serbii bronił się, że jest to praktyka zgodna z prawem;</w:t>
      </w:r>
    </w:p>
    <w:p w:rsidR="00C878C9" w:rsidRPr="00404AFC" w:rsidRDefault="00C878C9" w:rsidP="00C878C9">
      <w:pPr>
        <w:pStyle w:val="NormalHanging12a"/>
      </w:pPr>
      <w:r w:rsidRPr="00404AFC">
        <w:t>R.</w:t>
      </w:r>
      <w:r w:rsidRPr="00404AFC">
        <w:tab/>
        <w:t>mając na uwadze, że inne merytoryczne zarzuty nieprawidłowości dotyczą kupowania głosów, stronniczości mediów, nacisków na pracowników sektora publicznego i grupy w trudnej sytuacji społecznej, niewłaściwego wykorzystywania pieniędzy publicznych, zastraszania i dorzucania głosów do urny;</w:t>
      </w:r>
    </w:p>
    <w:p w:rsidR="00C878C9" w:rsidRPr="00404AFC" w:rsidRDefault="00C878C9" w:rsidP="00C878C9">
      <w:pPr>
        <w:pStyle w:val="NormalHanging12a"/>
      </w:pPr>
      <w:r w:rsidRPr="00404AFC">
        <w:t>S.</w:t>
      </w:r>
      <w:r w:rsidRPr="00404AFC">
        <w:tab/>
        <w:t xml:space="preserve">mając na uwadze, że władze serbskie zaprzeczają jakimkolwiek nieprawidłowościom; mając na uwadze, że zarówno prezydent Serbii, jak i media kontrolowane przez Kreml twierdziły, że inne kraje w sposób brutalny ingerowały w proces wyborczy w Serbii, ale nie przedstawiły udokumentowanych dowodów na poparcie tych twierdzeń; mając na uwadze, że premier </w:t>
      </w:r>
      <w:proofErr w:type="spellStart"/>
      <w:r w:rsidRPr="00404AFC">
        <w:t>Brnabić</w:t>
      </w:r>
      <w:proofErr w:type="spellEnd"/>
      <w:r w:rsidRPr="00404AFC">
        <w:t xml:space="preserve"> publicznie podziękował rosyjskim służbom wywiadowczym za udzielenie informacji na temat planowanych działań opozycji; mając na uwadze, że rozpowszechnianie rosyjskich fałszywych informacji i narracji stanowi w Serbii poważny i utrzymujący się problem, w szczególności podczas kampanii wyborczych; mając na uwadze, że Kreml potępił publiczne protesty przeciwko sfałszowanym wyborom powszechnym w Serbii jako zachodnie próby obalenia rządu i zorganizowania kolejnego „zamachu stanu na Majdanie”;</w:t>
      </w:r>
    </w:p>
    <w:p w:rsidR="00C878C9" w:rsidRPr="00404AFC" w:rsidRDefault="00C878C9" w:rsidP="00C878C9">
      <w:pPr>
        <w:pStyle w:val="NormalHanging12a"/>
      </w:pPr>
      <w:r w:rsidRPr="00404AFC">
        <w:t>T.</w:t>
      </w:r>
      <w:r w:rsidRPr="00404AFC">
        <w:tab/>
        <w:t xml:space="preserve">mając na uwadze, że niezależne serbskie organizacje potępiające nieprawidłowości podczas ostatnich wyborów są przedmiotem ciągłych ataków ze strony urzędników rządowych; mając na uwadze, że mimo iż organizacje te ujawniły wiele konkretnych dowodów wskazujących na oszustwa wyborcze, władze serbskie do tej pory odmawiały zbadania tych zarzutów dotyczących nieprawidłowości, a zamiast tego próbowały zdyskredytować i zastraszyć obserwatorów wyborów, którzy ujawnili nieprawidłowości; mając na uwadze, że od czasu wyborów czołowi serbscy politycy, w tym prezydent, niesprawiedliwie oczerniali posłów do Parlamentu Europejskiego i </w:t>
      </w:r>
      <w:r w:rsidRPr="00404AFC">
        <w:lastRenderedPageBreak/>
        <w:t>innych członków międzynarodowej misji obserwacji wyborów;</w:t>
      </w:r>
    </w:p>
    <w:p w:rsidR="00C878C9" w:rsidRPr="00404AFC" w:rsidRDefault="00C878C9" w:rsidP="00C878C9">
      <w:pPr>
        <w:pStyle w:val="NormalHanging12a"/>
      </w:pPr>
      <w:r w:rsidRPr="00404AFC">
        <w:t>U.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opozycja zakwestionowała wyniki wyborów, zwłaszcza wyborów lokalnych w Belgradzie, co doprowadziło do dużych pokojowych demonstracji zainicjowanych przez opozycyjną koalicję Serbia Przeciwko Przemocy i bezpartyjne stowarzyszenie </w:t>
      </w:r>
      <w:proofErr w:type="spellStart"/>
      <w:r w:rsidRPr="00404AFC">
        <w:t>ProGlas</w:t>
      </w:r>
      <w:proofErr w:type="spellEnd"/>
      <w:r w:rsidRPr="00404AFC">
        <w:t>, które domagały się unieważnienia wyborów i przeprowadzenia nowego głosowania; mając na uwadze, że Komisja Wyborcza Republiki Serbii odrzuciła skargi opozycji; mając na uwadze, że opozycja zwróciła się do Trybunału Konstytucyjnego o unieważnienie wyników wyborów ze względu na zarzuty o powszechne oszustwa;</w:t>
      </w:r>
    </w:p>
    <w:p w:rsidR="00C878C9" w:rsidRPr="00404AFC" w:rsidRDefault="00C878C9" w:rsidP="00C878C9">
      <w:pPr>
        <w:pStyle w:val="NormalHanging12a"/>
      </w:pPr>
      <w:r w:rsidRPr="00404AFC">
        <w:t>V.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protest z 24 grudnia 2023 r. przyjął gwałtowny obrót, gdy część demonstrantów przypuściła szturm na Zgromadzenie Miasta Belgradu, wskutek czego policja aresztowała 38 osób, w tym studentów, które są ścigane za podważenie porządku konstytucyjnego, a niektóre z tych osób wciąż przebywają w areszcie domowym; mając na uwadze, że wielu pokojowych demonstrantów twierdzi, że zamaskowani chuligani wmieszali się w tłum demonstrantów; mając na uwadze, że pokojowi demonstranci potępili również nieproporcjonalne użycie siły przez policję;</w:t>
      </w:r>
    </w:p>
    <w:p w:rsidR="00C878C9" w:rsidRPr="00404AFC" w:rsidRDefault="00C878C9" w:rsidP="00C878C9">
      <w:pPr>
        <w:pStyle w:val="NormalHanging12a"/>
      </w:pPr>
      <w:r w:rsidRPr="00404AFC">
        <w:t>W.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w ciągu ostatniej dekady, odkąd prezydent </w:t>
      </w:r>
      <w:proofErr w:type="spellStart"/>
      <w:r w:rsidRPr="00404AFC">
        <w:t>Vučić</w:t>
      </w:r>
      <w:proofErr w:type="spellEnd"/>
      <w:r w:rsidRPr="00404AFC">
        <w:t xml:space="preserve"> objął stanowisko, w Serbii dochodzi do ciągłej erozji wolności mediów, charakteryzującej się naciskami politycznymi, groźbami, a nawet fizycznymi atakami na dziennikarzy; mając na uwadze, że Reporterzy bez Granic umieścili Serbię w światowym indeksie wolności prasy na jednym z najniższych miejsc w Europie, a kraj ten spadł w 2023 r. aż o 12 miejsc na 91. </w:t>
      </w:r>
      <w:proofErr w:type="gramStart"/>
      <w:r w:rsidRPr="00404AFC">
        <w:t>pozycję</w:t>
      </w:r>
      <w:proofErr w:type="gramEnd"/>
      <w:r w:rsidRPr="00404AFC">
        <w:t>;</w:t>
      </w:r>
    </w:p>
    <w:p w:rsidR="00C878C9" w:rsidRPr="00404AFC" w:rsidRDefault="00C878C9" w:rsidP="00C878C9">
      <w:pPr>
        <w:pStyle w:val="NormalHanging12a"/>
      </w:pPr>
      <w:r w:rsidRPr="00404AFC">
        <w:t>X.</w:t>
      </w:r>
      <w:r w:rsidRPr="00404AFC">
        <w:tab/>
      </w:r>
      <w:proofErr w:type="gramStart"/>
      <w:r w:rsidRPr="00404AFC">
        <w:t>mając</w:t>
      </w:r>
      <w:proofErr w:type="gramEnd"/>
      <w:r w:rsidRPr="00404AFC">
        <w:t xml:space="preserve"> na uwadze, że praworządność i właściwe funkcjonowanie instytucji demokratycznych w Serbii pozostają głównym wyzwaniem dla procesu przystąpienia Serbii do UE;</w:t>
      </w:r>
    </w:p>
    <w:p w:rsidR="00C878C9" w:rsidRPr="00404AFC" w:rsidRDefault="00C878C9" w:rsidP="00C878C9">
      <w:pPr>
        <w:pStyle w:val="NormalHanging12a"/>
      </w:pPr>
      <w:r w:rsidRPr="00404AFC">
        <w:t>1.</w:t>
      </w:r>
      <w:r w:rsidRPr="00404AFC">
        <w:tab/>
      </w:r>
      <w:proofErr w:type="gramStart"/>
      <w:r w:rsidRPr="00404AFC">
        <w:t>ubolewa</w:t>
      </w:r>
      <w:proofErr w:type="gramEnd"/>
      <w:r w:rsidRPr="00404AFC">
        <w:t xml:space="preserve"> nad faktem, że serbskie wybory parlamentarne i lokalne, które odbyły się 17 grudnia 2023 r., odbiegały od norm międzynarodowych i zobowiązań Serbii na rzecz wolnych i uczciwych wyborów ze względu na długotrwałe i systematyczne nadużywanie instytucji i mediów przez urzędującą władzę w celu uzyskania niesprawiedliwej i nieuzasadnionej przewagi; uważa, że wyborów tych nie można uznać za przeprowadzone w uczciwych warunkach; jest zaniepokojony doniesieniami o powszechnych i systematycznych oszustwach na wielką skalę, które podważyły uczciwość wyborów w Serbii;</w:t>
      </w:r>
    </w:p>
    <w:p w:rsidR="00C878C9" w:rsidRPr="00404AFC" w:rsidRDefault="00C878C9" w:rsidP="00C878C9">
      <w:pPr>
        <w:pStyle w:val="NormalHanging12a"/>
      </w:pPr>
      <w:r w:rsidRPr="00404AFC">
        <w:t>2.</w:t>
      </w:r>
      <w:r w:rsidRPr="00404AFC">
        <w:tab/>
      </w:r>
      <w:proofErr w:type="gramStart"/>
      <w:r w:rsidRPr="00404AFC">
        <w:t>odnotowuje</w:t>
      </w:r>
      <w:proofErr w:type="gramEnd"/>
      <w:r w:rsidRPr="00404AFC">
        <w:t>, że zdaniem międzynarodowej misji obserwacji wyborów wybory przebiegły sprawnie, jednak w dzień wyborów doszło do licznych uchybień proceduralnych, w tym do niekonsekwentnego stosowania zabezpieczeń podczas głosowania i liczenia głosów, częstych przypadków przepełnienia lokali wyborczych, naruszenia poufności głosowania oraz licznych przypadków głosowania grupowego; wyraża poważne zaniepokojenie tymi nieprawidłowościami i ogólnym krajobrazem wyborczym, będącym poniżej standardów, jakich oczekuje się od kraju kandydującego do UE; przypomina władzom serbskim, że właściwe funkcjonowanie instytucji demokratycznych Serbii jest centralnym elementem procesu przystąpienia Serbii do UE i metodologii przystępowania do UE;</w:t>
      </w:r>
    </w:p>
    <w:p w:rsidR="00C878C9" w:rsidRPr="00404AFC" w:rsidRDefault="00C878C9" w:rsidP="00C878C9">
      <w:pPr>
        <w:pStyle w:val="NormalHanging12a"/>
      </w:pPr>
      <w:r w:rsidRPr="00404AFC">
        <w:t>3.</w:t>
      </w:r>
      <w:r w:rsidRPr="00404AFC">
        <w:tab/>
      </w:r>
      <w:proofErr w:type="gramStart"/>
      <w:r w:rsidRPr="00404AFC">
        <w:t>z</w:t>
      </w:r>
      <w:proofErr w:type="gramEnd"/>
      <w:r w:rsidRPr="00404AFC">
        <w:t xml:space="preserve"> dużym zaniepokojeniem odnotowuje liczne dowody zebrane przez </w:t>
      </w:r>
      <w:r w:rsidRPr="00404AFC">
        <w:lastRenderedPageBreak/>
        <w:t>międzynarodowych i krajowych obserwatorów, wskazujące na działania podejmowane przed wyborami i w dniu wyborów, które mogły zmienić wynik wyborów i mogły mieć znaczący wpływ w szczególności na wyniki wyborów lokalnych w Belgradzie i poważnie osłabić legitymację wyborów parlamentarnych;</w:t>
      </w:r>
    </w:p>
    <w:p w:rsidR="00C878C9" w:rsidRPr="00404AFC" w:rsidRDefault="00C878C9" w:rsidP="00C878C9">
      <w:pPr>
        <w:pStyle w:val="NormalHanging12a"/>
      </w:pPr>
      <w:r w:rsidRPr="00404AFC">
        <w:t>4.</w:t>
      </w:r>
      <w:r w:rsidRPr="00404AFC">
        <w:tab/>
      </w:r>
      <w:proofErr w:type="gramStart"/>
      <w:r w:rsidRPr="00404AFC">
        <w:t>wzywa</w:t>
      </w:r>
      <w:proofErr w:type="gramEnd"/>
      <w:r w:rsidRPr="00404AFC">
        <w:t xml:space="preserve"> do przeprowadzenia przez szanowanych międzynarodowych ekspertów prawnych oraz odpowiednie instytucje niezależnego międzynarodowego dochodzenia w sprawie nieprawidłowości w wyborach parlamentarnych, regionalnych i lokalnych w Serbii, ze szczególnym uwzględnieniem wyborów do Zgromadzenia Miasta Belgradu, ponieważ niektóre zarzuty, w tym te dotyczące zorganizowanej migracji wyborców na szczeblu lokalnym, wykraczają poza zakres objęty sprawozdaniami OBWE/ODIHR; opowiada się za tym, by pilnie wysłać do Serbii misję wyjaśniającą ad hoc z udziałem przedstawicieli Parlamentu;</w:t>
      </w:r>
    </w:p>
    <w:p w:rsidR="00C878C9" w:rsidRPr="00404AFC" w:rsidRDefault="00C878C9" w:rsidP="00C878C9">
      <w:pPr>
        <w:pStyle w:val="NormalHanging12a"/>
      </w:pPr>
      <w:r w:rsidRPr="00404AFC">
        <w:t>5.</w:t>
      </w:r>
      <w:r w:rsidRPr="00404AFC">
        <w:tab/>
      </w:r>
      <w:proofErr w:type="gramStart"/>
      <w:r w:rsidRPr="00404AFC">
        <w:t>wzywa</w:t>
      </w:r>
      <w:proofErr w:type="gramEnd"/>
      <w:r w:rsidRPr="00404AFC">
        <w:t xml:space="preserve"> Komisję, by wystąpiła z inicjatywą wysłania do Serbii misji ekspertów w celu oceny sytuacji w związku z ostatnimi wyborami i wydarzeniami po wyborach, aby ułatwić spełnienie warunków wstępnych niezbędnych do nawiązania dialogu społecznego w celu przywrócenia zaufania obywateli do instytucji, a także oceny i rozwiązania systemowych problemów z praworządnością w Serbii, na wzór raportu </w:t>
      </w:r>
      <w:proofErr w:type="spellStart"/>
      <w:r w:rsidRPr="00404AFC">
        <w:t>Priebego</w:t>
      </w:r>
      <w:proofErr w:type="spellEnd"/>
      <w:r w:rsidRPr="00404AFC">
        <w:t>;</w:t>
      </w:r>
    </w:p>
    <w:p w:rsidR="00C878C9" w:rsidRPr="00404AFC" w:rsidRDefault="00C878C9" w:rsidP="00C878C9">
      <w:pPr>
        <w:pStyle w:val="NormalHanging12a"/>
      </w:pPr>
      <w:r w:rsidRPr="00404AFC">
        <w:t>6.</w:t>
      </w:r>
      <w:r w:rsidRPr="00404AFC">
        <w:tab/>
      </w:r>
      <w:proofErr w:type="gramStart"/>
      <w:r w:rsidRPr="00404AFC">
        <w:t>ubolewa</w:t>
      </w:r>
      <w:proofErr w:type="gramEnd"/>
      <w:r w:rsidRPr="00404AFC">
        <w:t xml:space="preserve"> nad brakiem reakcji instytucjonalnej na poważne zarzuty dotyczące udziału urzędującej władzy w manipulacjach i nadużyciach wyborczych, co przyczynia się do atmosfery bezkarności i umożliwia kontynuację tych praktyk; zauważa z zaniepokojeniem, że niektóre nieprawidłowości wyborcze, które doprowadziły do wyborów w grudniu 2023 r., stanowią potencjalną naruszenia serbskiego prawa i serbskiej konstytucji; podkreśla, że przyzwolenie na tego rodzaju praktyki bez żadnych konsekwencji doprowadzi do dalszego podważania zaufania do serbskiego procesu wyborczego i instytucji wyborczych, przynosząc nieodwracalne szkody dla demokratycznych rządów i dalszej integracji europejskiej; podkreśla, że należy dokładnie zbadać wszystkie skargi dotyczące wyborów, w tym niedawny wniosek o unieważnienie wyborów do Zgromadzenia Miasta Belgradu z 17 grudnia 2023 r., złożony w Trybunale Konstytucyjnym przez urzędnika należącego do koalicji Serbia Przeciwko Przemocy;</w:t>
      </w:r>
    </w:p>
    <w:p w:rsidR="00C878C9" w:rsidRPr="00404AFC" w:rsidRDefault="00C878C9" w:rsidP="00C878C9">
      <w:pPr>
        <w:pStyle w:val="NormalHanging12a"/>
      </w:pPr>
      <w:r w:rsidRPr="00404AFC">
        <w:t>7.</w:t>
      </w:r>
      <w:r w:rsidRPr="00404AFC">
        <w:tab/>
      </w:r>
      <w:proofErr w:type="gramStart"/>
      <w:r w:rsidRPr="00404AFC">
        <w:t>ubolewa</w:t>
      </w:r>
      <w:proofErr w:type="gramEnd"/>
      <w:r w:rsidRPr="00404AFC">
        <w:t xml:space="preserve"> nad brakiem postępowań karnych i sankcji w związku z przestępstwami popełnionymi podczas wyborów, w tym z poważnymi zarzutami o bezprawne manipulacje rejestrem wyborców i prawami do głosowania, presją i groźbami wobec obywateli i kandydatów w wyborach, przypadkami korupcji, fałszowaniem podpisów obywateli, </w:t>
      </w:r>
      <w:proofErr w:type="spellStart"/>
      <w:r w:rsidRPr="00404AFC">
        <w:t>klientelizmem</w:t>
      </w:r>
      <w:proofErr w:type="spellEnd"/>
      <w:r w:rsidRPr="00404AFC">
        <w:t>, nieuzasadnionym i bezprawnym wykorzystywaniem danych obywateli i nadużyciami władzy, a także nad brakiem skutecznych mechanizmów zapobiegających uzyskaniu przez urzędującą władzę niesprawiedliwej przewagi instytucjonalnej w wyborach;</w:t>
      </w:r>
    </w:p>
    <w:p w:rsidR="00C878C9" w:rsidRPr="00404AFC" w:rsidRDefault="00C878C9" w:rsidP="00C878C9">
      <w:pPr>
        <w:pStyle w:val="NormalHanging12a"/>
      </w:pPr>
      <w:r w:rsidRPr="00404AFC">
        <w:t>8.</w:t>
      </w:r>
      <w:r w:rsidRPr="00404AFC">
        <w:tab/>
      </w:r>
      <w:proofErr w:type="gramStart"/>
      <w:r w:rsidRPr="00404AFC">
        <w:t>wzywa</w:t>
      </w:r>
      <w:proofErr w:type="gramEnd"/>
      <w:r w:rsidRPr="00404AFC">
        <w:t xml:space="preserve"> władze serbskie do prowadzenia dochodzeń, ścigania i postawienia przed sądem osób odpowiedzialnych za przestępstwa podczas wyborów i wszelkie napaści na studentów;</w:t>
      </w:r>
    </w:p>
    <w:p w:rsidR="00C878C9" w:rsidRPr="00404AFC" w:rsidRDefault="00C878C9" w:rsidP="00C878C9">
      <w:pPr>
        <w:pStyle w:val="NormalHanging12a"/>
      </w:pPr>
      <w:r w:rsidRPr="00404AFC">
        <w:t>9.</w:t>
      </w:r>
      <w:r w:rsidRPr="00404AFC">
        <w:tab/>
      </w:r>
      <w:proofErr w:type="gramStart"/>
      <w:r w:rsidRPr="00404AFC">
        <w:t>potępia</w:t>
      </w:r>
      <w:proofErr w:type="gramEnd"/>
      <w:r w:rsidRPr="00404AFC">
        <w:t xml:space="preserve"> organizowane przez serbskich urzędników ataki na obserwatorów wyborów, w tym posłów do Parlamentu Europejskiego, i wzywa do powrotu do pełnej szacunku i konstruktywnej dyskusji, podkreślając znaczenie wzajemnego szacunku w procesie </w:t>
      </w:r>
      <w:r w:rsidRPr="00404AFC">
        <w:lastRenderedPageBreak/>
        <w:t xml:space="preserve">demokratycznym; jest głęboko zaniepokojony próbami zdyskredytowania i zastraszania obserwatorów; wzywa władze serbskie do podjęcia wszelkich niezbędnych kroków, aby nie dopuścić do kontynuacji kampanii dezinformacyjnych przeciwko obserwatorom wyborów, aby stworzyć warunki umożliwiające krajowym i międzynarodowym obserwatorom wyborów skuteczne wykonywanie ich pracy, a także aby chronić ich przed wszelkimi aktami przemocy, groźbami, działaniami odwetowymi, dyskryminacją, naciskami i wszelkimi innymi arbitralnymi działaniami w reakcji na legalne korzystanie przez nich z przysługujących im </w:t>
      </w:r>
      <w:proofErr w:type="gramStart"/>
      <w:r w:rsidRPr="00404AFC">
        <w:t>praw</w:t>
      </w:r>
      <w:proofErr w:type="gramEnd"/>
      <w:r w:rsidRPr="00404AFC">
        <w:t xml:space="preserve"> i wolności; pochwala pracę krajowych obserwatorów z Centrum Badań, Przejrzystości i Odpowiedzialności (CRTA) oraz Centrum Wolnych Wyborów i Demokracji (</w:t>
      </w:r>
      <w:proofErr w:type="spellStart"/>
      <w:r w:rsidRPr="00404AFC">
        <w:t>CeSID</w:t>
      </w:r>
      <w:proofErr w:type="spellEnd"/>
      <w:r w:rsidRPr="00404AFC">
        <w:t>);</w:t>
      </w:r>
    </w:p>
    <w:p w:rsidR="00C878C9" w:rsidRPr="00404AFC" w:rsidRDefault="00C878C9" w:rsidP="00C878C9">
      <w:pPr>
        <w:pStyle w:val="NormalHanging12a"/>
      </w:pPr>
      <w:r w:rsidRPr="00404AFC">
        <w:t>10.</w:t>
      </w:r>
      <w:r w:rsidRPr="00404AFC">
        <w:tab/>
      </w:r>
      <w:proofErr w:type="gramStart"/>
      <w:r w:rsidRPr="00404AFC">
        <w:t>jest</w:t>
      </w:r>
      <w:proofErr w:type="gramEnd"/>
      <w:r w:rsidRPr="00404AFC">
        <w:t xml:space="preserve"> zaniepokojony „dezaktywacją” adresów zamieszkania niektórych kategorii obywateli, w tym w Belgradzie i południowej Serbii, co pozbawia ich prawa do głosowania; wzywa właściwe władze, by niezwłocznie zaradziły tym poważnym naruszeniom praw wyborczych;</w:t>
      </w:r>
    </w:p>
    <w:p w:rsidR="00C878C9" w:rsidRPr="00404AFC" w:rsidRDefault="00C878C9" w:rsidP="00C878C9">
      <w:pPr>
        <w:pStyle w:val="NormalHanging12a"/>
      </w:pPr>
      <w:r w:rsidRPr="00404AFC">
        <w:t>11.</w:t>
      </w:r>
      <w:r w:rsidRPr="00404AFC">
        <w:tab/>
      </w:r>
      <w:proofErr w:type="gramStart"/>
      <w:r w:rsidRPr="00404AFC">
        <w:t>apeluje</w:t>
      </w:r>
      <w:proofErr w:type="gramEnd"/>
      <w:r w:rsidRPr="00404AFC">
        <w:t xml:space="preserve"> do Republiki Serbii, by rozwiązała problemy dotyczące udziału mniejszości narodowych w procesie wyborczym, zapewniając spójne stosowanie kryteriów statusu mniejszości i przeciwdziałając podatności na naciski i kupowanie głosów;</w:t>
      </w:r>
    </w:p>
    <w:p w:rsidR="00C878C9" w:rsidRPr="00404AFC" w:rsidRDefault="00C878C9" w:rsidP="00C878C9">
      <w:pPr>
        <w:pStyle w:val="NormalHanging12a"/>
      </w:pPr>
      <w:r w:rsidRPr="00404AFC">
        <w:t>12.</w:t>
      </w:r>
      <w:r w:rsidRPr="00404AFC">
        <w:tab/>
      </w:r>
      <w:proofErr w:type="gramStart"/>
      <w:r w:rsidRPr="00404AFC">
        <w:t>apeluje</w:t>
      </w:r>
      <w:proofErr w:type="gramEnd"/>
      <w:r w:rsidRPr="00404AFC">
        <w:t xml:space="preserve"> do władz serbskich, aby zaproponowały rozwiązania instytucjonalne, które pomogą przezwyciężyć obecne problemy; wzywa serbski parlament i rząd do dołożenia wszelkich starań na rzecz skutecznego funkcjonowania oraz przerwania cyklu kampanii i częstych wyborów przedterminowych;</w:t>
      </w:r>
    </w:p>
    <w:p w:rsidR="00C878C9" w:rsidRPr="00404AFC" w:rsidRDefault="00C878C9" w:rsidP="00C878C9">
      <w:pPr>
        <w:pStyle w:val="NormalHanging12a"/>
      </w:pPr>
      <w:r w:rsidRPr="00404AFC">
        <w:t>13.</w:t>
      </w:r>
      <w:r w:rsidRPr="00404AFC">
        <w:tab/>
      </w:r>
      <w:proofErr w:type="gramStart"/>
      <w:r w:rsidRPr="00404AFC">
        <w:t>wzywa</w:t>
      </w:r>
      <w:proofErr w:type="gramEnd"/>
      <w:r w:rsidRPr="00404AFC">
        <w:t xml:space="preserve"> władze serbskie do przywrócenia zaufania wyborców do całego procesu, ustanowienia w pełni przejrzystych procedur wyborczych i zapewnienia rozliczalności władz, które przeprowadzają wybory lub ingerują w nie; wzywa władze serbskie do pełnej i merytorycznej współpracy z ODIHR, UE i Radą Europy oraz do ułatwienia pluralistycznego procesu mającego na celu wzmocnienie praw, wolności, instytucji i procesów związanych z wyborami, przy udziale krajowych obserwatorów wyborów i partii politycznych; z zadowoleniem przyjmuje wszelkie faktyczne kroki w tym kierunku;</w:t>
      </w:r>
    </w:p>
    <w:p w:rsidR="00C878C9" w:rsidRPr="00404AFC" w:rsidRDefault="00C878C9" w:rsidP="00C878C9">
      <w:pPr>
        <w:pStyle w:val="NormalHanging12a"/>
      </w:pPr>
      <w:r w:rsidRPr="00404AFC">
        <w:t>14.</w:t>
      </w:r>
      <w:r w:rsidRPr="00404AFC">
        <w:tab/>
      </w:r>
      <w:proofErr w:type="gramStart"/>
      <w:r w:rsidRPr="00404AFC">
        <w:t>z</w:t>
      </w:r>
      <w:proofErr w:type="gramEnd"/>
      <w:r w:rsidRPr="00404AFC">
        <w:t xml:space="preserve"> zaniepokojeniem zauważa, że Serbia nie wdrożyła wielu dawno wydanych zaleceń OBWE/ODIHR dotyczących głównych kwestii związanych z procesem wyborczym, mimo że była do tego wielokrotnie wzywana, w tym przez Komisję; odnotowuje niedawne zmiany, które wybiórczo uwzględniały niektóre z poprzednich zaleceń OBWE/ODIHR i Komisji Weneckiej, w szczególności te odnoszące się do ram prawnych dotyczących finansowania kampanii wyborczych;</w:t>
      </w:r>
    </w:p>
    <w:p w:rsidR="00C878C9" w:rsidRPr="00404AFC" w:rsidRDefault="00C878C9" w:rsidP="00C878C9">
      <w:pPr>
        <w:pStyle w:val="NormalHanging12a"/>
      </w:pPr>
      <w:r w:rsidRPr="00404AFC">
        <w:t>15.</w:t>
      </w:r>
      <w:r w:rsidRPr="00404AFC">
        <w:tab/>
      </w:r>
      <w:proofErr w:type="gramStart"/>
      <w:r w:rsidRPr="00404AFC">
        <w:t>oczekuje</w:t>
      </w:r>
      <w:proofErr w:type="gramEnd"/>
      <w:r w:rsidRPr="00404AFC">
        <w:t xml:space="preserve"> na sprawozdanie końcowe międzynarodowej misji obserwacji wyborów OBWE/ODIHR; wzywa Serbię do wdrożenia zaleceń zawartych we wspólnej opinii Komisji Weneckiej i OBWE/ODIHR z 19 grudnia 2022 r. w sprawie ram konstytucyjnych i prawnych regulujących funkcjonowanie instytucji demokratycznych w Serbii, w porozumieniu z wyspecjalizowanymi organizacjami społeczeństwa obywatelskiego i na długo przed kolejnymi wyborami, aby zapobiec nowym nieprawidłowościom i oszustwom, a jednocześnie zagwarantować demokratyczne funkcjonowanie kraju, w szczególności zaleceń dotyczących dostępu konkurujących kandydatów do mediów, większej przejrzystości i rozliczalności finansowania kampanii, środków mających na celu rozwiązanie problemu presji na wyborców i </w:t>
      </w:r>
      <w:r w:rsidRPr="00404AFC">
        <w:lastRenderedPageBreak/>
        <w:t>nadużywania zasobów administracyjnych;</w:t>
      </w:r>
    </w:p>
    <w:p w:rsidR="00C878C9" w:rsidRPr="00404AFC" w:rsidRDefault="00C878C9" w:rsidP="00C878C9">
      <w:pPr>
        <w:pStyle w:val="NormalHanging12a"/>
      </w:pPr>
      <w:r w:rsidRPr="00404AFC">
        <w:t>16.</w:t>
      </w:r>
      <w:r w:rsidRPr="00404AFC">
        <w:tab/>
      </w:r>
      <w:proofErr w:type="gramStart"/>
      <w:r w:rsidRPr="00404AFC">
        <w:t>wzywa</w:t>
      </w:r>
      <w:proofErr w:type="gramEnd"/>
      <w:r w:rsidRPr="00404AFC">
        <w:t xml:space="preserve"> Serbię do wdrożenia zalecenia OBWE/ODIHR dotyczącego przeprowadzenia kompleksowej kontroli jednolitego rejestru wyborców w celu rozwiania obaw dotyczących dokładności, w tym zarzutów migracji wyborców i wpisów dotyczących osób zmarłych; jest zaniepokojony zarzutami, że w jednolitym rejestrze wyborców odnotowano już znaczny wzrost liczby wyborców w miastach, w których wybory lokalne odbędą się w kolejnych miesiącach 2024 r.;</w:t>
      </w:r>
    </w:p>
    <w:p w:rsidR="00C878C9" w:rsidRPr="00404AFC" w:rsidRDefault="00C878C9" w:rsidP="00C878C9">
      <w:pPr>
        <w:pStyle w:val="NormalHanging12a"/>
      </w:pPr>
      <w:r w:rsidRPr="00404AFC">
        <w:t>17.</w:t>
      </w:r>
      <w:r w:rsidRPr="00404AFC">
        <w:tab/>
      </w:r>
      <w:proofErr w:type="gramStart"/>
      <w:r w:rsidRPr="00404AFC">
        <w:t>wzywa</w:t>
      </w:r>
      <w:proofErr w:type="gramEnd"/>
      <w:r w:rsidRPr="00404AFC">
        <w:t xml:space="preserve"> Komisję Wyborczą Republiki Serbii do podjęcia niezbędnych kroków w celu rozwiania obaw dotyczących przejrzystości i skuteczności jej funkcjonowania, w tym do terminowego publikowania wyników monitorowania w czasie kampanii;</w:t>
      </w:r>
    </w:p>
    <w:p w:rsidR="00C878C9" w:rsidRPr="00404AFC" w:rsidRDefault="00C878C9" w:rsidP="00C878C9">
      <w:pPr>
        <w:pStyle w:val="NormalHanging12a"/>
      </w:pPr>
      <w:r w:rsidRPr="00404AFC">
        <w:t>18.</w:t>
      </w:r>
      <w:r w:rsidRPr="00404AFC">
        <w:tab/>
      </w:r>
      <w:proofErr w:type="gramStart"/>
      <w:r w:rsidRPr="00404AFC">
        <w:t>potępia</w:t>
      </w:r>
      <w:proofErr w:type="gramEnd"/>
      <w:r w:rsidRPr="00404AFC">
        <w:t xml:space="preserve"> brak pluralizmu mediów w kampanii wyborczej, dezinformację oraz powszechne nieetyczne i stronnicze relacje medialne faworyzujące urzędującą władzę; zauważa z zaniepokojeniem, że znaczna część mediów pozostaje pod wpływem lub kontrolą rządu, co sprawiło, że kandydaci opozycyjni mieli w kampanii nierówne szanse; potępia ataki na krytycznie nastawionych dziennikarzy, do których podżegają media bliskie rządowi; ubolewa nad przytłaczającą obecnością prezydenta Serbii w sferze publicznej przed kampanią i w jej trakcie, która spowodowała zatarcie granicy między urzędem prezydenta, instytucją państwa a partią rządzącą;</w:t>
      </w:r>
    </w:p>
    <w:p w:rsidR="00C878C9" w:rsidRPr="00404AFC" w:rsidRDefault="00C878C9" w:rsidP="00C878C9">
      <w:pPr>
        <w:pStyle w:val="NormalHanging12a"/>
      </w:pPr>
      <w:r w:rsidRPr="00404AFC">
        <w:t>19.</w:t>
      </w:r>
      <w:r w:rsidRPr="00404AFC">
        <w:tab/>
      </w:r>
      <w:proofErr w:type="gramStart"/>
      <w:r w:rsidRPr="00404AFC">
        <w:t>jest</w:t>
      </w:r>
      <w:proofErr w:type="gramEnd"/>
      <w:r w:rsidRPr="00404AFC">
        <w:t xml:space="preserve"> zaniepokojony, że mimo nowych przepisów dotyczących mediów elektronicznych oraz informacji publicznej i mediów publicznych warunki i pluralizm w mediach uległy pogorszeniu; wyraża głębokie ubolewanie, że Urząd Regulacji Mediów Elektronicznych zlekceważył ciążący na nim na mocy prawa obowiązek kontrolowania kampanii w mediach, informowania o swoich ustaleniach i nakładania kar na media, które naruszyły prawo, szerzą mowę nienawiści lub łamią standardy dziennikarskie; zauważa z zaniepokojeniem, że urząd ten opublikował wyniki monitorowania dotyczące wyłącznie nadawcy publicznego i prywatnych kanałów kablowych, ale nie prywatnych kanałów krajowych powiązanych z partią rządzącą;</w:t>
      </w:r>
    </w:p>
    <w:p w:rsidR="00C878C9" w:rsidRPr="00404AFC" w:rsidRDefault="00C878C9" w:rsidP="00C878C9">
      <w:pPr>
        <w:pStyle w:val="NormalHanging12a"/>
      </w:pPr>
      <w:r w:rsidRPr="00404AFC">
        <w:t>20.</w:t>
      </w:r>
      <w:r w:rsidRPr="00404AFC">
        <w:tab/>
      </w:r>
      <w:proofErr w:type="gramStart"/>
      <w:r w:rsidRPr="00404AFC">
        <w:t>wyraża</w:t>
      </w:r>
      <w:proofErr w:type="gramEnd"/>
      <w:r w:rsidRPr="00404AFC">
        <w:t xml:space="preserve"> zaniepokojenie przypadkami obraźliwych ataków i stosowania obraźliwego języka w połączeniu z nękaniem dziennikarzy, działaczy społeczeństwa obywatelskiego i organizacji społeczeństwa obywatelskiego, inicjowanych w niektórych przypadkach przez urzędników rządowych, zwłaszcza w okresie przedwyborczym; wzywa władze serbskie do przeciwdziałania obcym ingerencjom i kampaniom dezinformacyjnym, do zdecydowanej poprawy ochrony niezależnego dziennikarstwa oraz do zapewnienia przejrzystego krajobrazu medialnego; podkreśla, że instytucje UE muszą dołożyć większych starań, aby zapewnić ochronę praw i wolności serbskich dziennikarzy i mediów; zwraca uwagę, że należy wykorzystać dostęp do funduszy przedakcesyjnych jako sposób na powstrzymanie dalszego regresu wolności mediów;</w:t>
      </w:r>
    </w:p>
    <w:p w:rsidR="00C878C9" w:rsidRPr="00404AFC" w:rsidRDefault="00C878C9" w:rsidP="00C878C9">
      <w:pPr>
        <w:pStyle w:val="NormalHanging12a"/>
      </w:pPr>
      <w:r w:rsidRPr="00404AFC">
        <w:t>21.</w:t>
      </w:r>
      <w:r w:rsidRPr="00404AFC">
        <w:tab/>
      </w:r>
      <w:proofErr w:type="gramStart"/>
      <w:r w:rsidRPr="00404AFC">
        <w:t>wzywa</w:t>
      </w:r>
      <w:proofErr w:type="gramEnd"/>
      <w:r w:rsidRPr="00404AFC">
        <w:t xml:space="preserve"> do reformy skuteczności mechanizmów nadzoru kampanii, w tym Agencji ds. Zapobiegania Korupcji i Komitetu ad hoc ds. Nadzoru Kampanii, aby zapewnić terminowe i przejrzyste rozpatrywanie skarg dotyczących niewłaściwego wykorzystania zasobów publicznych;</w:t>
      </w:r>
    </w:p>
    <w:p w:rsidR="00C878C9" w:rsidRPr="00404AFC" w:rsidRDefault="00C878C9" w:rsidP="00C878C9">
      <w:pPr>
        <w:pStyle w:val="NormalHanging12a"/>
      </w:pPr>
      <w:r w:rsidRPr="00404AFC">
        <w:t>22.</w:t>
      </w:r>
      <w:r w:rsidRPr="00404AFC">
        <w:tab/>
      </w:r>
      <w:proofErr w:type="gramStart"/>
      <w:r w:rsidRPr="00404AFC">
        <w:t>podkreśla</w:t>
      </w:r>
      <w:proofErr w:type="gramEnd"/>
      <w:r w:rsidRPr="00404AFC">
        <w:t xml:space="preserve">, że Serbia – kraj kandydujący do członkostwa w UE – nie wdrożyła w sposób dostateczny podstawowych unijnych i międzynarodowych standardów demokratycznych; wzywa władze serbskie do zapewnienia wystarczających gwarancji </w:t>
      </w:r>
      <w:r w:rsidRPr="00404AFC">
        <w:lastRenderedPageBreak/>
        <w:t>demokratycznych, które umożliwią przeprowadzenie następnych regularnych wyborów lokalnych w 2024 r., a także kolejnych przyszłych wyborów;</w:t>
      </w:r>
    </w:p>
    <w:p w:rsidR="00C878C9" w:rsidRPr="00404AFC" w:rsidRDefault="00C878C9" w:rsidP="00C878C9">
      <w:pPr>
        <w:pStyle w:val="NormalHanging12a"/>
      </w:pPr>
      <w:r w:rsidRPr="00404AFC">
        <w:t>23.</w:t>
      </w:r>
      <w:r w:rsidRPr="00404AFC">
        <w:tab/>
      </w:r>
      <w:proofErr w:type="gramStart"/>
      <w:r w:rsidRPr="00404AFC">
        <w:t>zauważa</w:t>
      </w:r>
      <w:proofErr w:type="gramEnd"/>
      <w:r w:rsidRPr="00404AFC">
        <w:t>, że wszystkie parlamenty serbskie w ostatnich 12 latach z wyjątkiem jednego zostały rozwiązane przed upływem kadencji, a ciągłe przeprowadzanie przedterminowych wyborów zakłóca stabilność polityczną; podkreśla, że ciągłe przedterminowe wybory, stały tryb kampanii wyborczej i duże opóźnienia w formowaniu rządów nie przyczyniają się do efektywnego demokratycznego zarządzania krajem, za to osłabiają parlament i prowadzą do braku parlamentarnej kontroli legislacyjnej i legitymacji;</w:t>
      </w:r>
    </w:p>
    <w:p w:rsidR="00C878C9" w:rsidRPr="00404AFC" w:rsidRDefault="00C878C9" w:rsidP="00C878C9">
      <w:pPr>
        <w:pStyle w:val="NormalHanging12a"/>
      </w:pPr>
      <w:r w:rsidRPr="00404AFC">
        <w:t>24.</w:t>
      </w:r>
      <w:r w:rsidRPr="00404AFC">
        <w:tab/>
      </w:r>
      <w:proofErr w:type="gramStart"/>
      <w:r w:rsidRPr="00404AFC">
        <w:t>podkreśla</w:t>
      </w:r>
      <w:proofErr w:type="gramEnd"/>
      <w:r w:rsidRPr="00404AFC">
        <w:t xml:space="preserve"> znaczenie wolności słowa i przyznaje, że każdy ma prawo wyrażać swoje poglądy i uczestniczyć w pokojowych protestach; w związku z tym potępia nieproporcjonalne użycie siły przez policję wobec pokojowych demonstrantów protestujących przeciwko oszustwom wyborczym; jest zaniepokojony zarzutami, że wśród protestujących znaleźli się prowokatorzy, którzy wywołali interwencję policji; jest zaniepokojony informacjami, że niektórzy uczestnicy protestu 24 grudnia 2023 r. zostali nieproporcjonalnie surowo potraktowani przez policję i wymiar sprawiedliwości, co rażąco kontrastuje z praktykami serbskiej policji w przypadku poprzednich protestów w tym kraju; wzywa misje dyplomatyczne UE i państw członkowskich do dalszego monitorowania toczących się spraw sądowych związanych z protestami;</w:t>
      </w:r>
    </w:p>
    <w:p w:rsidR="00C878C9" w:rsidRPr="00404AFC" w:rsidRDefault="00C878C9" w:rsidP="00C878C9">
      <w:pPr>
        <w:pStyle w:val="NormalHanging12a"/>
      </w:pPr>
      <w:r w:rsidRPr="00404AFC">
        <w:t>25.</w:t>
      </w:r>
      <w:r w:rsidRPr="00404AFC">
        <w:tab/>
      </w:r>
      <w:proofErr w:type="gramStart"/>
      <w:r w:rsidRPr="00404AFC">
        <w:t>zdecydowanie</w:t>
      </w:r>
      <w:proofErr w:type="gramEnd"/>
      <w:r w:rsidRPr="00404AFC">
        <w:t xml:space="preserve"> potępia nieuzasadnione twierdzenia władz serbskich, że państwa członkowskie UE uczestniczyły w organizacji protestów powyborczych; ubolewa, że protesty te wykorzystano jako pretekst do rozpowszechniania </w:t>
      </w:r>
      <w:proofErr w:type="spellStart"/>
      <w:r w:rsidRPr="00404AFC">
        <w:t>antyunijnych</w:t>
      </w:r>
      <w:proofErr w:type="spellEnd"/>
      <w:r w:rsidRPr="00404AFC">
        <w:t xml:space="preserve"> narracji w mediach powiązanych z partią rządzącą;</w:t>
      </w:r>
    </w:p>
    <w:p w:rsidR="00C878C9" w:rsidRPr="00404AFC" w:rsidRDefault="00C878C9" w:rsidP="00C878C9">
      <w:pPr>
        <w:pStyle w:val="NormalHanging12a"/>
      </w:pPr>
      <w:r w:rsidRPr="00404AFC">
        <w:t>26.</w:t>
      </w:r>
      <w:r w:rsidRPr="00404AFC">
        <w:tab/>
      </w:r>
      <w:proofErr w:type="gramStart"/>
      <w:r w:rsidRPr="00404AFC">
        <w:t>ubolewa</w:t>
      </w:r>
      <w:proofErr w:type="gramEnd"/>
      <w:r w:rsidRPr="00404AFC">
        <w:t xml:space="preserve"> nad brakiem zdecydowanej krytyki ze strony Komisji, zwłaszcza ze strony komisarza ds. rozszerzenia, w związku z licznymi zarzutami oszustw wyborczych w wyborach w Serbii, i wzywa Komisję do niezwłocznego zajęcia się niedociągnięciami, które doprowadziły do tych zarzutów;</w:t>
      </w:r>
    </w:p>
    <w:p w:rsidR="00C878C9" w:rsidRPr="00404AFC" w:rsidRDefault="00C878C9" w:rsidP="00C878C9">
      <w:pPr>
        <w:pStyle w:val="NormalHanging12a"/>
      </w:pPr>
      <w:r w:rsidRPr="00404AFC">
        <w:t>27.</w:t>
      </w:r>
      <w:r w:rsidRPr="00404AFC">
        <w:tab/>
      </w:r>
      <w:proofErr w:type="gramStart"/>
      <w:r w:rsidRPr="00404AFC">
        <w:t>przypomina</w:t>
      </w:r>
      <w:proofErr w:type="gramEnd"/>
      <w:r w:rsidRPr="00404AFC">
        <w:t xml:space="preserve"> swoje stanowisko, zgodnie z którym negocjacje akcesyjne z Serbią powinny być kontynuowane tylko wtedy, gdy kraj ten poczyni znaczne postępy w zakresie reform związanych z UE oraz w pełni wdroży zalecenia OBWE/ODIHR i Komisji Weneckiej; wzywa Komisję i Radę do zastosowania rygorystycznej warunkowości; wzywa Komisję do podjęcia szczegółowych działań następczych w związku ze sprawozdaniami Europejskiego Trybunału Obrachunkowego oraz do natychmiastowego rozpoczęcia kontroli finansowania przyznanego serbskiemu rządowi w ramach Instrumentu Pomocy Przedakcesyjnej III (IPA III) i innych instrumentów finansowych; zwraca uwagę, że jeżeli władze serbskie nie zechcą wdrożyć kluczowych zaleceń dotyczących wyborów lub jeżeli wyniki tego dochodzenia wykażą, że </w:t>
      </w:r>
      <w:proofErr w:type="gramStart"/>
      <w:r w:rsidRPr="00404AFC">
        <w:t>władze</w:t>
      </w:r>
      <w:proofErr w:type="gramEnd"/>
      <w:r w:rsidRPr="00404AFC">
        <w:t xml:space="preserve"> serbskie były bezpośrednio zaangażowane w oszustwa wyborcze, będzie apelować o zawieszenie finansowania UE ze względu na poważne naruszenia praworządności w związku z wyborami w Serbii;</w:t>
      </w:r>
    </w:p>
    <w:p w:rsidR="00C878C9" w:rsidRPr="00404AFC" w:rsidRDefault="00C878C9" w:rsidP="00C878C9">
      <w:pPr>
        <w:pStyle w:val="NormalHanging12a"/>
      </w:pPr>
      <w:r w:rsidRPr="00404AFC">
        <w:t>28.</w:t>
      </w:r>
      <w:r w:rsidRPr="00404AFC">
        <w:tab/>
      </w:r>
      <w:proofErr w:type="gramStart"/>
      <w:r w:rsidRPr="00404AFC">
        <w:t>zobowiązuje</w:t>
      </w:r>
      <w:proofErr w:type="gramEnd"/>
      <w:r w:rsidRPr="00404AFC">
        <w:t xml:space="preserve"> się do ścisłego monitorowania sytuacji powyborczej w Serbii oraz do wspierania reform wzmacniających demokrację i pomagających Serbii poczynić postępy na drodze do przystąpienia do UE; podkreśla, że od zawsze dąży do wspierania pluralizmu politycznego i wzmacniania </w:t>
      </w:r>
      <w:proofErr w:type="spellStart"/>
      <w:r w:rsidRPr="00404AFC">
        <w:t>inkluzywnego</w:t>
      </w:r>
      <w:proofErr w:type="spellEnd"/>
      <w:r w:rsidRPr="00404AFC">
        <w:t xml:space="preserve"> środowiska wyborczego w Serbii we wszystkich swoich działaniach, w szczególności przez dialog międzypartyjny i </w:t>
      </w:r>
      <w:r w:rsidRPr="00404AFC">
        <w:lastRenderedPageBreak/>
        <w:t xml:space="preserve">proces dialogu parlamentarnego; podkreśla, że należy kontynuować dialog międzypartyjny i proces dialogu parlamentarnego; wzywa UE do ułatwienia wewnętrznego i konstruktywnego dialogu między rządem a opozycją w Serbii, tak aby przezwyciężyć obecny klimat głębokiej polaryzacji politycznej; w tym kontekście uznaje Parlament za najwłaściwszą instytucję do działania w charakterze konstruktywnego </w:t>
      </w:r>
      <w:proofErr w:type="gramStart"/>
      <w:r w:rsidRPr="00404AFC">
        <w:t>mediatora</w:t>
      </w:r>
      <w:proofErr w:type="gramEnd"/>
      <w:r w:rsidRPr="00404AFC">
        <w:t>;</w:t>
      </w:r>
    </w:p>
    <w:p w:rsidR="00C878C9" w:rsidRPr="00404AFC" w:rsidRDefault="00C878C9" w:rsidP="00C878C9">
      <w:pPr>
        <w:pStyle w:val="NormalHanging12a"/>
      </w:pPr>
      <w:r w:rsidRPr="00404AFC">
        <w:t>29.</w:t>
      </w:r>
      <w:r w:rsidRPr="00404AFC">
        <w:tab/>
      </w:r>
      <w:proofErr w:type="gramStart"/>
      <w:r w:rsidRPr="00404AFC">
        <w:t>zobowiązuje</w:t>
      </w:r>
      <w:proofErr w:type="gramEnd"/>
      <w:r w:rsidRPr="00404AFC">
        <w:t xml:space="preserve"> swoją przewodniczącą do przekazania niniejszej rezolucji przewodniczącemu Rady Europejskiej, Komisji, wiceprzewodniczącemu Komisji / wysokiemu przedstawicielowi Unii do spraw zagranicznych i polityki bezpieczeństwa, rządom i parlamentom państw członkowskich, prezydentowi, rządowi i Zgromadzeniu Narodowemu Serbii, Biuru Instytucji Demokratycznych i Praw Człowieka OBWE, Zgromadzeniu Parlamentarnemu OBWE oraz Zgromadzeniu Parlamentarnemu Rady Europy.</w:t>
      </w:r>
    </w:p>
    <w:p w:rsidR="00E365E1" w:rsidRPr="00404AFC" w:rsidRDefault="00E365E1" w:rsidP="00F23EF2">
      <w:bookmarkStart w:id="7" w:name="TextBodyEnd"/>
      <w:bookmarkEnd w:id="7"/>
    </w:p>
    <w:sectPr w:rsidR="00E365E1" w:rsidRPr="00404AFC" w:rsidSect="00404A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EF2" w:rsidRPr="00404AFC" w:rsidRDefault="00F23EF2">
      <w:r w:rsidRPr="00404AFC">
        <w:separator/>
      </w:r>
    </w:p>
  </w:endnote>
  <w:endnote w:type="continuationSeparator" w:id="0">
    <w:p w:rsidR="00F23EF2" w:rsidRPr="00404AFC" w:rsidRDefault="00F23EF2">
      <w:r w:rsidRPr="00404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A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A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A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EF2" w:rsidRPr="00404AFC" w:rsidRDefault="00F23EF2">
      <w:r w:rsidRPr="00404AFC">
        <w:separator/>
      </w:r>
    </w:p>
  </w:footnote>
  <w:footnote w:type="continuationSeparator" w:id="0">
    <w:p w:rsidR="00F23EF2" w:rsidRPr="00404AFC" w:rsidRDefault="00F23EF2">
      <w:r w:rsidRPr="00404AFC">
        <w:continuationSeparator/>
      </w:r>
    </w:p>
  </w:footnote>
  <w:footnote w:id="1">
    <w:p w:rsidR="00C878C9" w:rsidRPr="00F009A9" w:rsidRDefault="00C878C9" w:rsidP="00404AFC">
      <w:pPr>
        <w:pStyle w:val="FootnoteText"/>
        <w:ind w:left="567" w:hanging="567"/>
        <w:rPr>
          <w:sz w:val="24"/>
          <w:lang w:val="fi-FI"/>
        </w:rPr>
      </w:pPr>
      <w:r w:rsidRPr="00404AFC">
        <w:rPr>
          <w:rStyle w:val="FootnoteReference"/>
          <w:sz w:val="24"/>
          <w:lang w:val="pl-PL"/>
        </w:rPr>
        <w:footnoteRef/>
      </w:r>
      <w:r w:rsidR="00404AFC" w:rsidRPr="00F009A9">
        <w:rPr>
          <w:sz w:val="24"/>
          <w:lang w:val="fi-FI"/>
        </w:rPr>
        <w:t xml:space="preserve"> </w:t>
      </w:r>
      <w:r w:rsidR="00404AFC" w:rsidRPr="00F009A9">
        <w:rPr>
          <w:sz w:val="24"/>
          <w:lang w:val="fi-FI"/>
        </w:rPr>
        <w:tab/>
      </w:r>
      <w:r w:rsidRPr="00F009A9">
        <w:rPr>
          <w:sz w:val="24"/>
          <w:lang w:val="fi-FI"/>
        </w:rPr>
        <w:t>Dz.U. C, C/2023/1065, 15.12.2023, ELI: http://data.europa.eu/eli/C/2023/1065/oj.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A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A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A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6/2024"/>
    <w:docVar w:name="dvlangue" w:val="PL"/>
    <w:docVar w:name="dvnumam" w:val="0"/>
    <w:docVar w:name="dvpe" w:val="756.848"/>
    <w:docVar w:name="dvtitre" w:val="Rezolucja Parlamentu Europejskiego z dnia  2024 r. w sprawie sytuacji w Serbii po wyborach(2024/2521(RSP))"/>
  </w:docVars>
  <w:rsids>
    <w:rsidRoot w:val="00F23E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AF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754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8C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9A9"/>
    <w:rsid w:val="00F04346"/>
    <w:rsid w:val="00F075DC"/>
    <w:rsid w:val="00F149E9"/>
    <w:rsid w:val="00F23EF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ED04C"/>
  <w15:chartTrackingRefBased/>
  <w15:docId w15:val="{0179F47F-7F89-4410-98C8-289DB8E2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878C9"/>
    <w:pPr>
      <w:spacing w:after="240"/>
      <w:ind w:left="567" w:hanging="567"/>
    </w:pPr>
  </w:style>
  <w:style w:type="paragraph" w:customStyle="1" w:styleId="EPComma">
    <w:name w:val="EPComma"/>
    <w:basedOn w:val="Normal"/>
    <w:rsid w:val="00C878C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878C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157AD-9112-44BE-B2D3-02F4CDC31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3689</Words>
  <Characters>24948</Characters>
  <Application>Microsoft Office Word</Application>
  <DocSecurity>0</DocSecurity>
  <Lines>207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2024-02-08T12:02:00Z</dcterms:created>
  <dcterms:modified xsi:type="dcterms:W3CDTF">2024-02-08T12:02:00Z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B9-0106/2024</vt:lpwstr>
  </property>
  <property fmtid="{D5CDD505-2E9C-101B-9397-08002B2CF9AE}" pid="4" name="&lt;Type&gt;">
    <vt:lpwstr>RR</vt:lpwstr>
  </property>
</Properties>
</file>