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13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13C3" w:rsidRDefault="00502E17" w:rsidP="0010095E">
            <w:pPr>
              <w:pStyle w:val="EPName"/>
            </w:pPr>
            <w:r w:rsidRPr="000313C3">
              <w:t>Parlamento Europeu</w:t>
            </w:r>
          </w:p>
          <w:p w:rsidR="00751A4A" w:rsidRPr="000313C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13C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313C3" w:rsidRDefault="00187494" w:rsidP="0010095E">
            <w:pPr>
              <w:pStyle w:val="EPLogo"/>
            </w:pPr>
            <w:r w:rsidRPr="000313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13C3" w:rsidRDefault="00D058B8" w:rsidP="004C5D52">
      <w:pPr>
        <w:pStyle w:val="LineTop"/>
      </w:pPr>
    </w:p>
    <w:p w:rsidR="00680577" w:rsidRPr="000313C3" w:rsidRDefault="00502E17" w:rsidP="00680577">
      <w:pPr>
        <w:pStyle w:val="EPBodyTA1"/>
      </w:pPr>
      <w:r w:rsidRPr="000313C3">
        <w:t>TEXTOS APROVADOS</w:t>
      </w:r>
    </w:p>
    <w:p w:rsidR="00D058B8" w:rsidRPr="000313C3" w:rsidRDefault="00D058B8" w:rsidP="00D058B8">
      <w:pPr>
        <w:pStyle w:val="LineBottom"/>
      </w:pPr>
    </w:p>
    <w:p w:rsidR="00502E17" w:rsidRPr="000313C3" w:rsidRDefault="00502E17" w:rsidP="00502E17">
      <w:pPr>
        <w:pStyle w:val="ATHeading1"/>
      </w:pPr>
      <w:bookmarkStart w:id="0" w:name="TANumber"/>
      <w:r w:rsidRPr="000313C3">
        <w:t>P9_TA(2024)00</w:t>
      </w:r>
      <w:r w:rsidR="00C2483A">
        <w:t>75</w:t>
      </w:r>
      <w:bookmarkStart w:id="1" w:name="_GoBack"/>
      <w:bookmarkEnd w:id="0"/>
      <w:bookmarkEnd w:id="1"/>
    </w:p>
    <w:p w:rsidR="00502E17" w:rsidRPr="000313C3" w:rsidRDefault="00502E17" w:rsidP="00502E17">
      <w:pPr>
        <w:pStyle w:val="ATHeading2"/>
      </w:pPr>
      <w:bookmarkStart w:id="2" w:name="title"/>
      <w:r w:rsidRPr="000313C3">
        <w:t>A situação na Sérvia após as eleições</w:t>
      </w:r>
      <w:bookmarkEnd w:id="2"/>
    </w:p>
    <w:p w:rsidR="00502E17" w:rsidRPr="000313C3" w:rsidRDefault="00502E17" w:rsidP="00502E17">
      <w:pPr>
        <w:rPr>
          <w:i/>
          <w:vanish/>
        </w:rPr>
      </w:pPr>
      <w:r w:rsidRPr="000313C3">
        <w:rPr>
          <w:i/>
        </w:rPr>
        <w:fldChar w:fldCharType="begin"/>
      </w:r>
      <w:r w:rsidRPr="000313C3">
        <w:rPr>
          <w:i/>
        </w:rPr>
        <w:instrText xml:space="preserve"> TC"(</w:instrText>
      </w:r>
      <w:bookmarkStart w:id="3" w:name="DocNumber"/>
      <w:r w:rsidRPr="000313C3">
        <w:rPr>
          <w:i/>
        </w:rPr>
        <w:instrText>B9-0106, 0108, 0131, 0132, 0133 e 0134/2024</w:instrText>
      </w:r>
      <w:bookmarkEnd w:id="3"/>
      <w:r w:rsidRPr="000313C3">
        <w:rPr>
          <w:i/>
        </w:rPr>
        <w:instrText xml:space="preserve">)"\l3 \n&gt; \* MERGEFORMAT </w:instrText>
      </w:r>
      <w:r w:rsidRPr="000313C3">
        <w:rPr>
          <w:i/>
        </w:rPr>
        <w:fldChar w:fldCharType="end"/>
      </w:r>
    </w:p>
    <w:p w:rsidR="00502E17" w:rsidRPr="000313C3" w:rsidRDefault="00502E17" w:rsidP="00502E17">
      <w:pPr>
        <w:rPr>
          <w:vanish/>
        </w:rPr>
      </w:pPr>
      <w:bookmarkStart w:id="4" w:name="PE"/>
      <w:r w:rsidRPr="000313C3">
        <w:rPr>
          <w:vanish/>
        </w:rPr>
        <w:t>PE756.848</w:t>
      </w:r>
      <w:bookmarkEnd w:id="4"/>
    </w:p>
    <w:p w:rsidR="00502E17" w:rsidRPr="000313C3" w:rsidRDefault="00502E17" w:rsidP="00502E17">
      <w:pPr>
        <w:pStyle w:val="ATHeading3"/>
      </w:pPr>
      <w:bookmarkStart w:id="5" w:name="Sujet"/>
      <w:r w:rsidRPr="000313C3">
        <w:t xml:space="preserve">Resolução do Parlamento Europeu, de </w:t>
      </w:r>
      <w:r w:rsidR="000313C3">
        <w:t>8</w:t>
      </w:r>
      <w:r w:rsidRPr="000313C3">
        <w:t xml:space="preserve"> de </w:t>
      </w:r>
      <w:r w:rsidR="000313C3">
        <w:t>fevereiro</w:t>
      </w:r>
      <w:r w:rsidRPr="000313C3">
        <w:t xml:space="preserve"> de 2024, sobre a situação na Sérvia após as eleições</w:t>
      </w:r>
      <w:bookmarkEnd w:id="5"/>
      <w:r w:rsidRPr="000313C3">
        <w:t xml:space="preserve"> </w:t>
      </w:r>
      <w:bookmarkStart w:id="6" w:name="References"/>
      <w:r w:rsidRPr="000313C3">
        <w:t>(2024/2521(RSP))</w:t>
      </w:r>
      <w:bookmarkEnd w:id="6"/>
    </w:p>
    <w:p w:rsidR="00490142" w:rsidRPr="000313C3" w:rsidRDefault="00490142" w:rsidP="00490142">
      <w:pPr>
        <w:pStyle w:val="EPComma"/>
      </w:pPr>
      <w:bookmarkStart w:id="7" w:name="TextBodyBegin"/>
      <w:bookmarkEnd w:id="7"/>
      <w:r w:rsidRPr="000313C3">
        <w:rPr>
          <w:i/>
          <w:iCs/>
        </w:rPr>
        <w:t>O Parlamento Europeu,</w:t>
      </w:r>
    </w:p>
    <w:p w:rsidR="00490142" w:rsidRPr="000313C3" w:rsidRDefault="00490142" w:rsidP="00490142">
      <w:pPr>
        <w:pStyle w:val="NormalHanging12a"/>
      </w:pPr>
      <w:r w:rsidRPr="000313C3">
        <w:t>–</w:t>
      </w:r>
      <w:r w:rsidRPr="000313C3">
        <w:tab/>
        <w:t>Tendo em conta as suas anteriores resoluções sobre a Sérvia, em particular a Resolução, de 10 de maio de 2023, sobre o relatório de 2022 da Comissão relativo à Sérvia</w:t>
      </w:r>
      <w:r w:rsidRPr="000313C3">
        <w:rPr>
          <w:rStyle w:val="FootnoteReference"/>
        </w:rPr>
        <w:footnoteReference w:id="1"/>
      </w:r>
      <w:r w:rsidRPr="000313C3">
        <w:t>,</w:t>
      </w:r>
    </w:p>
    <w:p w:rsidR="00490142" w:rsidRPr="000313C3" w:rsidRDefault="00490142" w:rsidP="00490142">
      <w:pPr>
        <w:pStyle w:val="NormalHanging12a"/>
      </w:pPr>
      <w:r w:rsidRPr="000313C3">
        <w:t>–</w:t>
      </w:r>
      <w:r w:rsidRPr="000313C3">
        <w:tab/>
        <w:t xml:space="preserve">Tendo em conta as anteriores declarações da UE sobre a Sérvia, nomeadamente a declaração conjunta do Alto Representante da União para os Negócios Estrangeiros e a Política de Segurança, </w:t>
      </w:r>
      <w:proofErr w:type="spellStart"/>
      <w:r w:rsidRPr="000313C3">
        <w:t>Josep</w:t>
      </w:r>
      <w:proofErr w:type="spellEnd"/>
      <w:r w:rsidRPr="000313C3">
        <w:t xml:space="preserve"> </w:t>
      </w:r>
      <w:proofErr w:type="spellStart"/>
      <w:r w:rsidRPr="000313C3">
        <w:t>Borrell</w:t>
      </w:r>
      <w:proofErr w:type="spellEnd"/>
      <w:r w:rsidRPr="000313C3">
        <w:t xml:space="preserve">, e do Comissário da Vizinhança e Alargamento, </w:t>
      </w:r>
      <w:proofErr w:type="spellStart"/>
      <w:r w:rsidRPr="000313C3">
        <w:t>Olivér</w:t>
      </w:r>
      <w:proofErr w:type="spellEnd"/>
      <w:r w:rsidRPr="000313C3">
        <w:t xml:space="preserve"> </w:t>
      </w:r>
      <w:proofErr w:type="spellStart"/>
      <w:r w:rsidRPr="000313C3">
        <w:t>Várhelyi</w:t>
      </w:r>
      <w:proofErr w:type="spellEnd"/>
      <w:r w:rsidRPr="000313C3">
        <w:t>, de 19 de dezembro de 2023, sobre as eleições legislativas,</w:t>
      </w:r>
    </w:p>
    <w:p w:rsidR="00490142" w:rsidRPr="000313C3" w:rsidRDefault="00490142" w:rsidP="00490142">
      <w:pPr>
        <w:pStyle w:val="NormalHanging12a"/>
      </w:pPr>
      <w:r w:rsidRPr="000313C3">
        <w:t>–</w:t>
      </w:r>
      <w:r w:rsidRPr="000313C3">
        <w:tab/>
        <w:t>Tendo em conta a declaração de constatações e conclusões preliminares da missão internacional de observação (MIOE) das eleições legislativas antecipadas de 17 de dezembro de 2023 na Sérvia,</w:t>
      </w:r>
    </w:p>
    <w:p w:rsidR="00490142" w:rsidRPr="000313C3" w:rsidRDefault="00490142" w:rsidP="00490142">
      <w:pPr>
        <w:pStyle w:val="NormalHanging12a"/>
        <w:rPr>
          <w:snapToGrid w:val="0"/>
        </w:rPr>
      </w:pPr>
      <w:r w:rsidRPr="000313C3">
        <w:rPr>
          <w:snapToGrid w:val="0"/>
        </w:rPr>
        <w:t>–</w:t>
      </w:r>
      <w:r w:rsidRPr="000313C3">
        <w:rPr>
          <w:snapToGrid w:val="0"/>
        </w:rPr>
        <w:tab/>
        <w:t>Tendo em conta o parecer conjunto do Gabinete das Instituições Democráticas e dos Direitos Humanos (ODIHR) da Organização para a Segurança e a Cooperação na Europa (OSCE) e da Comissão de Veneza, de 19 de dezembro de 2022, sobre o quadro constitucional e jurídico que rege o funcionamento das instituições democráticas na Sérvia – Legislação eleitoral e administração eleitoral,</w:t>
      </w:r>
    </w:p>
    <w:p w:rsidR="00490142" w:rsidRPr="000313C3" w:rsidRDefault="00490142" w:rsidP="00490142">
      <w:pPr>
        <w:pStyle w:val="NormalHanging12a"/>
        <w:rPr>
          <w:snapToGrid w:val="0"/>
        </w:rPr>
      </w:pPr>
      <w:r w:rsidRPr="000313C3">
        <w:rPr>
          <w:snapToGrid w:val="0"/>
        </w:rPr>
        <w:t>–</w:t>
      </w:r>
      <w:r w:rsidRPr="000313C3">
        <w:rPr>
          <w:snapToGrid w:val="0"/>
        </w:rPr>
        <w:tab/>
        <w:t xml:space="preserve">Tendo em conta o relatório de observação eleitoral do Comité </w:t>
      </w:r>
      <w:r w:rsidRPr="000313C3">
        <w:rPr>
          <w:i/>
          <w:iCs/>
          <w:snapToGrid w:val="0"/>
        </w:rPr>
        <w:t>Ad Hoc</w:t>
      </w:r>
      <w:r w:rsidRPr="000313C3">
        <w:rPr>
          <w:snapToGrid w:val="0"/>
        </w:rPr>
        <w:t xml:space="preserve"> da Mesa da Assembleia Parlamentar do Conselho da Europa, de 17 de janeiro de 2024, intitulado «Observação das eleições legislativas antecipadas na Sérvia (17 de dezembro de 2023)»,</w:t>
      </w:r>
    </w:p>
    <w:p w:rsidR="00490142" w:rsidRPr="000313C3" w:rsidRDefault="00490142" w:rsidP="00490142">
      <w:pPr>
        <w:pStyle w:val="NormalHanging12a"/>
        <w:rPr>
          <w:snapToGrid w:val="0"/>
        </w:rPr>
      </w:pPr>
      <w:r w:rsidRPr="000313C3">
        <w:rPr>
          <w:snapToGrid w:val="0"/>
        </w:rPr>
        <w:t>–</w:t>
      </w:r>
      <w:r w:rsidRPr="000313C3">
        <w:rPr>
          <w:snapToGrid w:val="0"/>
        </w:rPr>
        <w:tab/>
        <w:t xml:space="preserve">Tendo em conta o discurso sobre as eleições na Sérvia proferido na sessão plenária do Parlamento, em 17 de janeiro de 2024, pelo comissário da Justiça, </w:t>
      </w:r>
      <w:proofErr w:type="spellStart"/>
      <w:r w:rsidRPr="000313C3">
        <w:rPr>
          <w:snapToGrid w:val="0"/>
        </w:rPr>
        <w:t>Didier</w:t>
      </w:r>
      <w:proofErr w:type="spellEnd"/>
      <w:r w:rsidRPr="000313C3">
        <w:rPr>
          <w:snapToGrid w:val="0"/>
        </w:rPr>
        <w:t xml:space="preserve"> </w:t>
      </w:r>
      <w:proofErr w:type="spellStart"/>
      <w:r w:rsidRPr="000313C3">
        <w:rPr>
          <w:snapToGrid w:val="0"/>
        </w:rPr>
        <w:t>Reynders</w:t>
      </w:r>
      <w:proofErr w:type="spellEnd"/>
      <w:r w:rsidRPr="000313C3">
        <w:rPr>
          <w:snapToGrid w:val="0"/>
        </w:rPr>
        <w:t>, em nome do Vice</w:t>
      </w:r>
      <w:r w:rsidRPr="000313C3">
        <w:rPr>
          <w:snapToGrid w:val="0"/>
        </w:rPr>
        <w:noBreakHyphen/>
        <w:t xml:space="preserve">Presidente da Comissão e Alto Representante da União para os Negócios Estrangeiros e a Política de Segurança (VP/AR), </w:t>
      </w:r>
      <w:proofErr w:type="spellStart"/>
      <w:r w:rsidRPr="000313C3">
        <w:rPr>
          <w:snapToGrid w:val="0"/>
        </w:rPr>
        <w:t>Josep</w:t>
      </w:r>
      <w:proofErr w:type="spellEnd"/>
      <w:r w:rsidRPr="000313C3">
        <w:rPr>
          <w:snapToGrid w:val="0"/>
        </w:rPr>
        <w:t xml:space="preserve"> </w:t>
      </w:r>
      <w:proofErr w:type="spellStart"/>
      <w:r w:rsidRPr="000313C3">
        <w:rPr>
          <w:snapToGrid w:val="0"/>
        </w:rPr>
        <w:t>Borrell</w:t>
      </w:r>
      <w:proofErr w:type="spellEnd"/>
      <w:r w:rsidRPr="000313C3">
        <w:rPr>
          <w:snapToGrid w:val="0"/>
        </w:rPr>
        <w:t>,</w:t>
      </w:r>
    </w:p>
    <w:p w:rsidR="00490142" w:rsidRPr="000313C3" w:rsidRDefault="00490142" w:rsidP="00490142">
      <w:pPr>
        <w:pStyle w:val="NormalHanging12a"/>
        <w:rPr>
          <w:snapToGrid w:val="0"/>
        </w:rPr>
      </w:pPr>
      <w:r w:rsidRPr="000313C3">
        <w:rPr>
          <w:snapToGrid w:val="0"/>
        </w:rPr>
        <w:t>–</w:t>
      </w:r>
      <w:r w:rsidRPr="000313C3">
        <w:rPr>
          <w:snapToGrid w:val="0"/>
        </w:rPr>
        <w:tab/>
        <w:t>Tendo em conta a carta aberta sobre a situação pós</w:t>
      </w:r>
      <w:r w:rsidRPr="000313C3">
        <w:rPr>
          <w:snapToGrid w:val="0"/>
        </w:rPr>
        <w:noBreakHyphen/>
        <w:t xml:space="preserve">eleitoral na Sérvia, assinada pelos </w:t>
      </w:r>
      <w:r w:rsidRPr="000313C3">
        <w:rPr>
          <w:snapToGrid w:val="0"/>
        </w:rPr>
        <w:lastRenderedPageBreak/>
        <w:t>presidentes das comissões dos Assuntos Externos de vários Estados</w:t>
      </w:r>
      <w:r w:rsidRPr="000313C3">
        <w:rPr>
          <w:snapToGrid w:val="0"/>
        </w:rPr>
        <w:noBreakHyphen/>
        <w:t>Membros,</w:t>
      </w:r>
    </w:p>
    <w:p w:rsidR="00490142" w:rsidRPr="000313C3" w:rsidRDefault="00490142" w:rsidP="00490142">
      <w:pPr>
        <w:pStyle w:val="NormalHanging12a"/>
      </w:pPr>
      <w:r w:rsidRPr="000313C3">
        <w:t>–</w:t>
      </w:r>
      <w:r w:rsidRPr="000313C3">
        <w:tab/>
        <w:t>Tendo em conta o processo de diálogo parlamentar facilitado pelo Parlamento Europeu na Sérvia,</w:t>
      </w:r>
    </w:p>
    <w:p w:rsidR="00490142" w:rsidRPr="000313C3" w:rsidRDefault="00490142" w:rsidP="00490142">
      <w:pPr>
        <w:pStyle w:val="NormalHanging12a"/>
      </w:pPr>
      <w:r w:rsidRPr="000313C3">
        <w:t>–</w:t>
      </w:r>
      <w:r w:rsidRPr="000313C3">
        <w:tab/>
        <w:t>Tendo em conta a Constituição da Sérvia de 2006 e a sua Lei de 2022 sobre a eleição dos deputados ao Parlamento,</w:t>
      </w:r>
    </w:p>
    <w:p w:rsidR="00490142" w:rsidRPr="000313C3" w:rsidRDefault="00490142" w:rsidP="00490142">
      <w:pPr>
        <w:pStyle w:val="NormalHanging12a"/>
      </w:pPr>
      <w:r w:rsidRPr="000313C3">
        <w:t>–</w:t>
      </w:r>
      <w:r w:rsidRPr="000313C3">
        <w:tab/>
        <w:t>Tendo em conta o Relatório Especial 01/2022 do Tribunal de Contas Europeu, de 10 de janeiro de 2022, intitulado «Apoio da UE ao Estado de direito nos Balcãs Ocidentais: apesar dos esforços, subsistem problemas fundamentais»,</w:t>
      </w:r>
    </w:p>
    <w:p w:rsidR="00490142" w:rsidRPr="000313C3" w:rsidRDefault="00490142" w:rsidP="00490142">
      <w:pPr>
        <w:pStyle w:val="NormalHanging12a"/>
      </w:pPr>
      <w:r w:rsidRPr="000313C3">
        <w:t>–</w:t>
      </w:r>
      <w:r w:rsidRPr="000313C3">
        <w:tab/>
        <w:t xml:space="preserve">Tendo em conta o artigo 132.º, </w:t>
      </w:r>
      <w:proofErr w:type="spellStart"/>
      <w:r w:rsidRPr="000313C3">
        <w:t>n.</w:t>
      </w:r>
      <w:r w:rsidRPr="000313C3">
        <w:rPr>
          <w:vertAlign w:val="superscript"/>
        </w:rPr>
        <w:t>os</w:t>
      </w:r>
      <w:proofErr w:type="spellEnd"/>
      <w:r w:rsidRPr="000313C3">
        <w:t> 2 e 4, do seu Regimento,</w:t>
      </w:r>
    </w:p>
    <w:p w:rsidR="00490142" w:rsidRPr="000313C3" w:rsidRDefault="00490142" w:rsidP="00490142">
      <w:pPr>
        <w:pStyle w:val="NormalHanging12a"/>
      </w:pPr>
      <w:r w:rsidRPr="000313C3">
        <w:t>A.</w:t>
      </w:r>
      <w:r w:rsidRPr="000313C3">
        <w:tab/>
        <w:t xml:space="preserve">Considerando que, na sequência dos tiroteios em massa em Belgrado e perto de </w:t>
      </w:r>
      <w:proofErr w:type="spellStart"/>
      <w:r w:rsidRPr="000313C3">
        <w:t>Mladenovac</w:t>
      </w:r>
      <w:proofErr w:type="spellEnd"/>
      <w:r w:rsidRPr="000313C3">
        <w:t>, em maio de 2023, foram organizadas grandes manifestações sob o lema «Sérvia contra a violência» em toda a Sérvia</w:t>
      </w:r>
      <w:r w:rsidR="00AC59B8">
        <w:t>; considerando que</w:t>
      </w:r>
      <w:r w:rsidRPr="000313C3">
        <w:t>, em 1 de novembro de 2023, o Presidente da Sérvia invocou pedidos da oposição reclamando eleições antecipadas para dissolver o Parlamento</w:t>
      </w:r>
      <w:r w:rsidR="00AC59B8">
        <w:t>; considerando que</w:t>
      </w:r>
      <w:r w:rsidRPr="000313C3">
        <w:t xml:space="preserve"> este agendou eleições legislativas antecipadas para 17 de dezembro de 2023;</w:t>
      </w:r>
    </w:p>
    <w:p w:rsidR="00490142" w:rsidRPr="000313C3" w:rsidRDefault="00490142" w:rsidP="00490142">
      <w:pPr>
        <w:pStyle w:val="NormalHanging12a"/>
      </w:pPr>
      <w:r w:rsidRPr="000313C3">
        <w:t>B.</w:t>
      </w:r>
      <w:r w:rsidRPr="000313C3">
        <w:tab/>
        <w:t>Considerando que, desde 2012, todas as eleições legislativas realizadas na Sérvia, exceto uma, foram eleições antecipadas</w:t>
      </w:r>
      <w:r w:rsidR="00AC59B8">
        <w:t>; considerando que</w:t>
      </w:r>
      <w:r w:rsidRPr="000313C3">
        <w:t xml:space="preserve"> estas foram as terceiras eleições legislativas realizadas em menos de quatro anos;</w:t>
      </w:r>
    </w:p>
    <w:p w:rsidR="00490142" w:rsidRPr="000313C3" w:rsidRDefault="00490142" w:rsidP="00490142">
      <w:pPr>
        <w:pStyle w:val="NormalHanging12a"/>
      </w:pPr>
      <w:r w:rsidRPr="000313C3">
        <w:t>C.</w:t>
      </w:r>
      <w:r w:rsidRPr="000313C3">
        <w:tab/>
        <w:t xml:space="preserve">Considerando que, na sequência da demissão súbita e simultânea de 65 presidentes de câmara do partido no poder, incluindo o presidente do município de Belgrado, e da decisão de </w:t>
      </w:r>
      <w:proofErr w:type="spellStart"/>
      <w:r w:rsidRPr="000313C3">
        <w:t>autodissolução</w:t>
      </w:r>
      <w:proofErr w:type="spellEnd"/>
      <w:r w:rsidRPr="000313C3">
        <w:t xml:space="preserve"> da Assembleia da Região Autónoma de Voivodina, apesar de deterem maiorias estáveis, foram convocadas eleições autárquicas antecipadas num terço dos municípios da Sérvia e eleições regionais em Voivodina para o mesmo dia, 17 de dezembro de 2023</w:t>
      </w:r>
      <w:r w:rsidR="00AC59B8">
        <w:t>; considerando que</w:t>
      </w:r>
      <w:r w:rsidRPr="000313C3">
        <w:t xml:space="preserve"> a realização de eleições legislativas nacionais e eleições autárquicas em parte do país no mesmo dia não constitui uma boa prática há muito estabelecida</w:t>
      </w:r>
      <w:r w:rsidR="00AC59B8">
        <w:t>; considerando que</w:t>
      </w:r>
      <w:r w:rsidRPr="000313C3">
        <w:t xml:space="preserve"> inúmeros observadores veem as eleições autárquicas antecipadas realizadas em parte do país como um instrumento a que o atual governo recorreu para consolidar o poder e como uso indevido do direito de voto das comunidades locais;</w:t>
      </w:r>
    </w:p>
    <w:p w:rsidR="00490142" w:rsidRPr="000313C3" w:rsidRDefault="00490142" w:rsidP="00490142">
      <w:pPr>
        <w:pStyle w:val="NormalHanging12a"/>
      </w:pPr>
      <w:r w:rsidRPr="000313C3">
        <w:t>D.</w:t>
      </w:r>
      <w:r w:rsidRPr="000313C3">
        <w:tab/>
        <w:t>Considerando que as eleições decorreram no contexto de uma polarização social exacerbada e intensa concorrência entre agendas políticas contrastantes</w:t>
      </w:r>
      <w:r w:rsidR="00AC59B8">
        <w:t>; considerando que</w:t>
      </w:r>
      <w:r w:rsidRPr="000313C3">
        <w:t xml:space="preserve"> foram marcadas por um nível sem precedentes de campanhas negativas e alarmismo, bem como ataques contra opositores políticos e jornalistas;</w:t>
      </w:r>
    </w:p>
    <w:p w:rsidR="00490142" w:rsidRPr="000313C3" w:rsidRDefault="00490142" w:rsidP="00490142">
      <w:pPr>
        <w:pStyle w:val="NormalHanging12a"/>
      </w:pPr>
      <w:r w:rsidRPr="000313C3">
        <w:t>E.</w:t>
      </w:r>
      <w:r w:rsidRPr="000313C3">
        <w:tab/>
        <w:t>Considerando que, até às eleições, a Sérvia não tinha executado as principais recomendações do ODIHR da OSCE e da Comissão de Veneza, inclusivamente as relativas à garantia da igualdade de condições, às medidas destinadas a prevenir o abuso de cargo público e a utilização indevida de recursos estatais, à separação entre funções oficiais e atividades de campanha, e ainda a mecanismos eficazes para prevenir a intimidação e a pressão sobre os eleitores, incluindo a compra de votos;</w:t>
      </w:r>
    </w:p>
    <w:p w:rsidR="00490142" w:rsidRPr="000313C3" w:rsidRDefault="00490142" w:rsidP="00490142">
      <w:pPr>
        <w:pStyle w:val="NormalHanging12a"/>
      </w:pPr>
      <w:r w:rsidRPr="000313C3">
        <w:t>F.</w:t>
      </w:r>
      <w:r w:rsidRPr="000313C3">
        <w:tab/>
        <w:t>Considerando que a campanha, em geral, se caracterizou por uma polarização ainda mais extrema, retórica agressiva, desacreditação pessoal, agressões verbais e linguagem incendiária</w:t>
      </w:r>
      <w:r w:rsidR="00AC59B8">
        <w:t>; considerando que</w:t>
      </w:r>
      <w:r w:rsidRPr="000313C3">
        <w:t xml:space="preserve"> a pressão sobre os funcionários do setor público, a </w:t>
      </w:r>
      <w:r w:rsidRPr="000313C3">
        <w:lastRenderedPageBreak/>
        <w:t>utilização abusiva de recursos públicos e os regimes de incentivo aos eleitores suscitaram preocupações quanto à capacidade dos eleitores para fazerem uma escolha livre de pressões indevidas</w:t>
      </w:r>
      <w:r w:rsidR="00AC59B8">
        <w:t>; considerando que</w:t>
      </w:r>
      <w:r w:rsidRPr="000313C3">
        <w:t xml:space="preserve"> estas práticas, além de representarem desafios para a oposição no acesso a locais públicos, desequilibrou as condições de concorrência e esbateu a separação entre o Estado e o partido no governo, contrariando as normas internacionais</w:t>
      </w:r>
      <w:r w:rsidR="00AC59B8">
        <w:t>; considerando que</w:t>
      </w:r>
      <w:r w:rsidRPr="000313C3">
        <w:t xml:space="preserve"> os meios de comunicação patrocinados pela Rússia – Sputnik </w:t>
      </w:r>
      <w:proofErr w:type="spellStart"/>
      <w:r w:rsidRPr="000313C3">
        <w:t>Serbia</w:t>
      </w:r>
      <w:proofErr w:type="spellEnd"/>
      <w:r w:rsidRPr="000313C3">
        <w:t xml:space="preserve"> e </w:t>
      </w:r>
      <w:proofErr w:type="spellStart"/>
      <w:r w:rsidRPr="000313C3">
        <w:t>Russia</w:t>
      </w:r>
      <w:proofErr w:type="spellEnd"/>
      <w:r w:rsidRPr="000313C3">
        <w:t xml:space="preserve"> </w:t>
      </w:r>
      <w:proofErr w:type="spellStart"/>
      <w:r w:rsidRPr="000313C3">
        <w:t>Today</w:t>
      </w:r>
      <w:proofErr w:type="spellEnd"/>
      <w:r w:rsidRPr="000313C3">
        <w:t xml:space="preserve"> </w:t>
      </w:r>
      <w:proofErr w:type="spellStart"/>
      <w:r w:rsidRPr="000313C3">
        <w:t>Balkan</w:t>
      </w:r>
      <w:proofErr w:type="spellEnd"/>
      <w:r w:rsidRPr="000313C3">
        <w:t xml:space="preserve"> – contribuíram ativamente para a difusão de desinformação, essencialmente sobre candidatos da oposição;</w:t>
      </w:r>
    </w:p>
    <w:p w:rsidR="00490142" w:rsidRPr="000313C3" w:rsidRDefault="00490142" w:rsidP="00490142">
      <w:pPr>
        <w:pStyle w:val="NormalHanging12a"/>
      </w:pPr>
      <w:r w:rsidRPr="000313C3">
        <w:t>G.</w:t>
      </w:r>
      <w:r w:rsidRPr="000313C3">
        <w:tab/>
        <w:t xml:space="preserve">Considerando que a campanha foi fortemente dominada pelo Presidente em exercício, </w:t>
      </w:r>
      <w:proofErr w:type="spellStart"/>
      <w:r w:rsidRPr="000313C3">
        <w:t>Aleksandar</w:t>
      </w:r>
      <w:proofErr w:type="spellEnd"/>
      <w:r w:rsidRPr="000313C3">
        <w:t xml:space="preserve"> </w:t>
      </w:r>
      <w:proofErr w:type="spellStart"/>
      <w:r w:rsidRPr="000313C3">
        <w:t>Vučić</w:t>
      </w:r>
      <w:proofErr w:type="spellEnd"/>
      <w:r w:rsidRPr="000313C3">
        <w:t>, que, embora não fosse candidato nestas eleições, assumiu um papel central nas atividades diárias de propaganda eleitoral através da participação constante em eventos do partido progressista sérvio (SNS)</w:t>
      </w:r>
      <w:r w:rsidR="00AC59B8">
        <w:t>; considerando que</w:t>
      </w:r>
      <w:r w:rsidRPr="000313C3">
        <w:t xml:space="preserve"> a lista do SNS ostentava o nome de </w:t>
      </w:r>
      <w:proofErr w:type="spellStart"/>
      <w:r w:rsidRPr="000313C3">
        <w:t>Vučić</w:t>
      </w:r>
      <w:proofErr w:type="spellEnd"/>
      <w:r w:rsidRPr="000313C3">
        <w:t>;</w:t>
      </w:r>
    </w:p>
    <w:p w:rsidR="00490142" w:rsidRPr="000313C3" w:rsidRDefault="00490142" w:rsidP="00490142">
      <w:pPr>
        <w:pStyle w:val="NormalHanging12a"/>
      </w:pPr>
      <w:r w:rsidRPr="000313C3">
        <w:t>H.</w:t>
      </w:r>
      <w:r w:rsidRPr="000313C3">
        <w:tab/>
        <w:t>Considerando que os organismos de supervisão da campanha e dos meios de comunicação eletrónicos se revelaram, em grande medida, ineficazes para impedir a prática de infrações durante o período eleitoral;</w:t>
      </w:r>
    </w:p>
    <w:p w:rsidR="00490142" w:rsidRPr="000313C3" w:rsidRDefault="00490142" w:rsidP="00490142">
      <w:pPr>
        <w:pStyle w:val="NormalHanging12a"/>
      </w:pPr>
      <w:r w:rsidRPr="000313C3">
        <w:t>I.</w:t>
      </w:r>
      <w:r w:rsidRPr="000313C3">
        <w:tab/>
        <w:t>Considerando que o ODIHR da OSCE, a Assembleia Parlamentar da OSCE, a Assembleia Parlamentar do Conselho da Europa e o Parlamento Europeu realizaram uma missão internacional de observação eleitoral (MIOE), a fim de determinar se as eleições respeitaram os compromissos assumidos no âmbito da OSCE e outras obrigações e normas internacionais em matéria de eleições democráticas, bem como a legislação nacional;</w:t>
      </w:r>
    </w:p>
    <w:p w:rsidR="00490142" w:rsidRPr="000313C3" w:rsidRDefault="00490142" w:rsidP="00490142">
      <w:pPr>
        <w:pStyle w:val="NormalHanging12a"/>
      </w:pPr>
      <w:r w:rsidRPr="000313C3">
        <w:t>J.</w:t>
      </w:r>
      <w:r w:rsidRPr="000313C3">
        <w:tab/>
        <w:t>Considerando que os cadernos eleitorais foram atualizados através do registo eleitoral unificado e que o número final de eleitores era de 6 500 666</w:t>
      </w:r>
      <w:r w:rsidR="00AC59B8">
        <w:t>; considerando que</w:t>
      </w:r>
      <w:r w:rsidRPr="000313C3">
        <w:t xml:space="preserve"> alegadamente inúmeras pessoas falecidas continuavam inscritas no registo;</w:t>
      </w:r>
    </w:p>
    <w:p w:rsidR="00490142" w:rsidRPr="000313C3" w:rsidRDefault="00490142" w:rsidP="00490142">
      <w:pPr>
        <w:pStyle w:val="NormalHanging12a"/>
      </w:pPr>
      <w:r w:rsidRPr="000313C3">
        <w:t>K.</w:t>
      </w:r>
      <w:r w:rsidRPr="000313C3">
        <w:tab/>
        <w:t>Considerando que a afluência às urnas, de 58,58 %, foi ligeiramente mais elevada do que nas eleições anteriores, realizadas em 2022;</w:t>
      </w:r>
    </w:p>
    <w:p w:rsidR="00490142" w:rsidRPr="000313C3" w:rsidRDefault="00490142" w:rsidP="00490142">
      <w:pPr>
        <w:pStyle w:val="NormalHanging12a"/>
      </w:pPr>
      <w:r w:rsidRPr="000313C3">
        <w:t>L.</w:t>
      </w:r>
      <w:r w:rsidRPr="000313C3">
        <w:tab/>
        <w:t>Considerando que, apesar de 43 % dos 2 817 candidatos ao parlamento serem mulheres e de terem sido envidados esforços para promover a participação das mulheres, estas continuam, de modo geral, sub</w:t>
      </w:r>
      <w:r w:rsidRPr="000313C3">
        <w:noBreakHyphen/>
        <w:t>representadas nos cargos eleitos e nomeados;</w:t>
      </w:r>
    </w:p>
    <w:p w:rsidR="00490142" w:rsidRPr="000313C3" w:rsidRDefault="00490142" w:rsidP="00490142">
      <w:pPr>
        <w:pStyle w:val="NormalHanging12a"/>
      </w:pPr>
      <w:r w:rsidRPr="000313C3">
        <w:t>M.</w:t>
      </w:r>
      <w:r w:rsidRPr="000313C3">
        <w:tab/>
        <w:t>Considerando que as eleições, em geral, decorreram sem percalços, mas o dia do escrutínio foi marcado por inúmeras deficiências processuais, nomeadamente a aplicação incoerente das salvaguardas durante a votação e a contagem, casos frequentes de sobrelotação, violações do segredo de voto, abundantes casos de votação em grupo e ataques físicos isolados;</w:t>
      </w:r>
    </w:p>
    <w:p w:rsidR="00490142" w:rsidRPr="000313C3" w:rsidRDefault="00490142" w:rsidP="00490142">
      <w:pPr>
        <w:pStyle w:val="NormalHanging12a"/>
      </w:pPr>
      <w:r w:rsidRPr="000313C3">
        <w:t>N.</w:t>
      </w:r>
      <w:r w:rsidRPr="000313C3">
        <w:tab/>
        <w:t>Considerando que, de acordo com a Comissão Eleitoral da República da Sérvia, o SNS obteve 46,75 % dos votos, enquanto a maior coligação da oposição, «Sérvia contra a Violência», obteve 23,66 %, o Partido Socialista da Sérvia 6,55 %, a coligação NADA 5,02 %, «Nós – A Voz do Povo» 4,69 % e cinco listas minoritárias obtiveram, num total combinado, 3,68 %;</w:t>
      </w:r>
    </w:p>
    <w:p w:rsidR="00490142" w:rsidRPr="000313C3" w:rsidRDefault="00490142" w:rsidP="00490142">
      <w:pPr>
        <w:pStyle w:val="NormalHanging12a"/>
      </w:pPr>
      <w:r w:rsidRPr="000313C3">
        <w:t>O.</w:t>
      </w:r>
      <w:r w:rsidRPr="000313C3">
        <w:tab/>
        <w:t xml:space="preserve">Considerando que, de acordo com a declaração das constatações e conclusões preliminares da MIOE, «as eleições legislativas antecipadas de 17 de dezembro, embora </w:t>
      </w:r>
      <w:r w:rsidRPr="000313C3">
        <w:lastRenderedPageBreak/>
        <w:t>tenham sido tecnicamente bem geridas e oferecido um leque de alternativas políticas aos eleitores, foram marcadas pela participação determinante do Presidente, o que, aliado às vantagens sistémicas do partido no poder, criou condições injustas»</w:t>
      </w:r>
      <w:r w:rsidR="00AC59B8">
        <w:t>; considerando que</w:t>
      </w:r>
      <w:r w:rsidRPr="000313C3">
        <w:t xml:space="preserve"> o relatório final do ODIHR da OSCE deverá ser publicado nas próximas semanas;</w:t>
      </w:r>
    </w:p>
    <w:p w:rsidR="00490142" w:rsidRPr="000313C3" w:rsidRDefault="00490142" w:rsidP="00490142">
      <w:pPr>
        <w:pStyle w:val="NormalHanging12a"/>
      </w:pPr>
      <w:r w:rsidRPr="000313C3">
        <w:t>P.</w:t>
      </w:r>
      <w:r w:rsidRPr="000313C3">
        <w:tab/>
        <w:t>Considerando que as principais alegações de irregularidades durante o dia das eleições dizem respeito, em particular, a Belgrado, onde eleitores «fantasma» de outros municípios sérvios em que não se realizavam eleições nesse dia, bem como de países vizinhos, estavam a ser registados pelas autoridades em apartamentos onde não residiam</w:t>
      </w:r>
      <w:r w:rsidR="00AC59B8">
        <w:t>; considerando que</w:t>
      </w:r>
      <w:r w:rsidRPr="000313C3">
        <w:t xml:space="preserve"> houve múltiplas alegações de que eleitores residentes no estrangeiro foram organizados e transportados em autocarro para a Sérvia pelo partido no poder, com o intuito de votarem nas eleições autárquicas em Belgrado;</w:t>
      </w:r>
    </w:p>
    <w:p w:rsidR="00490142" w:rsidRPr="000313C3" w:rsidRDefault="00490142" w:rsidP="00490142">
      <w:pPr>
        <w:pStyle w:val="NormalHanging12a"/>
      </w:pPr>
      <w:r w:rsidRPr="000313C3">
        <w:t>Q.</w:t>
      </w:r>
      <w:r w:rsidRPr="000313C3">
        <w:tab/>
        <w:t>Considerando que a organização da sociedade civil sérvia CRTA realizou uma análise aprofundada, com base em dados e recursos limitados, e que a estimativa muito prudente é de que as imprecisões no registo eleitoral ascendem a, pelo menos, 30 000 eleitores</w:t>
      </w:r>
      <w:r w:rsidR="00AC59B8">
        <w:t>; considerando que</w:t>
      </w:r>
      <w:r w:rsidRPr="000313C3">
        <w:t xml:space="preserve"> dispõe de provas sólidas de que esta imprecisão fazia parte de uma estratégia de engenharia eleitoral ilegal e ilegítima para influenciar os resultados eleitorais e distorcer a vontade dos eleitores</w:t>
      </w:r>
      <w:r w:rsidR="00AC59B8">
        <w:t>; considerando que</w:t>
      </w:r>
      <w:r w:rsidRPr="000313C3">
        <w:t xml:space="preserve"> foram transportadas pessoas de toda a Sérvia e do estrangeiro (Bósnia</w:t>
      </w:r>
      <w:r w:rsidRPr="000313C3">
        <w:noBreakHyphen/>
        <w:t>Herzegovina e Montenegro) para votar nas eleições autárquicas em Belgrado</w:t>
      </w:r>
      <w:r w:rsidR="00AC59B8">
        <w:t>; considerando que</w:t>
      </w:r>
      <w:r w:rsidRPr="000313C3">
        <w:t xml:space="preserve"> até funcionários governamentais e políticos da Bósnia</w:t>
      </w:r>
      <w:r w:rsidRPr="000313C3">
        <w:noBreakHyphen/>
        <w:t>Herzegovina votaram abertamente nas eleições autárquicas de Belgrado</w:t>
      </w:r>
      <w:r w:rsidR="00AC59B8">
        <w:t>; considerando que</w:t>
      </w:r>
      <w:r w:rsidRPr="000313C3">
        <w:t xml:space="preserve"> o Governo sérvio defendeu esta prática como legítima;</w:t>
      </w:r>
    </w:p>
    <w:p w:rsidR="00490142" w:rsidRPr="000313C3" w:rsidRDefault="00490142" w:rsidP="00490142">
      <w:pPr>
        <w:pStyle w:val="NormalHanging12a"/>
      </w:pPr>
      <w:r w:rsidRPr="000313C3">
        <w:t>R.</w:t>
      </w:r>
      <w:r w:rsidRPr="000313C3">
        <w:tab/>
        <w:t>Considerando que entre as outras alegações significativas de irregularidades se contam a compra de votos, a falta de imparcialidade dos meios de comunicação social, a pressão sobre os funcionários do setor público e grupos socialmente vulneráveis, a utilização indevida de recursos públicos, a intimidação e a introdução fraudulenta de boletins de voto nas urnas;</w:t>
      </w:r>
    </w:p>
    <w:p w:rsidR="00490142" w:rsidRPr="000313C3" w:rsidRDefault="00490142" w:rsidP="00490142">
      <w:pPr>
        <w:pStyle w:val="NormalHanging12a"/>
      </w:pPr>
      <w:r w:rsidRPr="000313C3">
        <w:t>S.</w:t>
      </w:r>
      <w:r w:rsidRPr="000313C3">
        <w:tab/>
        <w:t>Considerando que as autoridades sérvias negam quaisquer irregularidades</w:t>
      </w:r>
      <w:r w:rsidR="00AC59B8">
        <w:t>; considerando que</w:t>
      </w:r>
      <w:r w:rsidRPr="000313C3">
        <w:t xml:space="preserve"> tanto o Presidente sérvio como os meios de comunicação social controlados pelo Kremlin alegaram que outros países se ingeriram brutalmente no processo eleitoral na Sérvia, mas não apresentaram provas fundamentadas dessas alegações</w:t>
      </w:r>
      <w:r w:rsidR="00AC59B8">
        <w:t>; considerando que</w:t>
      </w:r>
      <w:r w:rsidRPr="000313C3">
        <w:t xml:space="preserve"> o Primeiro</w:t>
      </w:r>
      <w:r w:rsidRPr="000313C3">
        <w:noBreakHyphen/>
        <w:t xml:space="preserve">Ministro </w:t>
      </w:r>
      <w:proofErr w:type="spellStart"/>
      <w:r w:rsidRPr="000313C3">
        <w:t>Brnabić</w:t>
      </w:r>
      <w:proofErr w:type="spellEnd"/>
      <w:r w:rsidRPr="000313C3">
        <w:t xml:space="preserve"> agradeceu publicamente aos serviços de informações russos pela prestação de informações sobre as atividades planeadas pela oposição</w:t>
      </w:r>
      <w:r w:rsidR="00AC59B8">
        <w:t>; considerando que</w:t>
      </w:r>
      <w:r w:rsidRPr="000313C3">
        <w:t xml:space="preserve"> a divulgação da desinformação e das narrativas russas é um problema profundo e persistente na Sérvia, mormente durante as campanhas eleitorais</w:t>
      </w:r>
      <w:r w:rsidR="00AC59B8">
        <w:t>; considerando que</w:t>
      </w:r>
      <w:r w:rsidRPr="000313C3">
        <w:t xml:space="preserve"> o Kremlin condenou os protestos públicos contra a fraude nas eleições gerais da Sérvia como tentativas ocidentais de derrubar o Governo e orquestrar outro «golpe de Estado de </w:t>
      </w:r>
      <w:proofErr w:type="spellStart"/>
      <w:r w:rsidRPr="000313C3">
        <w:t>Maidan</w:t>
      </w:r>
      <w:proofErr w:type="spellEnd"/>
      <w:r w:rsidRPr="000313C3">
        <w:t>»;</w:t>
      </w:r>
    </w:p>
    <w:p w:rsidR="00490142" w:rsidRPr="000313C3" w:rsidRDefault="00490142" w:rsidP="00490142">
      <w:pPr>
        <w:pStyle w:val="NormalHanging12a"/>
      </w:pPr>
      <w:r w:rsidRPr="000313C3">
        <w:t>T.</w:t>
      </w:r>
      <w:r w:rsidRPr="000313C3">
        <w:tab/>
        <w:t>Considerando que as organizações independentes sérvias que denunciaram as irregularidades durante as recentes eleições foram sujeitas a constantes ataques por parte de funcionários governamentais</w:t>
      </w:r>
      <w:r w:rsidR="00AC59B8">
        <w:t>; considerando que</w:t>
      </w:r>
      <w:r w:rsidRPr="000313C3">
        <w:t>, apesar de terem sido reveladas muitas provas concretas que apontam para fraude eleitoral, até à data, as autoridades sérvias se recusaram a investigar estas alegações de irregularidades e tentaram, em vez disso, desacreditar e intimidar os observadores eleitorais que publicaram relatos das irregularidades</w:t>
      </w:r>
      <w:r w:rsidR="00AC59B8">
        <w:t>; considerando que</w:t>
      </w:r>
      <w:r w:rsidRPr="000313C3">
        <w:t xml:space="preserve">, desde as eleições, os principais políticos sérvios, </w:t>
      </w:r>
      <w:r w:rsidRPr="000313C3">
        <w:lastRenderedPageBreak/>
        <w:t>incluindo o Presidente, têm vindo a difamar injustamente os deputados ao Parlamento Europeu e outros membros da MIOE;</w:t>
      </w:r>
    </w:p>
    <w:p w:rsidR="00490142" w:rsidRPr="000313C3" w:rsidRDefault="00490142" w:rsidP="00490142">
      <w:pPr>
        <w:pStyle w:val="NormalHanging12a"/>
      </w:pPr>
      <w:r w:rsidRPr="000313C3">
        <w:t>U.</w:t>
      </w:r>
      <w:r w:rsidRPr="000313C3">
        <w:tab/>
        <w:t xml:space="preserve">Considerando que os resultados das eleições, especialmente das eleições autárquicas em Belgrado, foram contestados pela oposição, o que conduziu a grandes manifestações pacíficas iniciadas pela coligação da oposição «Sérvia contra a Violência» e pela associação não partidária </w:t>
      </w:r>
      <w:proofErr w:type="spellStart"/>
      <w:r w:rsidRPr="000313C3">
        <w:t>ProGlas</w:t>
      </w:r>
      <w:proofErr w:type="spellEnd"/>
      <w:r w:rsidRPr="000313C3">
        <w:t xml:space="preserve"> para exigir a anulação das eleições e a realização de um novo escrutínio</w:t>
      </w:r>
      <w:r w:rsidR="00AC59B8">
        <w:t>; considerando que</w:t>
      </w:r>
      <w:r w:rsidRPr="000313C3">
        <w:t xml:space="preserve"> a Comissão Eleitoral nacional rejeitou as queixas da oposição</w:t>
      </w:r>
      <w:r w:rsidR="00AC59B8">
        <w:t>; considerando que</w:t>
      </w:r>
      <w:r w:rsidRPr="000313C3">
        <w:t xml:space="preserve"> a oposição pediu a anulação dos resultados eleitorais junto do Tribunal Constitucional devido a alegações de fraude generalizada;</w:t>
      </w:r>
    </w:p>
    <w:p w:rsidR="00490142" w:rsidRPr="000313C3" w:rsidRDefault="00490142" w:rsidP="00490142">
      <w:pPr>
        <w:pStyle w:val="NormalHanging12a"/>
      </w:pPr>
      <w:r w:rsidRPr="000313C3">
        <w:t>V.</w:t>
      </w:r>
      <w:r w:rsidRPr="000313C3">
        <w:tab/>
        <w:t>Considerando que um protesto, em 24 de dezembro de 2023, se tornou violento quando alguns dos manifestantes invadiram a Assembleia Municipal de Belgrado, após o que a polícia deteve 38 pessoas, incluindo estudantes, que foram objeto de ação penal por contestarem a ordem constitucional, algumas das quais continuam em prisão domiciliária</w:t>
      </w:r>
      <w:r w:rsidR="00AC59B8">
        <w:t>; considerando que</w:t>
      </w:r>
      <w:r w:rsidRPr="000313C3">
        <w:t xml:space="preserve"> vários manifestantes pacíficos alegaram que pessoas mascaradas e desordeiras se tinham infiltrado nas manifestações</w:t>
      </w:r>
      <w:r w:rsidR="00AC59B8">
        <w:t>; considerando que</w:t>
      </w:r>
      <w:r w:rsidRPr="000313C3">
        <w:t xml:space="preserve"> os manifestantes pacíficos denunciaram também o uso desproporcionado de força por parte da polícia;</w:t>
      </w:r>
    </w:p>
    <w:p w:rsidR="00490142" w:rsidRPr="000313C3" w:rsidRDefault="00490142" w:rsidP="00490142">
      <w:pPr>
        <w:pStyle w:val="NormalHanging12a"/>
      </w:pPr>
      <w:r w:rsidRPr="000313C3">
        <w:t>W.</w:t>
      </w:r>
      <w:r w:rsidRPr="000313C3">
        <w:tab/>
        <w:t xml:space="preserve">Considerando que, na última década, desde que o Presidente </w:t>
      </w:r>
      <w:proofErr w:type="spellStart"/>
      <w:r w:rsidRPr="000313C3">
        <w:t>Vučić</w:t>
      </w:r>
      <w:proofErr w:type="spellEnd"/>
      <w:r w:rsidRPr="000313C3">
        <w:t xml:space="preserve"> chegou ao poder, tem havido uma erosão contínua da liberdade dos meios de comunicação social na Sérvia, caracterizada por pressão política, ameaças e mesmo ataques físicos contra jornalistas</w:t>
      </w:r>
      <w:r w:rsidR="00AC59B8">
        <w:t>; considerando que</w:t>
      </w:r>
      <w:r w:rsidRPr="000313C3">
        <w:t xml:space="preserve"> os Repórteres Sem Fronteiras colocaram a Sérvia entre os mais baixos da Europa no seu Índice Mundial da Liberdade de Imprensa, tendo o país descido 12 lugares para o n.º 91 em 2023;</w:t>
      </w:r>
    </w:p>
    <w:p w:rsidR="00490142" w:rsidRPr="000313C3" w:rsidRDefault="00490142" w:rsidP="00490142">
      <w:pPr>
        <w:pStyle w:val="NormalHanging12a"/>
      </w:pPr>
      <w:r w:rsidRPr="000313C3">
        <w:t>X.</w:t>
      </w:r>
      <w:r w:rsidRPr="000313C3">
        <w:tab/>
        <w:t>Considerando que o Estado de direito e o bom funcionamento das instituições democráticas da Sérvia continuam a ser um desafio fundamental para o processo de adesão do país à UE;</w:t>
      </w:r>
    </w:p>
    <w:p w:rsidR="00490142" w:rsidRPr="000313C3" w:rsidRDefault="00490142" w:rsidP="00490142">
      <w:pPr>
        <w:pStyle w:val="NormalHanging12a"/>
      </w:pPr>
      <w:r w:rsidRPr="000313C3">
        <w:t>1.</w:t>
      </w:r>
      <w:r w:rsidRPr="000313C3">
        <w:tab/>
        <w:t>Lamenta que as eleições legislativas e autárquicas sérvias, realizadas em 17 de dezembro de 2023, se tenham desviado das normas internacionais e dos compromissos assumidos pela Sérvia no sentido de levar a cabo eleições livres e justas, devido aos abusos persistentes e sistemáticos das instituições e dos meios de comunicação social por parte do partido no poder, a fim de obter uma vantagem injusta e indevida; é de opinião que estas eleições não podem ser consideradas como tendo sido realizadas em condições equitativas; considera alarmantes os relatos sobre a dimensão generalizada e sistemática da fraude que comprometeu a integridade das eleições na Sérvia;</w:t>
      </w:r>
    </w:p>
    <w:p w:rsidR="00490142" w:rsidRPr="000313C3" w:rsidRDefault="00490142" w:rsidP="00490142">
      <w:pPr>
        <w:pStyle w:val="NormalHanging12a"/>
      </w:pPr>
      <w:r w:rsidRPr="000313C3">
        <w:t>2.</w:t>
      </w:r>
      <w:r w:rsidRPr="000313C3">
        <w:tab/>
        <w:t>Regista que a MIOE declarou que as eleições decorreram sem percalços, mas que o dia do escrutínio foi marcado por inúmeras deficiências processuais, nomeadamente a aplicação incoerente das salvaguardas durante a votação e a contagem, casos frequentes de sobrelotação, violações do segredo de voto e abundantes casos de votação em grupo; manifesta a sua profunda preocupação com essas irregularidades e com o ambiente eleitoral em geral, pois não correspondem ao que se espera de um país candidato à adesão à UE; recorda às autoridades sérvias que o bom funcionamento das instituições democráticas da Sérvia está no cerne do processo e da metodologia de adesão da Sérvia à UE;</w:t>
      </w:r>
    </w:p>
    <w:p w:rsidR="00490142" w:rsidRPr="000313C3" w:rsidRDefault="00490142" w:rsidP="00490142">
      <w:pPr>
        <w:pStyle w:val="NormalHanging12a"/>
      </w:pPr>
      <w:r w:rsidRPr="000313C3">
        <w:t>3.</w:t>
      </w:r>
      <w:r w:rsidRPr="000313C3">
        <w:tab/>
        <w:t xml:space="preserve">Regista com grande apreensão as vastas provas recolhidas pelos observadores nacionais </w:t>
      </w:r>
      <w:r w:rsidRPr="000313C3">
        <w:lastRenderedPageBreak/>
        <w:t>e internacionais que revelam atividades antes e durante o dia do escrutínio que podem ter alterado o resultado das eleições, ter tido repercussões críticas nos resultados das eleições autárquicas de Belgrado, em particular, e ter comprometido gravemente a legitimidade das eleições legislativas;</w:t>
      </w:r>
    </w:p>
    <w:p w:rsidR="00490142" w:rsidRPr="000313C3" w:rsidRDefault="00490142" w:rsidP="00490142">
      <w:pPr>
        <w:pStyle w:val="NormalHanging12a"/>
      </w:pPr>
      <w:r w:rsidRPr="000313C3">
        <w:t>4.</w:t>
      </w:r>
      <w:r w:rsidRPr="000313C3">
        <w:tab/>
        <w:t xml:space="preserve">Apela a uma investigação internacional independente, por peritos jurídicos e instituições internacionais respeitados, das irregularidades nas eleições legislativas, regionais e autárquicas, dando especial atenção às eleições para a Assembleia Municipal de Belgrado, uma vez que certas alegações, nomeadamente as relativas à migração eleitoral organizada a nível local, ultrapassam o âmbito dos relatórios do ODIHR da OSCE; defende o envio expedito de uma missão de recolha de informações </w:t>
      </w:r>
      <w:r w:rsidRPr="000313C3">
        <w:rPr>
          <w:i/>
          <w:iCs/>
        </w:rPr>
        <w:t>ad hoc</w:t>
      </w:r>
      <w:r w:rsidRPr="000313C3">
        <w:t xml:space="preserve"> à Sérvia, com a participação do Parlamento;</w:t>
      </w:r>
    </w:p>
    <w:p w:rsidR="00490142" w:rsidRPr="000313C3" w:rsidRDefault="00490142" w:rsidP="00490142">
      <w:pPr>
        <w:pStyle w:val="NormalHanging12a"/>
      </w:pPr>
      <w:r w:rsidRPr="000313C3">
        <w:t>5.</w:t>
      </w:r>
      <w:r w:rsidRPr="000313C3">
        <w:tab/>
        <w:t>Exorta a Comissão a lançar uma iniciativa para o envio de uma missão de peritos à Sérvia de molde a avaliar a situação no que concerne às eleições recentes e à evolução do contexto pós</w:t>
      </w:r>
      <w:r w:rsidRPr="000313C3">
        <w:noBreakHyphen/>
        <w:t>eleitoral, numa tentativa de ajudar a criar as condições prévias para encetar um diálogo social necessário que procure restabelecer a confiança dos cidadãos nas instituições e analisar os problemas sistémicos em matéria de Estado de direito na Sérvia, baseando</w:t>
      </w:r>
      <w:r w:rsidRPr="000313C3">
        <w:noBreakHyphen/>
        <w:t xml:space="preserve">se nos «relatórios </w:t>
      </w:r>
      <w:proofErr w:type="spellStart"/>
      <w:r w:rsidRPr="000313C3">
        <w:t>Priebe</w:t>
      </w:r>
      <w:proofErr w:type="spellEnd"/>
      <w:r w:rsidRPr="000313C3">
        <w:t>»;</w:t>
      </w:r>
    </w:p>
    <w:p w:rsidR="00490142" w:rsidRPr="000313C3" w:rsidRDefault="00490142" w:rsidP="00490142">
      <w:pPr>
        <w:pStyle w:val="NormalHanging12a"/>
      </w:pPr>
      <w:r w:rsidRPr="000313C3">
        <w:t>6.</w:t>
      </w:r>
      <w:r w:rsidRPr="000313C3">
        <w:tab/>
        <w:t>Lamenta a falta de resposta institucional às graves alegações de envolvimento do partido no poder em manipulações e abusos eleitorais, o que contribui para um clima de impunidade e assegura a perpetuação destas práticas; observa com preocupação que algumas das irregularidades eleitorais que antecederam as eleições de dezembro de</w:t>
      </w:r>
      <w:r w:rsidR="00AC59B8">
        <w:t> </w:t>
      </w:r>
      <w:r w:rsidRPr="000313C3">
        <w:t>2023 constituem potenciais violações do direito sérvio e da Constituição do país; frisa que, se lhes for permitido persistir sem nenhuma consequência, tais práticas continuarão a minar a confiança no processo eleitoral e nas instituições da Sérvia, prejudicando irrevogavelmente o regime democrático e uma maior integração europeia; salienta a importância de investigar exaustivamente todas as queixas relacionadas com as eleições, incluindo o recente pedido de anulação das eleições para a Assembleia Municipal de Belgrado de 17 de dezembro de 2023, que foi apresentado ao Tribunal Constitucional por um representante da coligação «Sérvia contra a violência»;</w:t>
      </w:r>
    </w:p>
    <w:p w:rsidR="00490142" w:rsidRPr="000313C3" w:rsidRDefault="00490142" w:rsidP="00490142">
      <w:pPr>
        <w:pStyle w:val="NormalHanging12a"/>
      </w:pPr>
      <w:r w:rsidRPr="000313C3">
        <w:t>7.</w:t>
      </w:r>
      <w:r w:rsidRPr="000313C3">
        <w:tab/>
        <w:t>Lamenta a ausência de ações penais e sanções relacionadas com as infrações no decurso das eleições, inclusivamente as graves alegações de manipulação ilegal do registo eleitoral e do direito de voto, de pressão e intimidação contra cidadãos e candidatos eleitorais, de casos de corrupção, da falsificação de assinaturas de cidadãos, de clientelismo, da utilização ilegítima e ilegal de dados dos cidadãos, de abusos de cargos públicos e de falta de mecanismos eficazes para impedir que o partido no poder obtivesse uma vantagem institucional desleal nas eleições;</w:t>
      </w:r>
    </w:p>
    <w:p w:rsidR="00490142" w:rsidRPr="000313C3" w:rsidRDefault="00490142" w:rsidP="00490142">
      <w:pPr>
        <w:pStyle w:val="NormalHanging12a"/>
      </w:pPr>
      <w:r w:rsidRPr="000313C3">
        <w:t>8.</w:t>
      </w:r>
      <w:r w:rsidRPr="000313C3">
        <w:tab/>
        <w:t>Exorta as autoridades sérvias a investigar, instaurar ações penais e levar a tribunal os responsáveis por qualquer infração penal no decurso das eleições e quaisquer ataques a estudantes;</w:t>
      </w:r>
    </w:p>
    <w:p w:rsidR="00490142" w:rsidRPr="000313C3" w:rsidRDefault="00490142" w:rsidP="00490142">
      <w:pPr>
        <w:pStyle w:val="NormalHanging12a"/>
      </w:pPr>
      <w:r w:rsidRPr="000313C3">
        <w:t>9.</w:t>
      </w:r>
      <w:r w:rsidRPr="000313C3">
        <w:tab/>
        <w:t xml:space="preserve">Condena os ataques orquestrados por funcionários sérvios contra observadores eleitorais, incluindo deputados ao Parlamento Europeu, e solicita o regresso a um discurso respeitador e construtivo, salientando a importância do respeito mútuo no processo democrático; manifesta profunda preocupação com as tentativas de desacreditar e intimidar os observadores; exorta as autoridades sérvias a tomarem todas as medidas necessárias para evitar novas campanhas de desinformação contra </w:t>
      </w:r>
      <w:r w:rsidRPr="000313C3">
        <w:lastRenderedPageBreak/>
        <w:t>observadores eleitorais e a criarem condições propícias para que os observadores eleitorais nacionais e internacionais possam efetuar devidamente o seu trabalho, bem como para os proteger de qualquer tipo de violência, ameaças, retaliação, discriminação negativa, pressão ou qualquer outra ação arbitrária resultante do exercício legítimo dos seus direitos e liberdades; elogia o trabalho dos observadores nacionais do Centro de investigação, transparência e responsabilidade (CRTA) e do Centro para as eleições livres e a democracia (</w:t>
      </w:r>
      <w:proofErr w:type="spellStart"/>
      <w:r w:rsidRPr="000313C3">
        <w:t>CeSID</w:t>
      </w:r>
      <w:proofErr w:type="spellEnd"/>
      <w:r w:rsidRPr="000313C3">
        <w:t>);</w:t>
      </w:r>
    </w:p>
    <w:p w:rsidR="00490142" w:rsidRPr="000313C3" w:rsidRDefault="00490142" w:rsidP="00490142">
      <w:pPr>
        <w:pStyle w:val="NormalHanging12a"/>
      </w:pPr>
      <w:r w:rsidRPr="000313C3">
        <w:t>10.</w:t>
      </w:r>
      <w:r w:rsidRPr="000313C3">
        <w:tab/>
        <w:t>Manifesta preocupação com a «passivização» das moradas de residência de certas categorias de cidadãos, inclusivamente em Belgrado e no sul da Sérvia, o que os priva do seu direito de voto; solicita às autoridades responsáveis que sanem sem demora estas graves violações dos direitos eleitorais;</w:t>
      </w:r>
    </w:p>
    <w:p w:rsidR="00490142" w:rsidRPr="000313C3" w:rsidRDefault="00490142" w:rsidP="00490142">
      <w:pPr>
        <w:pStyle w:val="NormalHanging12a"/>
      </w:pPr>
      <w:r w:rsidRPr="000313C3">
        <w:t>11.</w:t>
      </w:r>
      <w:r w:rsidRPr="000313C3">
        <w:tab/>
        <w:t>Exorta a República da Sérvia a dar resposta às preocupações relativas à participação das minorias nacionais no processo eleitoral, assegurando a aplicação coerente dos critérios para o estatuto das minorias e colmatando as vulnerabilidades à pressão e à compra de votos;</w:t>
      </w:r>
    </w:p>
    <w:p w:rsidR="00490142" w:rsidRPr="000313C3" w:rsidRDefault="00490142" w:rsidP="00490142">
      <w:pPr>
        <w:pStyle w:val="NormalHanging12a"/>
      </w:pPr>
      <w:r w:rsidRPr="000313C3">
        <w:t>12.</w:t>
      </w:r>
      <w:r w:rsidRPr="000313C3">
        <w:tab/>
        <w:t>Insta as autoridades sérvias a estabelecerem soluções institucionais com vista à superação dos problemas atuais; insta o parlamento e o Governo sérvios a envidarem todos os esforços para que funcionem eficazmente, sem o ciclo constante de campanhas e eleições antecipadas frequentes;</w:t>
      </w:r>
    </w:p>
    <w:p w:rsidR="00490142" w:rsidRPr="000313C3" w:rsidRDefault="00490142" w:rsidP="00490142">
      <w:pPr>
        <w:pStyle w:val="NormalHanging12a"/>
      </w:pPr>
      <w:r w:rsidRPr="000313C3">
        <w:t>13.</w:t>
      </w:r>
      <w:r w:rsidRPr="000313C3">
        <w:tab/>
        <w:t>Exorta as autoridades sérvias a restaurarem a confiança do eleitorado em todo o processo, a estabelecerem processos eleitorais totalmente transparentes e a garantirem a responsabilização das autoridades, quer estejam a levar a cabo eleições ou a interferir com as mesmas; insta as autoridades sérvias a cooperarem plena e substancialmente com o ODIHR, a UE e o Conselho da Europa e a facilitarem um processo inclusivo para reforçar os direitos e as liberdades, as instituições e os processos relacionados com as eleições, tendo a participação de observadores eleitorais nacionais e de partidos políticos; congratula</w:t>
      </w:r>
      <w:r w:rsidRPr="000313C3">
        <w:noBreakHyphen/>
        <w:t>se com toda e qualquer medida genuína neste sentido;</w:t>
      </w:r>
    </w:p>
    <w:p w:rsidR="00490142" w:rsidRPr="000313C3" w:rsidRDefault="00490142" w:rsidP="00490142">
      <w:pPr>
        <w:pStyle w:val="NormalHanging12a"/>
      </w:pPr>
      <w:r w:rsidRPr="000313C3">
        <w:t>14.</w:t>
      </w:r>
      <w:r w:rsidRPr="000313C3">
        <w:tab/>
        <w:t>Observa com preocupação que a Sérvia não levou à prática muitas das recomendações de longa data do ODIHR da OSCE sobre questões importantes do processo eleitoral, apesar de ter sido reiteradamente instada a fazê</w:t>
      </w:r>
      <w:r w:rsidRPr="000313C3">
        <w:noBreakHyphen/>
        <w:t>lo, nomeadamente pela Comissão; regista as recentes alterações que deram resposta de forma seletiva a algumas das anteriores recomendações do ODIHR da OSCE e da Comissão de Veneza, mormente as que se referem ao quadro jurídico para o financiamento das campanhas eleitorais;</w:t>
      </w:r>
    </w:p>
    <w:p w:rsidR="00490142" w:rsidRPr="000313C3" w:rsidRDefault="00490142" w:rsidP="00490142">
      <w:pPr>
        <w:pStyle w:val="NormalHanging12a"/>
      </w:pPr>
      <w:r w:rsidRPr="000313C3">
        <w:t>15.</w:t>
      </w:r>
      <w:r w:rsidRPr="000313C3">
        <w:tab/>
        <w:t>Aguarda com expectativa o relatório final da MIOE do ODIHR da OSCE; exorta a Sérvia a aplicar as recomendações formuladas no parecer conjunto da Comissão de Veneza e do ODIHR, de 1</w:t>
      </w:r>
      <w:r w:rsidR="00AC59B8">
        <w:t>9</w:t>
      </w:r>
      <w:r w:rsidRPr="000313C3">
        <w:t xml:space="preserve"> de dezembro de 2022, sobre o quadro constitucional e jurídico que rege o funcionamento das instituições democráticas na Sérvia, em consulta com organizações especializadas da sociedade civil e com bastante antecedência em relação às próximas eleições, a fim de prevenir novas irregularidades e fraudes, garantindo simultaneamente o funcionamento democrático do país, especificamente no tocante ao acesso dos candidatos concorrentes aos meios de comunicação social, ao reforço da transparência e da responsabilização do financiamento das campanhas e a medidas para combater a pressão sobre os eleitores e a utilização abusiva de recursos administrativos;</w:t>
      </w:r>
    </w:p>
    <w:p w:rsidR="00490142" w:rsidRPr="000313C3" w:rsidRDefault="00490142" w:rsidP="00490142">
      <w:pPr>
        <w:pStyle w:val="NormalHanging12a"/>
      </w:pPr>
      <w:r w:rsidRPr="000313C3">
        <w:lastRenderedPageBreak/>
        <w:t>16.</w:t>
      </w:r>
      <w:r w:rsidRPr="000313C3">
        <w:tab/>
        <w:t>Insta a Sérvia a levar à prática a recomendação do ODIHR da OSCE de realizar uma auditoria exaustiva ao registo eleitoral unificado com vista a dar resposta às preocupações manifestadas quanto à sua exatidão, incluindo alegações de migração de eleitores e de recenseamento de pessoas falecidas; manifesta preocupação com as alegações de que o registo eleitoral unificado já registou aumentos significativos de eleitores em cidades onde terão lugar eleições autárquicas no final de 2024;</w:t>
      </w:r>
    </w:p>
    <w:p w:rsidR="00490142" w:rsidRPr="000313C3" w:rsidRDefault="00490142" w:rsidP="00490142">
      <w:pPr>
        <w:pStyle w:val="NormalHanging12a"/>
      </w:pPr>
      <w:r w:rsidRPr="000313C3">
        <w:t>17.</w:t>
      </w:r>
      <w:r w:rsidRPr="000313C3">
        <w:tab/>
        <w:t>Insta a Comissão Eleitoral da República da Sérvia a tomar as medidas necessárias para dar resposta às preocupações relativas à transparência e à eficiência do seu funcionamento, inclusive a publicação atempada dos resultados do acompanhamento durante o período de campanha;</w:t>
      </w:r>
    </w:p>
    <w:p w:rsidR="00490142" w:rsidRPr="000313C3" w:rsidRDefault="00490142" w:rsidP="00490142">
      <w:pPr>
        <w:pStyle w:val="NormalHanging12a"/>
      </w:pPr>
      <w:r w:rsidRPr="000313C3">
        <w:t>18.</w:t>
      </w:r>
      <w:r w:rsidRPr="000313C3">
        <w:tab/>
        <w:t>Condena a ausência de pluralismo dos meios de comunicação social durante a campanha eleitoral, bem como a desinformação e a divulgação generalizada, pouco ética e tendenciosa de notícias pelos meios de comunicação social a favor do partido no poder; constata, com apreensão, que um grande número de meios de comunicação social é influenciado ou controlado pelo governo, o que conduziu à criação de condições de concorrência desiguais para os candidatos da oposição durante a campanha; condena os ataques instigados pelos meios de comunicação social próximos do governo contra jornalistas que se mostrem críticos; lamenta a contundente exposição pública do Presidente da Sérvia antes e durante a campanha, uma vez que eliminou a separação entre a instituição do Presidente, o Estado e o partido político no poder;</w:t>
      </w:r>
    </w:p>
    <w:p w:rsidR="00490142" w:rsidRPr="000313C3" w:rsidRDefault="00490142" w:rsidP="00490142">
      <w:pPr>
        <w:pStyle w:val="NormalHanging12a"/>
      </w:pPr>
      <w:r w:rsidRPr="000313C3">
        <w:t>19.</w:t>
      </w:r>
      <w:r w:rsidRPr="000313C3">
        <w:tab/>
        <w:t>Considera preocupante que as condições e o pluralismo dos meios de comunicação social se tenham deteriorado, apesar da nova legislação relativa aos meios de comunicação eletrónicos e à informação pública e os meios de comunicação social; lamenta profundamente que a Autoridade Reguladora dos Meios de Comunicação Eletrónicos tenha negligenciado as obrigações que lhe incumbem por força da lei no sentido de controlar a campanha nos meios de comunicação social, informar sobre as suas conclusões e impor sanções aos meios de comunicação social que violaram a lei, divulgaram discursos de ódio ou não cumpriram com as normas jornalísticas; observa, com preocupação, que a Autoridade Reguladora dos Meios de Comunicação Eletrónicos apenas publicou os resultados do acompanhamento do serviço público de radiodifusão e dos canais de distribuição por cabo privados, mas não dos canais nacionais privados próximos do partido no poder;</w:t>
      </w:r>
    </w:p>
    <w:p w:rsidR="00490142" w:rsidRPr="000313C3" w:rsidRDefault="00490142" w:rsidP="00490142">
      <w:pPr>
        <w:pStyle w:val="NormalHanging12a"/>
      </w:pPr>
      <w:r w:rsidRPr="000313C3">
        <w:t>20.</w:t>
      </w:r>
      <w:r w:rsidRPr="000313C3">
        <w:tab/>
        <w:t>Manifesta preocupação com casos de ataques e linguagem abusiva, em conjunção com assédio contra jornalistas, ativistas dos direitos humanos e organizações da sociedade civil, em certos casos provenientes de membros do governo, em particular no período pré</w:t>
      </w:r>
      <w:r w:rsidRPr="000313C3">
        <w:noBreakHyphen/>
        <w:t>eleitoral; exorta as autoridades sérvias a combaterem a ingerência estrangeira e as campanhas de desinformação, a melhorarem significativamente a proteção do jornalismo independente e a assegurarem um panorama mediático transparente; sublinha que as instituições da UE devem envidar mais esforços para garantir a proteção dos direitos e liberdades dos jornalistas e dos meios de comunicação social sérvios; salienta que o acesso à ajuda de pré</w:t>
      </w:r>
      <w:r w:rsidRPr="000313C3">
        <w:noBreakHyphen/>
        <w:t>adesão deve ser utilizado como instrumento para impedir que a situação concernente à liberdade dos meios de comunicação social continue a deteriorar</w:t>
      </w:r>
      <w:r w:rsidRPr="000313C3">
        <w:noBreakHyphen/>
        <w:t>se;</w:t>
      </w:r>
    </w:p>
    <w:p w:rsidR="00490142" w:rsidRPr="000313C3" w:rsidRDefault="00490142" w:rsidP="00490142">
      <w:pPr>
        <w:pStyle w:val="NormalHanging12a"/>
      </w:pPr>
      <w:r w:rsidRPr="000313C3">
        <w:t>21.</w:t>
      </w:r>
      <w:r w:rsidRPr="000313C3">
        <w:tab/>
        <w:t xml:space="preserve">Convida à reforma da eficácia dos mecanismos de supervisão das campanhas, nomeadamente da Agência para a Prevenção da Corrupção e do Comité </w:t>
      </w:r>
      <w:r w:rsidRPr="000313C3">
        <w:rPr>
          <w:i/>
          <w:iCs/>
        </w:rPr>
        <w:t>ad hoc</w:t>
      </w:r>
      <w:r w:rsidRPr="000313C3">
        <w:t xml:space="preserve"> de Supervisão das Campanhas, de molde a assegurar o tratamento atempado e transparente </w:t>
      </w:r>
      <w:r w:rsidRPr="000313C3">
        <w:lastRenderedPageBreak/>
        <w:t>das queixas relacionadas com a utilização abusiva de recursos públicos;</w:t>
      </w:r>
    </w:p>
    <w:p w:rsidR="00490142" w:rsidRPr="000313C3" w:rsidRDefault="00490142" w:rsidP="00490142">
      <w:pPr>
        <w:pStyle w:val="NormalHanging12a"/>
      </w:pPr>
      <w:r w:rsidRPr="000313C3">
        <w:t>22.</w:t>
      </w:r>
      <w:r w:rsidRPr="000313C3">
        <w:tab/>
        <w:t>Realça que a Sérvia, enquanto país candidato à adesão à UE, carece de elementares normas democráticas internacionais e da UE suficientemente aplicadas; insta as autoridades sérvias a assegurar a existência de garantias democráticas suficientes para realizar as próximas eleições autárquicas regulares em 2024 e futuras eleições;</w:t>
      </w:r>
    </w:p>
    <w:p w:rsidR="00490142" w:rsidRPr="000313C3" w:rsidRDefault="00490142" w:rsidP="00490142">
      <w:pPr>
        <w:pStyle w:val="NormalHanging12a"/>
      </w:pPr>
      <w:r w:rsidRPr="000313C3">
        <w:t>23.</w:t>
      </w:r>
      <w:r w:rsidRPr="000313C3">
        <w:tab/>
        <w:t>Observa que todos os parlamentos sérvios nos últimos 12 anos, exceto um, foram dissolvido numa fase precoce e que a perpetuação de eleições antecipadas desnecessárias compromete a estabilidade política; sublinha que as constantes eleições antecipadas, o modo de campanha permanente e os longos atrasos na formação de governos não contribuem para uma governação democrática eficiente do país, antes enfraquecem o Parlamento e conduzem a uma falta de supervisão e legitimidade legislativa parlamentar;</w:t>
      </w:r>
    </w:p>
    <w:p w:rsidR="00490142" w:rsidRPr="000313C3" w:rsidRDefault="00490142" w:rsidP="00490142">
      <w:pPr>
        <w:pStyle w:val="NormalHanging12a"/>
      </w:pPr>
      <w:r w:rsidRPr="000313C3">
        <w:t>24.</w:t>
      </w:r>
      <w:r w:rsidRPr="000313C3">
        <w:tab/>
        <w:t>Sublinha a importância da liberdade de expressão e reconhece que todas as pessoas têm o direito de expressar as suas opiniões e participar em manifestações pacíficas; condena, neste contexto, o recurso desproporcionado à violência policial contra manifestantes pacíficos que protestam contra a fraude eleitoral; expressa preocupação com os alegados casos de agentes provocadores que se infiltraram nas manifestações para desencadear a intervenção da polícia; considera preocupantes as constatações de que alguns participantes nos protestos de 24 de dezembro de 2023 receberam um tratamento desproporcionadamente severo por parte da polícia e do sistema judicial, em flagrante contraste com as práticas da polícia sérvia em manifestações anteriores no país; exorta as missões diplomáticas da UE e dos Estados</w:t>
      </w:r>
      <w:r w:rsidRPr="000313C3">
        <w:noBreakHyphen/>
        <w:t>Membros a continuarem a acompanhar os processos judiciais em curso que estejam relacionados com os protestos;</w:t>
      </w:r>
    </w:p>
    <w:p w:rsidR="00490142" w:rsidRPr="000313C3" w:rsidRDefault="00490142" w:rsidP="00490142">
      <w:pPr>
        <w:pStyle w:val="NormalHanging12a"/>
      </w:pPr>
      <w:r w:rsidRPr="000313C3">
        <w:t>25.</w:t>
      </w:r>
      <w:r w:rsidRPr="000313C3">
        <w:tab/>
        <w:t>Condena veementemente as alegações não fundamentadas das autoridades sérvias de que os Estados</w:t>
      </w:r>
      <w:r w:rsidRPr="000313C3">
        <w:noBreakHyphen/>
        <w:t>Membros da UE participaram na organização de protestos pós</w:t>
      </w:r>
      <w:r w:rsidRPr="000313C3">
        <w:noBreakHyphen/>
        <w:t xml:space="preserve">eleitorais; lamenta que os protestos tenham servido de pretexto para difundir narrativas </w:t>
      </w:r>
      <w:proofErr w:type="spellStart"/>
      <w:r w:rsidRPr="000313C3">
        <w:t>anti</w:t>
      </w:r>
      <w:r w:rsidRPr="000313C3">
        <w:noBreakHyphen/>
        <w:t>UE</w:t>
      </w:r>
      <w:proofErr w:type="spellEnd"/>
      <w:r w:rsidRPr="000313C3">
        <w:t xml:space="preserve"> nos meios de comunicação social próximos do partido no poder;</w:t>
      </w:r>
    </w:p>
    <w:p w:rsidR="00490142" w:rsidRPr="000313C3" w:rsidRDefault="00490142" w:rsidP="00490142">
      <w:pPr>
        <w:pStyle w:val="NormalHanging12a"/>
      </w:pPr>
      <w:r w:rsidRPr="000313C3">
        <w:t>26.</w:t>
      </w:r>
      <w:r w:rsidRPr="000313C3">
        <w:tab/>
        <w:t>Lamenta a ausência de críticas manifestas da Comissão, nomeadamente do comissário responsável pelo Alargamento, em relação às inúmeras alegações de fraude eleitoral nas eleições sérvias e insta a Comissão a corrigir as fragilidades que deram origem a estas alegações sem mais demora;</w:t>
      </w:r>
    </w:p>
    <w:p w:rsidR="00490142" w:rsidRPr="000313C3" w:rsidRDefault="00490142" w:rsidP="00490142">
      <w:pPr>
        <w:pStyle w:val="NormalHanging12a"/>
      </w:pPr>
      <w:r w:rsidRPr="000313C3">
        <w:t>27.</w:t>
      </w:r>
      <w:r w:rsidRPr="000313C3">
        <w:tab/>
        <w:t>Reitera a sua posição de que as negociações de adesão com a Sérvia só devem avançar caso o país realize progressos consideráveis nas suas reformas relacionadas com a UE, incluindo a plena aplicação das recomendações do ODIHR da OSCE e da Comissão de Veneza; insta a Comissão e o Conselho a aplicarem uma condicionalidade rigorosa; insta a Comissão a dar seguimento cabal aos relatórios do Tribunal de Contas Europeu e a iniciar imediatamente a auditoria dos fundos atribuídos ao Governo sérvio ao abrigo do Instrumento de Assistência de Pré</w:t>
      </w:r>
      <w:r w:rsidRPr="000313C3">
        <w:noBreakHyphen/>
        <w:t>Adesão III (IPA III) e de outros instrumentos financeiros; sublinha que, se as autoridades sérvias não estiverem dispostas a levar à prática as recomendações eleitorais basilares ou se as conclusões desta investigação indicarem que as autoridades sérvias estiveram diretamente envolvidas na fraude eleitoral, solicitará a suspensão dos fundos da UE com base em graves violações do Estado de direito relacionadas com as eleições na Sérvia;</w:t>
      </w:r>
    </w:p>
    <w:p w:rsidR="00490142" w:rsidRPr="000313C3" w:rsidRDefault="00490142" w:rsidP="00490142">
      <w:pPr>
        <w:pStyle w:val="NormalHanging12a"/>
      </w:pPr>
      <w:r w:rsidRPr="000313C3">
        <w:t>28.</w:t>
      </w:r>
      <w:r w:rsidRPr="000313C3">
        <w:tab/>
        <w:t>Compromete</w:t>
      </w:r>
      <w:r w:rsidRPr="000313C3">
        <w:noBreakHyphen/>
        <w:t>se a acompanhar de perto a evolução do contexto pós</w:t>
      </w:r>
      <w:r w:rsidRPr="000313C3">
        <w:noBreakHyphen/>
        <w:t xml:space="preserve">eleitoral na Sérvia e </w:t>
      </w:r>
      <w:r w:rsidRPr="000313C3">
        <w:lastRenderedPageBreak/>
        <w:t>a apoiar reformas que fortaleçam a democracia e ajudem a Sérvia a avançar na via da adesão à UE; salienta que sempre procurou, em todas as suas atividades, apoiar o pluralismo político e o reforço de um ambiente eleitoral inclusivo na Sérvia, designadamente através do diálogo interpartidário e do processo de diálogo parlamentar; sublinha a importância de prosseguir com o diálogo interpartidário e o processo de diálogo parlamentar; convida a UE a promover um diálogo interno e construtivo na Sérvia entre o governo e a oposição, a fim de ultrapassar o atual clima de profunda polarização política; considera, neste cenário, que o Parlamento é a instituição mais adequada para atuar como facilitador construtivo;</w:t>
      </w:r>
    </w:p>
    <w:p w:rsidR="00490142" w:rsidRPr="000313C3" w:rsidRDefault="00490142" w:rsidP="00C2483A">
      <w:pPr>
        <w:pStyle w:val="NormalHanging12a"/>
      </w:pPr>
      <w:r w:rsidRPr="000313C3">
        <w:t>29.</w:t>
      </w:r>
      <w:r w:rsidRPr="000313C3">
        <w:tab/>
        <w:t>Encarrega a sua Presidente de transmitir a presente resolução ao Presidente do Conselho Europeu, à Comissão, ao Vice</w:t>
      </w:r>
      <w:r w:rsidRPr="000313C3">
        <w:noBreakHyphen/>
        <w:t>Presidente da Comissão/Alto Representante da União para os Negócios Estrangeiros e a Política de Segurança, aos governos e parlamentos dos Estados</w:t>
      </w:r>
      <w:r w:rsidRPr="000313C3">
        <w:noBreakHyphen/>
        <w:t>Membros, ao Presidente, ao Governo e à Assembleia Nacional da Sérvia, ao Gabinete das Instituições Democráticas e dos Direitos Humanos da OSCE, à Assembleia Parlamentar da OSCE e à Assembleia Parlamentar do Conselho da Europa.</w:t>
      </w:r>
    </w:p>
    <w:p w:rsidR="00E365E1" w:rsidRPr="000313C3" w:rsidRDefault="00E365E1" w:rsidP="00502E17">
      <w:bookmarkStart w:id="8" w:name="TextBodyEnd"/>
      <w:bookmarkEnd w:id="8"/>
    </w:p>
    <w:sectPr w:rsidR="00E365E1" w:rsidRPr="000313C3" w:rsidSect="006F4A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E17" w:rsidRPr="006F4A68" w:rsidRDefault="00502E17">
      <w:r w:rsidRPr="006F4A68">
        <w:separator/>
      </w:r>
    </w:p>
  </w:endnote>
  <w:endnote w:type="continuationSeparator" w:id="0">
    <w:p w:rsidR="00502E17" w:rsidRPr="006F4A68" w:rsidRDefault="00502E17">
      <w:r w:rsidRPr="006F4A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A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A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A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E17" w:rsidRPr="006F4A68" w:rsidRDefault="00502E17">
      <w:r w:rsidRPr="006F4A68">
        <w:separator/>
      </w:r>
    </w:p>
  </w:footnote>
  <w:footnote w:type="continuationSeparator" w:id="0">
    <w:p w:rsidR="00502E17" w:rsidRPr="006F4A68" w:rsidRDefault="00502E17">
      <w:r w:rsidRPr="006F4A68">
        <w:continuationSeparator/>
      </w:r>
    </w:p>
  </w:footnote>
  <w:footnote w:id="1">
    <w:p w:rsidR="00490142" w:rsidRPr="00C2483A" w:rsidRDefault="00490142" w:rsidP="006F4A68">
      <w:pPr>
        <w:pStyle w:val="FootnoteText"/>
        <w:ind w:left="567" w:hanging="567"/>
        <w:rPr>
          <w:sz w:val="24"/>
          <w:lang w:val="fi-FI"/>
        </w:rPr>
      </w:pPr>
      <w:r w:rsidRPr="006F4A68">
        <w:rPr>
          <w:rStyle w:val="FootnoteReference"/>
          <w:sz w:val="24"/>
          <w:lang w:val="pt-PT"/>
        </w:rPr>
        <w:footnoteRef/>
      </w:r>
      <w:r w:rsidR="006F4A68" w:rsidRPr="00C2483A">
        <w:rPr>
          <w:sz w:val="24"/>
          <w:lang w:val="fi-FI"/>
        </w:rPr>
        <w:t xml:space="preserve"> </w:t>
      </w:r>
      <w:r w:rsidR="006F4A68" w:rsidRPr="00C2483A">
        <w:rPr>
          <w:sz w:val="24"/>
          <w:lang w:val="fi-FI"/>
        </w:rPr>
        <w:tab/>
      </w:r>
      <w:r w:rsidRPr="00C2483A">
        <w:rPr>
          <w:sz w:val="24"/>
          <w:lang w:val="fi-FI"/>
        </w:rPr>
        <w:t>JO C, C/2023/1065, 15.12.2023, ELI: http://data.europa.eu/eli/C/2023/1065/oj.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A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A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A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6, 0108, 0131, 0132, 0133 e 0134/2024"/>
    <w:docVar w:name="dvlangue" w:val="PT"/>
    <w:docVar w:name="dvnumam" w:val="0"/>
    <w:docVar w:name="dvpe" w:val="756.848"/>
    <w:docVar w:name="dvtitre" w:val="Resolução do Parlamento Europeu, de ... de ... de 2024,_x000d__x000a_ sobre a situação na Sérvia após as eleições(2024/2521(RSP))"/>
  </w:docVars>
  <w:rsids>
    <w:rsidRoot w:val="00502E17"/>
    <w:rsid w:val="00002272"/>
    <w:rsid w:val="000313C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142"/>
    <w:rsid w:val="00494A28"/>
    <w:rsid w:val="004C0004"/>
    <w:rsid w:val="004C5D52"/>
    <w:rsid w:val="00502E1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4A68"/>
    <w:rsid w:val="006F74FA"/>
    <w:rsid w:val="00731ADD"/>
    <w:rsid w:val="00734777"/>
    <w:rsid w:val="0073655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9B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83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D8ECB6"/>
  <w15:chartTrackingRefBased/>
  <w15:docId w15:val="{E881AFB6-731C-47E7-9A5B-B222CEDD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90142"/>
    <w:pPr>
      <w:spacing w:after="240"/>
      <w:ind w:left="567" w:hanging="567"/>
    </w:pPr>
  </w:style>
  <w:style w:type="paragraph" w:customStyle="1" w:styleId="EPComma">
    <w:name w:val="EPComma"/>
    <w:basedOn w:val="Normal"/>
    <w:rsid w:val="0049014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90142"/>
    <w:rPr>
      <w:sz w:val="24"/>
      <w:lang w:val="pt-PT"/>
    </w:rPr>
  </w:style>
  <w:style w:type="paragraph" w:styleId="BalloonText">
    <w:name w:val="Balloon Text"/>
    <w:basedOn w:val="Normal"/>
    <w:link w:val="BalloonTextChar"/>
    <w:rsid w:val="007365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6551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7D8F1-74FD-47CE-925F-475A0A436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4571</Words>
  <Characters>26061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2024-02-08T15:42:00Z</dcterms:created>
  <dcterms:modified xsi:type="dcterms:W3CDTF">2024-02-08T15:42:00Z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B9-0106, 0108, 0131, 0132, 0133 e 0134/2024</vt:lpwstr>
  </property>
  <property fmtid="{D5CDD505-2E9C-101B-9397-08002B2CF9AE}" pid="4" name="&lt;Type&gt;">
    <vt:lpwstr>RR</vt:lpwstr>
  </property>
</Properties>
</file>