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2C70" w:rsidTr="0010095E">
        <w:trPr>
          <w:trHeight w:hRule="exact" w:val="1418"/>
        </w:trPr>
        <w:tc>
          <w:tcPr>
            <w:tcW w:w="6804" w:type="dxa"/>
            <w:shd w:val="clear" w:color="auto" w:fill="auto"/>
            <w:vAlign w:val="center"/>
          </w:tcPr>
          <w:p w:rsidR="00751A4A" w:rsidRPr="00352C70" w:rsidRDefault="00FC7C07" w:rsidP="0010095E">
            <w:pPr>
              <w:pStyle w:val="EPName"/>
            </w:pPr>
            <w:r w:rsidRPr="00352C70">
              <w:t>Europa-Parlamentet</w:t>
            </w:r>
          </w:p>
          <w:p w:rsidR="00751A4A" w:rsidRPr="00352C70" w:rsidRDefault="00817416" w:rsidP="00756632">
            <w:pPr>
              <w:pStyle w:val="EPTerm"/>
              <w:rPr>
                <w:rStyle w:val="HideTWBExt"/>
                <w:noProof w:val="0"/>
                <w:vanish w:val="0"/>
                <w:color w:val="auto"/>
              </w:rPr>
            </w:pPr>
            <w:r w:rsidRPr="00352C70">
              <w:t>2019-2024</w:t>
            </w:r>
          </w:p>
        </w:tc>
        <w:tc>
          <w:tcPr>
            <w:tcW w:w="2268" w:type="dxa"/>
            <w:shd w:val="clear" w:color="auto" w:fill="auto"/>
          </w:tcPr>
          <w:p w:rsidR="00751A4A" w:rsidRPr="00352C70" w:rsidRDefault="00187494" w:rsidP="0010095E">
            <w:pPr>
              <w:pStyle w:val="EPLogo"/>
            </w:pPr>
            <w:r w:rsidRPr="00352C70">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2C70" w:rsidRDefault="00D058B8" w:rsidP="004C5D52">
      <w:pPr>
        <w:pStyle w:val="LineTop"/>
      </w:pPr>
    </w:p>
    <w:p w:rsidR="00680577" w:rsidRPr="00352C70" w:rsidRDefault="00FC7C07" w:rsidP="00680577">
      <w:pPr>
        <w:pStyle w:val="EPBodyTA1"/>
      </w:pPr>
      <w:r w:rsidRPr="00352C70">
        <w:t>VEDTAGNE TEKSTER</w:t>
      </w:r>
    </w:p>
    <w:p w:rsidR="00D058B8" w:rsidRPr="00352C70" w:rsidRDefault="00D058B8" w:rsidP="00D058B8">
      <w:pPr>
        <w:pStyle w:val="LineBottom"/>
      </w:pPr>
    </w:p>
    <w:p w:rsidR="00FC7C07" w:rsidRPr="00352C70" w:rsidRDefault="00FC7C07" w:rsidP="00FC7C07">
      <w:pPr>
        <w:pStyle w:val="ATHeading1"/>
      </w:pPr>
      <w:bookmarkStart w:id="0" w:name="TANumber"/>
      <w:r w:rsidRPr="00352C70">
        <w:t>P9_</w:t>
      </w:r>
      <w:proofErr w:type="gramStart"/>
      <w:r w:rsidRPr="00352C70">
        <w:t>TA(</w:t>
      </w:r>
      <w:proofErr w:type="gramEnd"/>
      <w:r w:rsidRPr="00352C70">
        <w:t>2024)00</w:t>
      </w:r>
      <w:bookmarkEnd w:id="0"/>
      <w:r w:rsidR="00141F93">
        <w:t>76</w:t>
      </w:r>
    </w:p>
    <w:p w:rsidR="00FC7C07" w:rsidRPr="00352C70" w:rsidRDefault="00035689" w:rsidP="00FC7C07">
      <w:pPr>
        <w:pStyle w:val="ATHeading2"/>
      </w:pPr>
      <w:r w:rsidRPr="00035689">
        <w:t>Gennemførelsesrapport om EU's strategi for ligestilling af LGBTIQ-personer 2020-2025</w:t>
      </w:r>
    </w:p>
    <w:p w:rsidR="00FC7C07" w:rsidRPr="00352C70" w:rsidRDefault="00FC7C07" w:rsidP="00FC7C07">
      <w:pPr>
        <w:rPr>
          <w:i/>
          <w:vanish/>
        </w:rPr>
      </w:pPr>
      <w:r w:rsidRPr="00352C70">
        <w:rPr>
          <w:i/>
        </w:rPr>
        <w:fldChar w:fldCharType="begin"/>
      </w:r>
      <w:r w:rsidRPr="00352C70">
        <w:rPr>
          <w:i/>
        </w:rPr>
        <w:instrText xml:space="preserve"> TC"(</w:instrText>
      </w:r>
      <w:bookmarkStart w:id="1" w:name="DocNumber"/>
      <w:r w:rsidRPr="00352C70">
        <w:rPr>
          <w:i/>
        </w:rPr>
        <w:instrText>A9-0030/2024</w:instrText>
      </w:r>
      <w:bookmarkEnd w:id="1"/>
      <w:r w:rsidRPr="00352C70">
        <w:rPr>
          <w:i/>
        </w:rPr>
        <w:instrText xml:space="preserve">)"\l3 \n&gt; \* MERGEFORMAT </w:instrText>
      </w:r>
      <w:r w:rsidRPr="00352C70">
        <w:rPr>
          <w:i/>
        </w:rPr>
        <w:fldChar w:fldCharType="end"/>
      </w:r>
    </w:p>
    <w:p w:rsidR="00FC7C07" w:rsidRPr="00352C70" w:rsidRDefault="00FC7C07" w:rsidP="00FC7C07">
      <w:pPr>
        <w:rPr>
          <w:vanish/>
        </w:rPr>
      </w:pPr>
      <w:bookmarkStart w:id="2" w:name="PE"/>
      <w:r w:rsidRPr="00352C70">
        <w:rPr>
          <w:vanish/>
        </w:rPr>
        <w:t>PE756.097</w:t>
      </w:r>
      <w:bookmarkEnd w:id="2"/>
    </w:p>
    <w:p w:rsidR="00FC7C07" w:rsidRPr="00352C70" w:rsidRDefault="00FC7C07" w:rsidP="00FC7C07">
      <w:pPr>
        <w:pStyle w:val="ATHeading3"/>
      </w:pPr>
      <w:bookmarkStart w:id="3" w:name="Sujet"/>
      <w:r w:rsidRPr="00352C70">
        <w:t xml:space="preserve">Europa-Parlamentets beslutning af </w:t>
      </w:r>
      <w:r w:rsidR="00035689">
        <w:t>8. februar</w:t>
      </w:r>
      <w:r w:rsidRPr="00352C70">
        <w:t xml:space="preserve"> 2024 om gennemførelsen af EU's strategi for ligestilling af LBGTIQ-personer 2020-2025</w:t>
      </w:r>
      <w:bookmarkEnd w:id="3"/>
      <w:r w:rsidRPr="00352C70">
        <w:t xml:space="preserve"> </w:t>
      </w:r>
      <w:bookmarkStart w:id="4" w:name="References"/>
      <w:r w:rsidRPr="00352C70">
        <w:t>(2023/2082(INI))</w:t>
      </w:r>
      <w:bookmarkEnd w:id="4"/>
    </w:p>
    <w:p w:rsidR="00F97D90" w:rsidRPr="00352C70" w:rsidRDefault="00F97D90" w:rsidP="00F97D90">
      <w:pPr>
        <w:pStyle w:val="EPComma"/>
      </w:pPr>
      <w:bookmarkStart w:id="5" w:name="TextBodyBegin"/>
      <w:bookmarkEnd w:id="5"/>
      <w:r w:rsidRPr="00352C70">
        <w:rPr>
          <w:i/>
        </w:rPr>
        <w:t>Europa-Parlamentet</w:t>
      </w:r>
      <w:r w:rsidRPr="00352C70">
        <w:t>,</w:t>
      </w:r>
    </w:p>
    <w:p w:rsidR="00F97D90" w:rsidRPr="00352C70" w:rsidRDefault="00F97D90" w:rsidP="00F97D90">
      <w:pPr>
        <w:pStyle w:val="NormalHanging12a"/>
      </w:pPr>
      <w:r w:rsidRPr="00352C70">
        <w:t>–</w:t>
      </w:r>
      <w:r w:rsidRPr="00352C70">
        <w:tab/>
        <w:t>der henviser til Den Europæiske Unions charter om grundlæggende rettigheder,</w:t>
      </w:r>
    </w:p>
    <w:p w:rsidR="00F97D90" w:rsidRPr="00352C70" w:rsidRDefault="00F97D90" w:rsidP="00F97D90">
      <w:pPr>
        <w:pStyle w:val="NormalHanging12a"/>
      </w:pPr>
      <w:r w:rsidRPr="00352C70">
        <w:t>–</w:t>
      </w:r>
      <w:r w:rsidRPr="00352C70">
        <w:tab/>
        <w:t>der henviser til artikel 2 i traktaten om Den Europæiske Union (TEU),</w:t>
      </w:r>
    </w:p>
    <w:p w:rsidR="00F97D90" w:rsidRPr="00352C70" w:rsidRDefault="00F97D90" w:rsidP="00F97D90">
      <w:pPr>
        <w:pStyle w:val="NormalHanging12a"/>
      </w:pPr>
      <w:r w:rsidRPr="00352C70">
        <w:t>–</w:t>
      </w:r>
      <w:r w:rsidRPr="00352C70">
        <w:tab/>
        <w:t>der henviser til den europæiske menneskerettighedskonvention (EMRK) og den hermed forbundne retspraksis fra Den Europæiske Menneskerettighedsdomstol (EMD),</w:t>
      </w:r>
    </w:p>
    <w:p w:rsidR="00F97D90" w:rsidRPr="00352C70" w:rsidRDefault="00F97D90" w:rsidP="00F97D90">
      <w:pPr>
        <w:pStyle w:val="NormalHanging12a"/>
      </w:pPr>
      <w:r w:rsidRPr="00352C70">
        <w:t>–</w:t>
      </w:r>
      <w:r w:rsidRPr="00352C70">
        <w:tab/>
        <w:t>der henviser til Den Europæiske Unions Domstols (EU-Domstolens) retspraksis,</w:t>
      </w:r>
    </w:p>
    <w:p w:rsidR="00F97D90" w:rsidRPr="00352C70" w:rsidRDefault="00F97D90" w:rsidP="00F97D90">
      <w:pPr>
        <w:pStyle w:val="NormalHanging12a"/>
      </w:pPr>
      <w:r w:rsidRPr="00352C70">
        <w:t>–</w:t>
      </w:r>
      <w:r w:rsidRPr="00352C70">
        <w:tab/>
        <w:t>der henviser til EU-Domstolens dom af 5. juni 2018 i sag C-673/16,</w:t>
      </w:r>
    </w:p>
    <w:p w:rsidR="00F97D90" w:rsidRPr="00352C70" w:rsidRDefault="00F97D90" w:rsidP="00F97D90">
      <w:pPr>
        <w:pStyle w:val="NormalHanging12a"/>
      </w:pPr>
      <w:r w:rsidRPr="00352C70">
        <w:t>–</w:t>
      </w:r>
      <w:r w:rsidRPr="00352C70">
        <w:tab/>
        <w:t>der henviser til verdenserklæringen om menneskerettighederne,</w:t>
      </w:r>
    </w:p>
    <w:p w:rsidR="00F97D90" w:rsidRPr="00352C70" w:rsidRDefault="00F97D90" w:rsidP="00F97D90">
      <w:pPr>
        <w:pStyle w:val="NormalHanging12a"/>
      </w:pPr>
      <w:r w:rsidRPr="00352C70">
        <w:t>–</w:t>
      </w:r>
      <w:r w:rsidRPr="00352C70">
        <w:tab/>
        <w:t>der henviser til Europarådets konvention til forebyggelse og bekæmpelse af vold mod kvinder og vold i hjemmet ("Istanbulkonventionen"), der blev ratificeret af Den Europæiske Union den 28. juni 2023,</w:t>
      </w:r>
    </w:p>
    <w:p w:rsidR="00F97D90" w:rsidRPr="00352C70" w:rsidRDefault="00F97D90" w:rsidP="00F97D90">
      <w:pPr>
        <w:pStyle w:val="NormalHanging12a"/>
      </w:pPr>
      <w:r w:rsidRPr="00352C70">
        <w:t>–</w:t>
      </w:r>
      <w:r w:rsidRPr="00352C70">
        <w:tab/>
        <w:t>der henviser til FN's konvention om barnets rettigheder, til FN's konvention om afskaffelse af alle former for diskrimination imod kvinder, til FN's konvention om afskaffelse af racediskrimination og til FN's konvention om rettigheder for personer med handicap,</w:t>
      </w:r>
    </w:p>
    <w:p w:rsidR="00F97D90" w:rsidRPr="00352C70" w:rsidRDefault="00F97D90" w:rsidP="00F97D90">
      <w:pPr>
        <w:pStyle w:val="NormalHanging12a"/>
      </w:pPr>
      <w:r w:rsidRPr="00352C70">
        <w:t>–</w:t>
      </w:r>
      <w:r w:rsidRPr="00352C70">
        <w:tab/>
        <w:t xml:space="preserve">der henviser til </w:t>
      </w:r>
      <w:proofErr w:type="spellStart"/>
      <w:r w:rsidRPr="00352C70">
        <w:t>Yogyakartaprincipperne</w:t>
      </w:r>
      <w:proofErr w:type="spellEnd"/>
      <w:r w:rsidRPr="00352C70">
        <w:t xml:space="preserve"> og anvendelsen af den internationale menneskerettighedslovgivning i forbindelse med seksuel orientering, kønsidentitet, kønsudtryk og kønskarakteristika,</w:t>
      </w:r>
    </w:p>
    <w:p w:rsidR="00F97D90" w:rsidRPr="00352C70" w:rsidRDefault="00F97D90" w:rsidP="00F97D90">
      <w:pPr>
        <w:pStyle w:val="NormalHanging12a"/>
      </w:pPr>
      <w:r w:rsidRPr="00352C70">
        <w:t>–</w:t>
      </w:r>
      <w:r w:rsidRPr="00352C70">
        <w:tab/>
        <w:t>der henviser til Kommissionens meddelelse af 12. november 2020 med titlen "En Union med lige muligheder: Strategi for ligestilling af LGBTIQ-personer 2020-2025" (</w:t>
      </w:r>
      <w:proofErr w:type="gramStart"/>
      <w:r w:rsidRPr="00352C70">
        <w:t>COM(</w:t>
      </w:r>
      <w:proofErr w:type="gramEnd"/>
      <w:r w:rsidRPr="00352C70">
        <w:t>2020)0698),</w:t>
      </w:r>
    </w:p>
    <w:p w:rsidR="00F97D90" w:rsidRPr="00352C70" w:rsidRDefault="00F97D90" w:rsidP="00F97D90">
      <w:pPr>
        <w:pStyle w:val="NormalHanging12a"/>
      </w:pPr>
      <w:r w:rsidRPr="00352C70">
        <w:lastRenderedPageBreak/>
        <w:t>–</w:t>
      </w:r>
      <w:r w:rsidRPr="00352C70">
        <w:tab/>
        <w:t>der henviser til sin beslutning af 14. september 2021 om LGBTIQ-rettigheder i EU</w:t>
      </w:r>
      <w:r w:rsidRPr="00352C70">
        <w:rPr>
          <w:rStyle w:val="FootnoteReference"/>
        </w:rPr>
        <w:footnoteReference w:id="1"/>
      </w:r>
      <w:r w:rsidRPr="00352C70">
        <w:t>,</w:t>
      </w:r>
    </w:p>
    <w:p w:rsidR="00F97D90" w:rsidRPr="00352C70" w:rsidRDefault="00F97D90" w:rsidP="00F97D90">
      <w:pPr>
        <w:pStyle w:val="NormalHanging12a"/>
      </w:pPr>
      <w:r w:rsidRPr="00352C70">
        <w:t>–</w:t>
      </w:r>
      <w:r w:rsidRPr="00352C70">
        <w:tab/>
        <w:t>der henviser til, at Kommissionens statusrapport om gennemførelsen af LGBTIQ-ligestillingsstrategien 2020-2025;</w:t>
      </w:r>
    </w:p>
    <w:p w:rsidR="00F97D90" w:rsidRPr="00352C70" w:rsidRDefault="00F97D90" w:rsidP="00F97D90">
      <w:pPr>
        <w:pStyle w:val="NormalHanging12a"/>
      </w:pPr>
      <w:r w:rsidRPr="00352C70">
        <w:t>–</w:t>
      </w:r>
      <w:r w:rsidRPr="00352C70">
        <w:tab/>
        <w:t>der henviser til sin beslutning af 11. marts 2021 om erklæring af EU som LGBTIQ-frihedszone</w:t>
      </w:r>
      <w:r w:rsidRPr="00352C70">
        <w:rPr>
          <w:rStyle w:val="FootnoteReference"/>
        </w:rPr>
        <w:footnoteReference w:id="2"/>
      </w:r>
      <w:r w:rsidRPr="00352C70">
        <w:t>,</w:t>
      </w:r>
    </w:p>
    <w:p w:rsidR="00F97D90" w:rsidRPr="00352C70" w:rsidRDefault="00F97D90" w:rsidP="00F97D90">
      <w:pPr>
        <w:pStyle w:val="NormalHanging12a"/>
      </w:pPr>
      <w:r w:rsidRPr="00352C70">
        <w:t>–</w:t>
      </w:r>
      <w:r w:rsidRPr="00352C70">
        <w:tab/>
        <w:t>der henviser til sin beslutning af 17. september 2020 om forslag til Rådets afgørelse, hvorved det fastslås, at der er en klar fare for, at Republikken Polen groft overtræder retsstatsprincippet</w:t>
      </w:r>
      <w:r w:rsidRPr="00352C70">
        <w:rPr>
          <w:rStyle w:val="FootnoteReference"/>
        </w:rPr>
        <w:footnoteReference w:id="3"/>
      </w:r>
      <w:r w:rsidRPr="00352C70">
        <w:t>,</w:t>
      </w:r>
    </w:p>
    <w:p w:rsidR="00F97D90" w:rsidRPr="00352C70" w:rsidRDefault="00F97D90" w:rsidP="00F97D90">
      <w:pPr>
        <w:pStyle w:val="NormalHanging12a"/>
      </w:pPr>
      <w:r w:rsidRPr="00352C70">
        <w:t>–</w:t>
      </w:r>
      <w:r w:rsidRPr="00352C70">
        <w:tab/>
        <w:t>der henviser til sin beslutning af 8. juli 2021 om tilsidesættelse af EU-retten og LGBTIQ-borgeres rettigheder i Ungarn som følge af de lovændringer, der er vedtaget i det ungarske parlament</w:t>
      </w:r>
      <w:r w:rsidRPr="00352C70">
        <w:rPr>
          <w:rStyle w:val="FootnoteReference"/>
        </w:rPr>
        <w:footnoteReference w:id="4"/>
      </w:r>
      <w:r w:rsidRPr="00352C70">
        <w:t>,</w:t>
      </w:r>
    </w:p>
    <w:p w:rsidR="00F97D90" w:rsidRPr="00352C70" w:rsidRDefault="00F97D90" w:rsidP="00F97D90">
      <w:pPr>
        <w:pStyle w:val="NormalHanging12a"/>
      </w:pPr>
      <w:r w:rsidRPr="00352C70">
        <w:t>–</w:t>
      </w:r>
      <w:r w:rsidRPr="00352C70">
        <w:tab/>
        <w:t>der henviser til sin beslutning af 20. oktober 2022 om tiltagende hadforbrydelser mod LGBTIQ+-personer i Europa i lyset af det nylige homofobiske mord i Slovakiet</w:t>
      </w:r>
      <w:r w:rsidRPr="00352C70">
        <w:rPr>
          <w:rStyle w:val="FootnoteReference"/>
        </w:rPr>
        <w:footnoteReference w:id="5"/>
      </w:r>
      <w:r w:rsidRPr="00352C70">
        <w:t xml:space="preserve">, </w:t>
      </w:r>
    </w:p>
    <w:p w:rsidR="00F97D90" w:rsidRPr="00352C70" w:rsidRDefault="00F97D90" w:rsidP="00F97D90">
      <w:pPr>
        <w:pStyle w:val="NormalHanging12a"/>
      </w:pPr>
      <w:r w:rsidRPr="00352C70">
        <w:t>–</w:t>
      </w:r>
      <w:r w:rsidRPr="00352C70">
        <w:tab/>
        <w:t xml:space="preserve">der henviser til sin beslutning af </w:t>
      </w:r>
      <w:r w:rsidR="000A162C">
        <w:t>20</w:t>
      </w:r>
      <w:bookmarkStart w:id="6" w:name="_GoBack"/>
      <w:bookmarkEnd w:id="6"/>
      <w:r w:rsidRPr="00352C70">
        <w:t>. april 2023 om universel afkriminalisering af homoseksualitet i lyset af den seneste udvikling i Uganda</w:t>
      </w:r>
      <w:r w:rsidRPr="00352C70">
        <w:rPr>
          <w:rStyle w:val="FootnoteReference"/>
        </w:rPr>
        <w:footnoteReference w:id="6"/>
      </w:r>
      <w:r w:rsidRPr="00352C70">
        <w:t xml:space="preserve">, </w:t>
      </w:r>
    </w:p>
    <w:p w:rsidR="00F97D90" w:rsidRPr="00352C70" w:rsidRDefault="00F97D90" w:rsidP="00F97D90">
      <w:pPr>
        <w:pStyle w:val="NormalHanging12a"/>
      </w:pPr>
      <w:r w:rsidRPr="00352C70">
        <w:t>–</w:t>
      </w:r>
      <w:r w:rsidRPr="00352C70">
        <w:tab/>
        <w:t>der henviser til Kommissionens forslag af 7. december 2022 til Rådets forordning om kompetence, lovvalg, anerkendelse af retsafgørelser og accept af officielt bekræftede dokumenter vedrørende forældreskab og om indførelse af en europæisk forældreskabsattest (</w:t>
      </w:r>
      <w:proofErr w:type="gramStart"/>
      <w:r w:rsidRPr="00352C70">
        <w:t>COM(</w:t>
      </w:r>
      <w:proofErr w:type="gramEnd"/>
      <w:r w:rsidRPr="00352C70">
        <w:t>2022)0695),</w:t>
      </w:r>
    </w:p>
    <w:p w:rsidR="00F97D90" w:rsidRPr="00352C70" w:rsidRDefault="00F97D90" w:rsidP="00F97D90">
      <w:pPr>
        <w:pStyle w:val="NormalHanging12a"/>
      </w:pPr>
      <w:r w:rsidRPr="00352C70">
        <w:t>–</w:t>
      </w:r>
      <w:r w:rsidRPr="00352C70">
        <w:tab/>
        <w:t xml:space="preserve">der henviser til studiet fra dets Generaldirektorat for Parlamentarisk Forskning fra december 2023 med titlen "The LGBTIQ </w:t>
      </w:r>
      <w:proofErr w:type="spellStart"/>
      <w:r w:rsidRPr="00352C70">
        <w:t>Equality</w:t>
      </w:r>
      <w:proofErr w:type="spellEnd"/>
      <w:r w:rsidRPr="00352C70">
        <w:t xml:space="preserve"> </w:t>
      </w:r>
      <w:proofErr w:type="spellStart"/>
      <w:r w:rsidRPr="00352C70">
        <w:t>Strategy</w:t>
      </w:r>
      <w:proofErr w:type="spellEnd"/>
      <w:r w:rsidRPr="00352C70">
        <w:t xml:space="preserve"> 2020-2025 – </w:t>
      </w:r>
      <w:proofErr w:type="spellStart"/>
      <w:r w:rsidRPr="00352C70">
        <w:t>Implementation</w:t>
      </w:r>
      <w:proofErr w:type="spellEnd"/>
      <w:r w:rsidRPr="00352C70">
        <w:t xml:space="preserve"> </w:t>
      </w:r>
      <w:proofErr w:type="spellStart"/>
      <w:r w:rsidRPr="00352C70">
        <w:t>Overview</w:t>
      </w:r>
      <w:proofErr w:type="spellEnd"/>
      <w:r w:rsidRPr="00352C70">
        <w:t>"</w:t>
      </w:r>
      <w:r w:rsidRPr="00352C70">
        <w:rPr>
          <w:rStyle w:val="FootnoteReference"/>
        </w:rPr>
        <w:footnoteReference w:id="7"/>
      </w:r>
      <w:r w:rsidRPr="00352C70">
        <w:t>,</w:t>
      </w:r>
    </w:p>
    <w:p w:rsidR="00F97D90" w:rsidRDefault="00F97D90" w:rsidP="00F97D90">
      <w:pPr>
        <w:pStyle w:val="NormalHanging12a"/>
      </w:pPr>
      <w:r w:rsidRPr="00352C70">
        <w:t>–</w:t>
      </w:r>
      <w:r w:rsidRPr="00352C70">
        <w:tab/>
        <w:t>der henviser til EU's retningslinjer for strategier og handlingsplaner til forbedring af LGBTIQ-ligestilling, udarbejdet af Kommissionen i 2022,</w:t>
      </w:r>
    </w:p>
    <w:p w:rsidR="008254A3" w:rsidRPr="00352C70" w:rsidRDefault="008254A3" w:rsidP="00F97D90">
      <w:pPr>
        <w:pStyle w:val="NormalHanging12a"/>
      </w:pPr>
      <w:r w:rsidRPr="00352C70">
        <w:t>–</w:t>
      </w:r>
      <w:r w:rsidRPr="00352C70">
        <w:tab/>
      </w:r>
      <w:r w:rsidRPr="008254A3">
        <w:t>der henviser til Kommissionens gennemførelsesafgørelse (EU) 2024/442 af 24. januar 2024 om anmodningen om registrering af det europæiske borgerinitiativ "Forbud mod omvendelsespraksis i Den Europæiske Union" i henhold til Europa-Parlamentets og Rådets forordning (EU) 2019/788</w:t>
      </w:r>
      <w:r>
        <w:rPr>
          <w:rStyle w:val="FootnoteReference"/>
        </w:rPr>
        <w:footnoteReference w:id="8"/>
      </w:r>
      <w:r w:rsidR="00141F93">
        <w:t>,</w:t>
      </w:r>
    </w:p>
    <w:p w:rsidR="00F97D90" w:rsidRPr="00352C70" w:rsidRDefault="00F97D90" w:rsidP="00F97D90">
      <w:pPr>
        <w:pStyle w:val="NormalHanging12a"/>
      </w:pPr>
      <w:r w:rsidRPr="00352C70">
        <w:t>–</w:t>
      </w:r>
      <w:r w:rsidRPr="00352C70">
        <w:tab/>
        <w:t>der henviser til forretningsordenens artikel 54 og til artikel 1, stk. 1, litra e), i og bilag 3 til Formandskonferencens afgørelse af 12. december 2002 om proceduren for tilladelse til at udarbejde initiativbetænkninger,</w:t>
      </w:r>
    </w:p>
    <w:p w:rsidR="00F97D90" w:rsidRPr="00352C70" w:rsidRDefault="00F97D90" w:rsidP="00F97D90">
      <w:pPr>
        <w:pStyle w:val="NormalHanging12a"/>
      </w:pPr>
      <w:r w:rsidRPr="00352C70">
        <w:lastRenderedPageBreak/>
        <w:t>–</w:t>
      </w:r>
      <w:r w:rsidRPr="00352C70">
        <w:tab/>
        <w:t>der henviser til betænkning fra Udvalget om Borgernes Rettigheder og Retlige og Indre Anliggender (A9-0030/2024),</w:t>
      </w:r>
    </w:p>
    <w:p w:rsidR="00F97D90" w:rsidRPr="00352C70" w:rsidRDefault="00F97D90" w:rsidP="00F97D90">
      <w:pPr>
        <w:pStyle w:val="NormalHanging12a"/>
      </w:pPr>
      <w:r w:rsidRPr="00352C70">
        <w:t>A.</w:t>
      </w:r>
      <w:r w:rsidRPr="00352C70">
        <w:tab/>
        <w:t>der henviser til, at LGBTIQ+-rettigheder er grundlæggende rettigheder, og at kontrolforanstaltninger for så vidt angår retsstatsprincippet og demokratiet er afgørende for beskyttelsen af LGBTIQ-rettigheder; der henviser til, at LGBTIQ+-personers sikkerhed og værdighed er vores alles sikkerhed og værdighed;</w:t>
      </w:r>
    </w:p>
    <w:p w:rsidR="00F97D90" w:rsidRPr="00352C70" w:rsidRDefault="00F97D90" w:rsidP="00F97D90">
      <w:pPr>
        <w:pStyle w:val="NormalHanging12a"/>
      </w:pPr>
      <w:r w:rsidRPr="00352C70">
        <w:t>B.</w:t>
      </w:r>
      <w:r w:rsidRPr="00352C70">
        <w:tab/>
        <w:t>der henviser til, at retten til ligebehandling og ikkeforskelsbehandling er en grundlæggende rettighed, der er nedfældet i traktaterne og i chartret, og bør respekteres fuldt ud;</w:t>
      </w:r>
    </w:p>
    <w:p w:rsidR="00F97D90" w:rsidRPr="00352C70" w:rsidRDefault="00F97D90" w:rsidP="00F97D90">
      <w:pPr>
        <w:pStyle w:val="NormalHanging12a"/>
      </w:pPr>
      <w:r w:rsidRPr="00352C70">
        <w:t>C.</w:t>
      </w:r>
      <w:r w:rsidRPr="00352C70">
        <w:tab/>
        <w:t>der henviser til, at lighed og beskyttelse af mindretal er blandt de EU-værdier, der er nedfældet i artikel 2 i TEU;</w:t>
      </w:r>
    </w:p>
    <w:p w:rsidR="00F97D90" w:rsidRPr="00352C70" w:rsidRDefault="00F97D90" w:rsidP="00F97D90">
      <w:pPr>
        <w:spacing w:after="240"/>
        <w:ind w:left="567" w:hanging="567"/>
      </w:pPr>
      <w:r w:rsidRPr="00352C70">
        <w:t>D.</w:t>
      </w:r>
      <w:r w:rsidRPr="00352C70">
        <w:tab/>
        <w:t>der henviser til, at det i artikel 21 i traktaten om Den Europæiske Unions funktionsmåde (TEUF) er fastsat, at enhver unionsborger har ret til at færdes og opholde sig frit på medlemsstaternes område;</w:t>
      </w:r>
    </w:p>
    <w:p w:rsidR="00F97D90" w:rsidRPr="00352C70" w:rsidRDefault="00F97D90" w:rsidP="00F97D90">
      <w:pPr>
        <w:pStyle w:val="NormalHanging12a"/>
      </w:pPr>
      <w:r w:rsidRPr="00352C70">
        <w:t>E.</w:t>
      </w:r>
      <w:r w:rsidRPr="00352C70">
        <w:tab/>
        <w:t>der henviser til, at alle medlemsstater har indgået forpligtelser under folkeretten og EU-traktaterne til at respektere, garantere, beskytte og opfylde de grundlæggende rettigheder;</w:t>
      </w:r>
    </w:p>
    <w:p w:rsidR="00F97D90" w:rsidRPr="00352C70" w:rsidRDefault="00F97D90" w:rsidP="00F97D90">
      <w:pPr>
        <w:pStyle w:val="NormalHanging12a"/>
      </w:pPr>
      <w:r w:rsidRPr="00352C70">
        <w:t>F.</w:t>
      </w:r>
      <w:r w:rsidRPr="00352C70">
        <w:tab/>
        <w:t>der henviser til, at der er gjort fremskridt med hensyn til at beskytte og fremme LGBTIQ+-rettigheder i nogle medlemsstater;</w:t>
      </w:r>
    </w:p>
    <w:p w:rsidR="00F97D90" w:rsidRPr="00352C70" w:rsidRDefault="00F97D90" w:rsidP="00F97D90">
      <w:pPr>
        <w:pStyle w:val="NormalHanging12a"/>
      </w:pPr>
      <w:r w:rsidRPr="00352C70">
        <w:t>G.</w:t>
      </w:r>
      <w:r w:rsidRPr="00352C70">
        <w:tab/>
        <w:t>der henviser til, at forskelsbehandling baseret på faktisk eller opfattet seksuel orientering, kønsidentitet, kønsudtryk og kønskarakteristika (SOGIESC) stadig finder sted i hele EU;</w:t>
      </w:r>
    </w:p>
    <w:p w:rsidR="00F97D90" w:rsidRPr="00352C70" w:rsidRDefault="00F97D90" w:rsidP="00F97D90">
      <w:pPr>
        <w:pStyle w:val="NormalHanging12a"/>
      </w:pPr>
      <w:r w:rsidRPr="00352C70">
        <w:t>H.</w:t>
      </w:r>
      <w:r w:rsidRPr="00352C70">
        <w:tab/>
        <w:t>der henviser til, at udviklingen i nogle medlemsstater har vist, at fremskridt med hensyn til LGBTIQ+-rettigheder ikke kan tages for givet;</w:t>
      </w:r>
    </w:p>
    <w:p w:rsidR="00F97D90" w:rsidRPr="00352C70" w:rsidRDefault="00F97D90" w:rsidP="00F97D90">
      <w:pPr>
        <w:pStyle w:val="NormalHanging12a"/>
      </w:pPr>
      <w:r w:rsidRPr="00352C70">
        <w:t>I.</w:t>
      </w:r>
      <w:r w:rsidRPr="00352C70">
        <w:tab/>
        <w:t>der henviser til, at Kommissionen i 2022 sammen med Parlamentet og 15 medlemsstater indbragte Ungarn for EU-Domstolen for krænkelser af LGBTIQ-rettigheder;</w:t>
      </w:r>
    </w:p>
    <w:p w:rsidR="00F97D90" w:rsidRPr="00352C70" w:rsidRDefault="00F97D90" w:rsidP="00F97D90">
      <w:pPr>
        <w:pStyle w:val="NormalHanging12a"/>
      </w:pPr>
      <w:r w:rsidRPr="00352C70">
        <w:t>J.</w:t>
      </w:r>
      <w:r w:rsidRPr="00352C70">
        <w:tab/>
        <w:t xml:space="preserve">der henviser til, at Letland bør tilslutte sig Undergruppen vedrørende Ligestilling af LGBTIQ-personer, der er nedsat under gruppen på højt plan vedrørende ikkeforskelsbehandling, ligestilling og mangfoldighed – som den sidste medlemsstat, efter at Cypern for nylig udtrykte interesse herfor – med det formål at styrke gennemførelsen af LGBTIQ-strategien i alle medlemsstater; </w:t>
      </w:r>
    </w:p>
    <w:p w:rsidR="00F97D90" w:rsidRPr="00352C70" w:rsidRDefault="00F97D90" w:rsidP="00F97D90">
      <w:pPr>
        <w:pStyle w:val="NormalHanging12a"/>
      </w:pPr>
      <w:r w:rsidRPr="00352C70">
        <w:t>K.</w:t>
      </w:r>
      <w:r w:rsidRPr="00352C70">
        <w:tab/>
        <w:t>der henviser til, at Parlamentet på det kraftigste fordømmer diskriminerende love, politikker og praksis over for LGBTIQ+-personer såsom lovforslaget om homoseksualitet i Uganda;</w:t>
      </w:r>
    </w:p>
    <w:p w:rsidR="00F97D90" w:rsidRPr="00352C70" w:rsidRDefault="00F97D90" w:rsidP="00F97D90">
      <w:pPr>
        <w:pStyle w:val="NormalHanging12a"/>
      </w:pPr>
      <w:r w:rsidRPr="00352C70">
        <w:t>L.</w:t>
      </w:r>
      <w:r w:rsidRPr="00352C70">
        <w:tab/>
        <w:t>der henviser til, at Ruslands højesteret den 30. november 2023 forbød den "internationale LGBT-bevægelse", idet den erklærede, at den var en ekstremistisk organisation; der henviser til, at denne afgørelse er et alvorligt angreb på LGBTIQ+-personer og menneskerettighedsforkæmpere i Rusland, og at den vil have en alvorlig indvirkning på deres situation; der henviser til, at LGBTIQ+-personer i Kina har oplevet øget chikane og censur, herunder online;</w:t>
      </w:r>
    </w:p>
    <w:p w:rsidR="00F97D90" w:rsidRPr="00352C70" w:rsidRDefault="00F97D90" w:rsidP="00F97D90">
      <w:pPr>
        <w:pStyle w:val="NormalHanging12a"/>
      </w:pPr>
      <w:r w:rsidRPr="00352C70">
        <w:lastRenderedPageBreak/>
        <w:t>M.</w:t>
      </w:r>
      <w:r w:rsidRPr="00352C70">
        <w:tab/>
        <w:t xml:space="preserve">der henviser til, at den europæiske afdeling af International </w:t>
      </w:r>
      <w:proofErr w:type="spellStart"/>
      <w:r w:rsidRPr="00352C70">
        <w:t>Lesbian</w:t>
      </w:r>
      <w:proofErr w:type="spellEnd"/>
      <w:r w:rsidRPr="00352C70">
        <w:t xml:space="preserve">, Gay, </w:t>
      </w:r>
      <w:proofErr w:type="spellStart"/>
      <w:r w:rsidRPr="00352C70">
        <w:t>Bisexual</w:t>
      </w:r>
      <w:proofErr w:type="spellEnd"/>
      <w:r w:rsidRPr="00352C70">
        <w:t xml:space="preserve">, Trans and </w:t>
      </w:r>
      <w:proofErr w:type="spellStart"/>
      <w:r w:rsidRPr="00352C70">
        <w:t>Intersex</w:t>
      </w:r>
      <w:proofErr w:type="spellEnd"/>
      <w:r w:rsidRPr="00352C70">
        <w:t xml:space="preserve"> Association (ILGA) i sin årsrapport for 2023 har dokumenteret det højeste antal voldshandlinger mod LGBTIQ+-personer i 12 år;</w:t>
      </w:r>
    </w:p>
    <w:p w:rsidR="00F97D90" w:rsidRPr="00352C70" w:rsidRDefault="00F97D90" w:rsidP="00F97D90">
      <w:pPr>
        <w:pStyle w:val="NormalHanging12a"/>
      </w:pPr>
      <w:r w:rsidRPr="00352C70">
        <w:t>N.</w:t>
      </w:r>
      <w:r w:rsidRPr="00352C70">
        <w:tab/>
        <w:t xml:space="preserve">der henviser til, at væksten i </w:t>
      </w:r>
      <w:proofErr w:type="spellStart"/>
      <w:r w:rsidRPr="00352C70">
        <w:t>antirettighedsretorikken</w:t>
      </w:r>
      <w:proofErr w:type="spellEnd"/>
      <w:r w:rsidRPr="00352C70">
        <w:t>, herunder fra folkevalgte politikere, har bidraget til at skabe et fjendtligt miljø for LGBTIQ+-personer og dem, der kæmper for LGBTIQ+-rettigheder;</w:t>
      </w:r>
    </w:p>
    <w:p w:rsidR="00F97D90" w:rsidRPr="00352C70" w:rsidRDefault="00F97D90" w:rsidP="00F97D90">
      <w:pPr>
        <w:pStyle w:val="NormalHanging12a"/>
      </w:pPr>
      <w:r w:rsidRPr="00352C70">
        <w:t>O.</w:t>
      </w:r>
      <w:r w:rsidRPr="00352C70">
        <w:tab/>
        <w:t>der henviser til, at opbygning af sikre, frie og inkluderende samfund for LGBTIQ+-personer indebærer, at der skal tages fat på flere og tværgående manifestationer af forskelsbehandling, udelukkelse og vold;</w:t>
      </w:r>
    </w:p>
    <w:p w:rsidR="00F97D90" w:rsidRPr="00352C70" w:rsidRDefault="00F97D90" w:rsidP="00F97D90">
      <w:pPr>
        <w:pStyle w:val="NormalHanging12a"/>
      </w:pPr>
      <w:r w:rsidRPr="00352C70">
        <w:t>P.</w:t>
      </w:r>
      <w:r w:rsidRPr="00352C70">
        <w:tab/>
        <w:t>der henviser til, at LGBTIQ-personer udsættes for forskelsbehandling og vold i hele verden;</w:t>
      </w:r>
    </w:p>
    <w:p w:rsidR="00F97D90" w:rsidRPr="00352C70" w:rsidRDefault="00F97D90" w:rsidP="00F97D90">
      <w:pPr>
        <w:pStyle w:val="NormalHanging12a"/>
      </w:pPr>
      <w:r w:rsidRPr="00352C70">
        <w:t>Q.</w:t>
      </w:r>
      <w:r w:rsidRPr="00352C70">
        <w:tab/>
        <w:t>der henviser til, at Den Europæiske Union har givet tilsagn om at fremme og beskytte LGBTIQ+-rettigheder på verdensplan;</w:t>
      </w:r>
    </w:p>
    <w:p w:rsidR="00F97D90" w:rsidRPr="00352C70" w:rsidRDefault="00F97D90" w:rsidP="00F97D90">
      <w:pPr>
        <w:pStyle w:val="NormalHanging12a"/>
      </w:pPr>
      <w:r w:rsidRPr="00352C70">
        <w:t>R.</w:t>
      </w:r>
      <w:r w:rsidRPr="00352C70">
        <w:tab/>
        <w:t>der henviser til, at alle former og udtryk for had og intolerance, herunder hadefuld tale og hadforbrydelser, er uforenelige med EU's værdier om menneskelig værdighed, frihed, demokrati, lighed, retsstatsprincippet og respekt for menneskerettighederne som nedfældet i artikel 2 i TEU;</w:t>
      </w:r>
    </w:p>
    <w:p w:rsidR="00F97D90" w:rsidRDefault="00F97D90" w:rsidP="00F97D90">
      <w:pPr>
        <w:pStyle w:val="NormalHanging12a"/>
      </w:pPr>
      <w:r w:rsidRPr="00352C70">
        <w:t>S.</w:t>
      </w:r>
      <w:r w:rsidRPr="00352C70">
        <w:tab/>
        <w:t>der henviser til, at såkaldt "omvendelsespraksis" kan gøre brug af forskellige metoder såsom elektrochok, indtagelse af hormoner eller eksorcismeritualer, som udgør tortur, og det anslås, at 2 % af LGBTIQ+-personer i EU rent faktisk har været udsat for "omvendelsespraksis", og at 5 % er blevet tilbudt omvendelse, selv om de reelle tal kan være meget højere;</w:t>
      </w:r>
    </w:p>
    <w:p w:rsidR="00141F93" w:rsidRPr="00352C70" w:rsidRDefault="00141F93" w:rsidP="00F97D90">
      <w:pPr>
        <w:pStyle w:val="NormalHanging12a"/>
      </w:pPr>
      <w:r>
        <w:t>T.</w:t>
      </w:r>
      <w:r>
        <w:tab/>
      </w:r>
      <w:r w:rsidRPr="00141F93">
        <w:t>der henviser til, at det europæiske borgerinitiativ "Forbud mod omvendelsespraksis i Den Europæiske Union" blev forelagt Kommissionen den 27. november 2023; der henviser til, at det opfordrer EU til at træffe foranstaltninger til at foreslå et bindende retligt forbud mod omvendelsespraksis rettet mod LGBTIQ+-borgere i Den Europæiske Union; der henviser til, at Kommissionen fuldt ud registrerede dette europæiske borgerinitiativ den 21. januar 2024;</w:t>
      </w:r>
    </w:p>
    <w:p w:rsidR="00F97D90" w:rsidRPr="00352C70" w:rsidRDefault="00F97D90" w:rsidP="00F97D90">
      <w:pPr>
        <w:pStyle w:val="NormalHanging12a"/>
        <w:rPr>
          <w:b/>
          <w:i/>
        </w:rPr>
      </w:pPr>
      <w:r w:rsidRPr="00352C70">
        <w:rPr>
          <w:b/>
          <w:i/>
        </w:rPr>
        <w:t>Hovedkonklusioner</w:t>
      </w:r>
    </w:p>
    <w:p w:rsidR="00F97D90" w:rsidRPr="00352C70" w:rsidRDefault="00F97D90" w:rsidP="00F97D90">
      <w:pPr>
        <w:pStyle w:val="NormalHanging12a"/>
      </w:pPr>
      <w:r w:rsidRPr="00352C70">
        <w:t>1.</w:t>
      </w:r>
      <w:r w:rsidRPr="00352C70">
        <w:tab/>
        <w:t>glæder sig over Kommissionens strategi for ligestilling af LGBTIQ-personer 2020‑2025, der blev vedtaget af Kommissionen den 12. november 2020 (COM(2020)0698), og den seneste statusrapport om gennemførelsen af strategien; bemærker Kommissionens tilsagn om at støtte medlemsstaterne i deres gennemførelse af strategien og udtrykker dyb bekymring over forskellene mellem medlemsstaternes åbenhed over for strategien; glæder sig over Kommissionens bestræbelser på at fremme ligestilling for LGBTIQ+-personer på alle områder, der er omfattet af strategien; beklager, at visse nøgleaktioner, som Kommissionen oprindeligt havde planlagt, endnu ikke er blevet gennemført;</w:t>
      </w:r>
    </w:p>
    <w:p w:rsidR="00F97D90" w:rsidRPr="00352C70" w:rsidRDefault="00F97D90" w:rsidP="00F97D90">
      <w:pPr>
        <w:pStyle w:val="NormalHanging12a"/>
      </w:pPr>
      <w:r w:rsidRPr="00352C70">
        <w:t>2.</w:t>
      </w:r>
      <w:r w:rsidRPr="00352C70">
        <w:tab/>
        <w:t>anerkender de fremskridt, der er gjort med gennemførelsen af strategien for ligestilling af LGBTIQ-personer 2020-2025, men understreger samtidig, at reel ligestilling for LGBTIQ+-personer i EU stadig ligger langt fra den aktuelle situation; udtrykker bekymring over den forskelsbehandling og vold, som LGBTIQ+-personer udsættes for i EU, og konsekvenserne heraf for om de fuldt ud kan leve et frit og værdigt liv;</w:t>
      </w:r>
    </w:p>
    <w:p w:rsidR="00F97D90" w:rsidRPr="00352C70" w:rsidRDefault="00F97D90" w:rsidP="00F97D90">
      <w:pPr>
        <w:pStyle w:val="NormalHanging12a"/>
      </w:pPr>
      <w:r w:rsidRPr="00352C70">
        <w:lastRenderedPageBreak/>
        <w:t>3.</w:t>
      </w:r>
      <w:r w:rsidRPr="00352C70">
        <w:tab/>
        <w:t>beklager, at det horisontale direktiv om bekæmpelse af forskelsbehandling har været blokeret i Rådet siden 2008; mener, at al ajourføring af dette forslag fra Kommissionen skal bygge på Parlamentets holdning, imødegå tværgående forskelsbehandling og udtrykkeligt forbyde forskelsbehandling af enhver kombination af de grunde, der er anført i chartret; beklager, at Rådet har ignoreret disse anmodninger, og opfordrer indtrængende Rådet til at integrere dem i sit mandat og til at træffe alle passende foranstaltninger til bekæmpelse af forskelsbehandling i EU;</w:t>
      </w:r>
    </w:p>
    <w:p w:rsidR="00F97D90" w:rsidRPr="00352C70" w:rsidRDefault="00F97D90" w:rsidP="00F97D90">
      <w:pPr>
        <w:pStyle w:val="NormalHanging12a"/>
      </w:pPr>
      <w:r w:rsidRPr="00352C70">
        <w:t>4.</w:t>
      </w:r>
      <w:r w:rsidRPr="00352C70">
        <w:tab/>
        <w:t>opfordrer til at medtage alle former for seksuel orientering, kønsidentitet, kønsudtryk og kønskarakteristika i EU's lovgivning om bekæmpelse af forskelsbehandling baseret på en bred fortolkning af de former for seksuel orientering og køn og princippet om ligestilling mellem kvinder og mænd, der er fastsat i traktaterne; bemærker, at dette vil sikre retssikkerheden og fuldstændigheden af beskyttelsen af LGBTIQ+-personer;</w:t>
      </w:r>
    </w:p>
    <w:p w:rsidR="00F97D90" w:rsidRPr="00352C70" w:rsidRDefault="00F97D90" w:rsidP="00F97D90">
      <w:pPr>
        <w:pStyle w:val="NormalHanging12a"/>
      </w:pPr>
      <w:r w:rsidRPr="00352C70">
        <w:t>5.</w:t>
      </w:r>
      <w:r w:rsidRPr="00352C70">
        <w:tab/>
        <w:t>understreger, at LGBTIQ+-personer er uforholdsmæssigt hårdt ramt af hjemløshed, fattigdom og socioøkonomisk udstødelse; udtrykker bekymring over virkningerne af covid-19-pandemien, leveomkostnings- og boligkrisen for LGBTIQ+-personers liv; gentager, at adgangen til en bolig er en grundlæggende rettighed;</w:t>
      </w:r>
    </w:p>
    <w:p w:rsidR="00F97D90" w:rsidRPr="00352C70" w:rsidRDefault="00F97D90" w:rsidP="00F97D90">
      <w:pPr>
        <w:pStyle w:val="NormalHanging12a"/>
      </w:pPr>
      <w:r w:rsidRPr="00352C70">
        <w:t>6.</w:t>
      </w:r>
      <w:r w:rsidRPr="00352C70">
        <w:tab/>
        <w:t>beklager, at LGBTIQ+-personer trods EU-lovgivning, der forbyder forskelsbehandling på grund af seksuel orientering i forbindelse med beskæftigelse og erhverv, stadig møder hindringer med hensyn til beskæftigelse, navnlig når det gælder adgang til anstændige job; understreger, at LGBTIQ+-rettigheder er grundlæggende arbejdstagerrettigheder;</w:t>
      </w:r>
    </w:p>
    <w:p w:rsidR="00F97D90" w:rsidRPr="00352C70" w:rsidRDefault="00F97D90" w:rsidP="00F97D90">
      <w:pPr>
        <w:pStyle w:val="NormalHanging12a"/>
      </w:pPr>
      <w:r w:rsidRPr="00352C70">
        <w:t>7.</w:t>
      </w:r>
      <w:r w:rsidRPr="00352C70">
        <w:tab/>
      </w:r>
      <w:r w:rsidR="00E70538" w:rsidRPr="00E70538">
        <w:t xml:space="preserve">understreger, at forskelsbehandling på grund af faktisk eller opfattet seksuel orientering, kønsidentitet, kønsudtryk og køn stadig har en betydelig indvirkning på LGBTIQ+-personers fysiske, mentale og seksuelle sundhed og trivsel; beklager, at LGBTIQ+-personer stadig udsættes for forskelsbehandling i forbindelse med adgang til sundhedspleje; </w:t>
      </w:r>
      <w:r w:rsidRPr="00352C70">
        <w:t xml:space="preserve">understreger, at adgang til sundhedspleje bør tilbydes som en </w:t>
      </w:r>
      <w:r w:rsidR="00E70538" w:rsidRPr="00E70538">
        <w:t xml:space="preserve">universel, </w:t>
      </w:r>
      <w:r w:rsidRPr="00352C70">
        <w:t>rettidig og tilgængelig offentlig tjeneste;</w:t>
      </w:r>
    </w:p>
    <w:p w:rsidR="00F97D90" w:rsidRPr="00352C70" w:rsidRDefault="00F97D90" w:rsidP="00F97D90">
      <w:pPr>
        <w:pStyle w:val="NormalHanging12a"/>
      </w:pPr>
      <w:r w:rsidRPr="00352C70">
        <w:t>8.</w:t>
      </w:r>
      <w:r w:rsidRPr="00352C70">
        <w:tab/>
        <w:t xml:space="preserve">understreger behovet for en inklusiv og sikker uddannelse for LGBTIQ+-personer i alle medlemsstater, navnlig for unge LGBTIQ+-personer; </w:t>
      </w:r>
    </w:p>
    <w:p w:rsidR="00F97D90" w:rsidRPr="00352C70" w:rsidRDefault="00F97D90" w:rsidP="00F97D90">
      <w:pPr>
        <w:pStyle w:val="NormalHanging12a"/>
      </w:pPr>
      <w:r w:rsidRPr="00352C70">
        <w:t>9.</w:t>
      </w:r>
      <w:r w:rsidRPr="00352C70">
        <w:tab/>
        <w:t>beklager, at LGBTIQ+-personer stadig udsættes for forskelsbehandling i nogle medlemsstater med hensyn til adgang til social beskyttelse, social sikring samt adgang til levering af varer og andre sektorer eller tjenesteydelser;</w:t>
      </w:r>
    </w:p>
    <w:p w:rsidR="00F97D90" w:rsidRPr="00352C70" w:rsidRDefault="00F97D90" w:rsidP="00F97D90">
      <w:pPr>
        <w:pStyle w:val="NormalHanging12a"/>
      </w:pPr>
      <w:r w:rsidRPr="00352C70">
        <w:t>10.</w:t>
      </w:r>
      <w:r w:rsidRPr="00352C70">
        <w:tab/>
        <w:t>beklager, at ældre LGBTIQ+-personer er særligt berørt af manglen på LGBTIQ+-rettigheder, hvilket yderligere forværrer følelsen af social isolation og skaber hindringer for adgangen til væsentlige tjenester; fremhæver, at den ældre LGBTIQ+-befolkning ofte overses i udformningen af offentlige politikker og projekter, herunder dem, der er skræddersyet til LGBTIQ+-personer; understreger, at den ældre LGBTIQ+-befolkning er uforholdsmæssigt hårdt ramt af fattigdom og mangler adgang til anstændige boliger og passende plejenetværk; understreger, at en europæisk LGBTIQ+-frihedszone ikke må lade nogen i stikken;</w:t>
      </w:r>
    </w:p>
    <w:p w:rsidR="00F97D90" w:rsidRPr="00352C70" w:rsidRDefault="00F97D90" w:rsidP="00F97D90">
      <w:pPr>
        <w:pStyle w:val="NormalHanging12a"/>
      </w:pPr>
      <w:r w:rsidRPr="00352C70">
        <w:t>11.</w:t>
      </w:r>
      <w:r w:rsidRPr="00352C70">
        <w:tab/>
        <w:t>understreger, at plejetjenester for LGBTIQ+-personer altid skal sikre værdighed, uafhængighed, autonomi, trivsel og deltagelse i det sociale liv for dem, der modtager dem, herunder muligheden for hjemmepleje og pleje i nærmiljøet;</w:t>
      </w:r>
    </w:p>
    <w:p w:rsidR="00F97D90" w:rsidRPr="00352C70" w:rsidRDefault="00F97D90" w:rsidP="00F97D90">
      <w:pPr>
        <w:pStyle w:val="NormalHanging12a"/>
      </w:pPr>
      <w:r w:rsidRPr="00352C70">
        <w:lastRenderedPageBreak/>
        <w:t>12.</w:t>
      </w:r>
      <w:r w:rsidRPr="00352C70">
        <w:tab/>
        <w:t xml:space="preserve">bemærker, at LGBTIQ+-personer i landdistrikter, randområder og regioner i den yderste periferi står over for særlige udfordringer og hindringer for deres adgang til væsentlige tjenester; </w:t>
      </w:r>
    </w:p>
    <w:p w:rsidR="00F97D90" w:rsidRPr="00352C70" w:rsidRDefault="00F97D90" w:rsidP="00F97D90">
      <w:pPr>
        <w:pStyle w:val="NormalHanging12a"/>
      </w:pPr>
      <w:r w:rsidRPr="00352C70">
        <w:t>13.</w:t>
      </w:r>
      <w:r w:rsidRPr="00352C70">
        <w:tab/>
        <w:t xml:space="preserve">udtrykker dyb bekymring over LGBTIQ+-personer, der har behov for at udøve deres ret til at anmode om asyl i Den Europæiske Union; udtrykker bekymring over, at </w:t>
      </w:r>
      <w:proofErr w:type="spellStart"/>
      <w:r w:rsidRPr="00352C70">
        <w:t>transpersoner</w:t>
      </w:r>
      <w:proofErr w:type="spellEnd"/>
      <w:r w:rsidRPr="00352C70">
        <w:t xml:space="preserve"> og </w:t>
      </w:r>
      <w:proofErr w:type="spellStart"/>
      <w:r w:rsidRPr="00352C70">
        <w:t>interkønnede</w:t>
      </w:r>
      <w:proofErr w:type="spellEnd"/>
      <w:r w:rsidRPr="00352C70">
        <w:t xml:space="preserve"> står over for yderligere hindringer i processen med at ansøge om asyl; understreger betydningen af, at der tages hensyn til LGBTIQ+-personers situation ved udformningen af Unionens asyl- og migrationspolitik;</w:t>
      </w:r>
    </w:p>
    <w:p w:rsidR="00F97D90" w:rsidRPr="00352C70" w:rsidRDefault="00F97D90" w:rsidP="00F97D90">
      <w:pPr>
        <w:pStyle w:val="NormalHanging12a"/>
      </w:pPr>
      <w:r w:rsidRPr="00352C70">
        <w:t>14.</w:t>
      </w:r>
      <w:r w:rsidRPr="00352C70">
        <w:tab/>
        <w:t>udtrykker dyb bekymring over stigningen i hadefuld tale, hadforbrydelser og vold mod LGBTIQ+-personer, herunder på onlineplatforme, hvor det kan føre til krænkelser af privatlivets fred for seere af LGBTIQ+-indhold; minder om behovet for forebyggende og beskyttende offentlige politikker vedrørende fordomsmotiveret hadefuld tale, hadforbrydelser og vold mod LGBTIQ+-personer; anerkender, at der er en underrapportering af tilfælde af hadefuld tale og forbrydelser mod LGBTIQ+-personer på grund af manglende tillid til myndighedernes formåen med hensyn til bekæmpelse af sådanne forbrydelser;</w:t>
      </w:r>
    </w:p>
    <w:p w:rsidR="00F97D90" w:rsidRPr="00352C70" w:rsidRDefault="00F97D90" w:rsidP="00F97D90">
      <w:pPr>
        <w:pStyle w:val="NormalHanging12a"/>
      </w:pPr>
      <w:r w:rsidRPr="00352C70">
        <w:t>15.</w:t>
      </w:r>
      <w:r w:rsidRPr="00352C70">
        <w:tab/>
        <w:t xml:space="preserve">fordømmer den kendsgerning, at fremvæksten af højreekstremistiske politiske kræfter har motiveret en stigning i stigmatisering, chikane, forfølgelse af og vold mod LGBTIQ+-personer og LGBTIQ+-civilsamfundsorganisationer og </w:t>
      </w:r>
      <w:r w:rsidRPr="00352C70">
        <w:noBreakHyphen/>
        <w:t>aktivister; fordømmer den stigende tendens til at gøre LGBTIQ+-samfundet til syndebuk og den skadelige betegnelse af kampen for LGBTIQ+-rettigheder som en "ideologi";</w:t>
      </w:r>
    </w:p>
    <w:p w:rsidR="00F97D90" w:rsidRPr="00352C70" w:rsidRDefault="00F97D90" w:rsidP="00F97D90">
      <w:pPr>
        <w:pStyle w:val="NormalHanging12a"/>
      </w:pPr>
      <w:r w:rsidRPr="00352C70">
        <w:t>16.</w:t>
      </w:r>
      <w:r w:rsidRPr="00352C70">
        <w:tab/>
        <w:t>understreger behovet for, at EU behandler LGBTIQ+-personers situation i formelle forhandlinger med kandidatlandene og støtter alle udvidelseslande med henblik på at lukke huller i lovgivningen og sikre LGBTIQ+-personers grundlæggende rettigheder;</w:t>
      </w:r>
    </w:p>
    <w:p w:rsidR="00F97D90" w:rsidRPr="00352C70" w:rsidRDefault="00F97D90" w:rsidP="00F97D90">
      <w:pPr>
        <w:pStyle w:val="NormalHanging12a"/>
      </w:pPr>
      <w:r w:rsidRPr="00352C70">
        <w:t>17.</w:t>
      </w:r>
      <w:r w:rsidRPr="00352C70">
        <w:tab/>
        <w:t xml:space="preserve">insisterer på, at EU er nødt til at følge en fælles tilgang til den juridiske anerkendelse af ægteskaber og partnerskaber mellem personer af samme køn og af regnbueforældre, herunder af </w:t>
      </w:r>
      <w:proofErr w:type="spellStart"/>
      <w:r w:rsidRPr="00352C70">
        <w:t>transforældre</w:t>
      </w:r>
      <w:proofErr w:type="spellEnd"/>
      <w:r w:rsidRPr="00352C70">
        <w:t xml:space="preserve">, og til juridiske anerkendelse af køn for at sikre børns tarv i overensstemmelse med EU-Domstolens og </w:t>
      </w:r>
      <w:proofErr w:type="spellStart"/>
      <w:r w:rsidRPr="00352C70">
        <w:t>EMD's</w:t>
      </w:r>
      <w:proofErr w:type="spellEnd"/>
      <w:r w:rsidRPr="00352C70">
        <w:t xml:space="preserve"> retspraksis;</w:t>
      </w:r>
    </w:p>
    <w:p w:rsidR="00F97D90" w:rsidRPr="00352C70" w:rsidRDefault="00F97D90" w:rsidP="00F97D90">
      <w:pPr>
        <w:pStyle w:val="NormalHanging12a"/>
      </w:pPr>
      <w:r w:rsidRPr="00352C70">
        <w:t>18.</w:t>
      </w:r>
      <w:r w:rsidRPr="00352C70">
        <w:tab/>
        <w:t xml:space="preserve">fremhæver de udfordringer, som </w:t>
      </w:r>
      <w:proofErr w:type="spellStart"/>
      <w:r w:rsidRPr="00352C70">
        <w:t>transpersoner</w:t>
      </w:r>
      <w:proofErr w:type="spellEnd"/>
      <w:r w:rsidRPr="00352C70">
        <w:t xml:space="preserve">, nonbinære og </w:t>
      </w:r>
      <w:proofErr w:type="spellStart"/>
      <w:r w:rsidRPr="00352C70">
        <w:t>interkønnede</w:t>
      </w:r>
      <w:proofErr w:type="spellEnd"/>
      <w:r w:rsidRPr="00352C70">
        <w:t xml:space="preserve"> i EU står over for, navnlig med hensyn til deres socioøkonomiske og </w:t>
      </w:r>
      <w:proofErr w:type="spellStart"/>
      <w:r w:rsidRPr="00352C70">
        <w:t>sociodemografiske</w:t>
      </w:r>
      <w:proofErr w:type="spellEnd"/>
      <w:r w:rsidRPr="00352C70">
        <w:t xml:space="preserve"> status; understreger, hvordan fraværet af kønsanerkendelsesprocedurer eller hindringer for adgang til sådanne procedurer i medlemsstaterne krænker rettighederne og begrænser fremtidsudsigterne for </w:t>
      </w:r>
      <w:proofErr w:type="spellStart"/>
      <w:r w:rsidRPr="00352C70">
        <w:t>transpersoner</w:t>
      </w:r>
      <w:proofErr w:type="spellEnd"/>
      <w:r w:rsidRPr="00352C70">
        <w:t xml:space="preserve">, nonbinære og </w:t>
      </w:r>
      <w:proofErr w:type="spellStart"/>
      <w:r w:rsidRPr="00352C70">
        <w:t>interkønnede</w:t>
      </w:r>
      <w:proofErr w:type="spellEnd"/>
      <w:r w:rsidRPr="00352C70">
        <w:t xml:space="preserve"> i hele Unionen;</w:t>
      </w:r>
    </w:p>
    <w:p w:rsidR="00F97D90" w:rsidRPr="00352C70" w:rsidRDefault="00F97D90" w:rsidP="00F97D90">
      <w:pPr>
        <w:pStyle w:val="NormalHanging12a"/>
      </w:pPr>
      <w:r w:rsidRPr="00352C70">
        <w:t>19.</w:t>
      </w:r>
      <w:r w:rsidRPr="00352C70">
        <w:tab/>
        <w:t>insisterer på, at regnbuefamilier har ret til fri bevægelighed i EU, og at børn fra regnbuefamilier ikke bør udsættes for forskelsbehandling i forbindelse med erhvervelse af EU-borgerskab;</w:t>
      </w:r>
    </w:p>
    <w:p w:rsidR="00F97D90" w:rsidRPr="00352C70" w:rsidRDefault="00F97D90" w:rsidP="00F97D90">
      <w:pPr>
        <w:pStyle w:val="NormalHanging12a"/>
      </w:pPr>
      <w:r w:rsidRPr="00352C70">
        <w:t>20.</w:t>
      </w:r>
      <w:r w:rsidRPr="00352C70">
        <w:tab/>
        <w:t xml:space="preserve">udtrykker bekymring over, at brugen af ansigtsgenkendelses- og profileringsteknologi kan skabe større risici for LGBTIQ+-personer, navnlig for </w:t>
      </w:r>
      <w:proofErr w:type="spellStart"/>
      <w:r w:rsidRPr="00352C70">
        <w:t>transpersoner</w:t>
      </w:r>
      <w:proofErr w:type="spellEnd"/>
      <w:r w:rsidRPr="00352C70">
        <w:t xml:space="preserve">, nonbinære og </w:t>
      </w:r>
      <w:proofErr w:type="spellStart"/>
      <w:r w:rsidRPr="00352C70">
        <w:t>interkønnede</w:t>
      </w:r>
      <w:proofErr w:type="spellEnd"/>
      <w:r w:rsidRPr="00352C70">
        <w:t xml:space="preserve">; </w:t>
      </w:r>
    </w:p>
    <w:p w:rsidR="00F97D90" w:rsidRPr="00352C70" w:rsidRDefault="00F97D90" w:rsidP="00F97D90">
      <w:pPr>
        <w:pStyle w:val="NormalHanging12a"/>
      </w:pPr>
      <w:r w:rsidRPr="00352C70">
        <w:t>21.</w:t>
      </w:r>
      <w:r w:rsidRPr="00352C70">
        <w:tab/>
        <w:t>beklager manglen på en sammenhængende oversigt over EU-finansiering af LGBTIQ+-ligestilling under de forskellige programmer, der understøtter strategien;</w:t>
      </w:r>
    </w:p>
    <w:p w:rsidR="00F97D90" w:rsidRPr="00352C70" w:rsidRDefault="00F97D90" w:rsidP="00F97D90">
      <w:pPr>
        <w:pStyle w:val="NormalHanging12a"/>
      </w:pPr>
      <w:r w:rsidRPr="00352C70">
        <w:t>22.</w:t>
      </w:r>
      <w:r w:rsidRPr="00352C70">
        <w:tab/>
        <w:t>understreger, at Kommissionen snarest bør sikre adgang til finansiering for civilsamfundsorganisationer, der arbejder for menneskerettighederne for LGBTIQ+-</w:t>
      </w:r>
      <w:r w:rsidRPr="00352C70">
        <w:lastRenderedPageBreak/>
        <w:t>personer i Unionen og i tredjelande; bemærker, at tilstrækkelig og fleksibel finansiering af civilsamfundsorganisationer, der kæmper for LGBTIQ+-rettigheder, er en afgørende grundforudsætning for beskyttelse og fremme af LGBTIQ+-rettigheder i Den Europæiske Union og i tredjelande;</w:t>
      </w:r>
    </w:p>
    <w:p w:rsidR="00F97D90" w:rsidRPr="00352C70" w:rsidRDefault="00F97D90" w:rsidP="00F97D90">
      <w:pPr>
        <w:pStyle w:val="NormalHanging12a"/>
      </w:pPr>
      <w:r w:rsidRPr="00352C70">
        <w:t>23.</w:t>
      </w:r>
      <w:r w:rsidRPr="00352C70">
        <w:tab/>
        <w:t>glæder sig over EU-initiativer, der tager sigte på at beskytte LGBTIQ+-menneskerettighedsforkæmpere og lette deres arbejde med at forsvare de grundlæggende rettigheder; understreger behovet for, at EU fortsat bekæmper stigmatisering, intimidering og chikane af LGBTIQ+-menneskerettighedsforkæmpere i hele verden; glæder sig over Kommissionens støtte til LGBTIQ+-aktivister i Ukraine, navnlig gennem metoden for direkte tildeling, siden starten af den russiske invasion af og angrebskrigen mod Ukraine;</w:t>
      </w:r>
    </w:p>
    <w:p w:rsidR="00F97D90" w:rsidRPr="00352C70" w:rsidRDefault="00F97D90" w:rsidP="00F97D90">
      <w:pPr>
        <w:pStyle w:val="NormalHanging12a"/>
      </w:pPr>
      <w:r w:rsidRPr="00352C70">
        <w:t>24.</w:t>
      </w:r>
      <w:r w:rsidRPr="00352C70">
        <w:tab/>
        <w:t xml:space="preserve">minder om, at europæisk humanitær bistand bør være køns-, alders-, beskyttelses- og LGBTIQ+-følsom, samtidig med at der tages hensyn til </w:t>
      </w:r>
      <w:proofErr w:type="spellStart"/>
      <w:r w:rsidRPr="00352C70">
        <w:t>intersektionalitet</w:t>
      </w:r>
      <w:proofErr w:type="spellEnd"/>
      <w:r w:rsidRPr="00352C70">
        <w:t xml:space="preserve"> som et tværgående princip, og i overensstemmelse med humanitære principper;</w:t>
      </w:r>
    </w:p>
    <w:p w:rsidR="00F97D90" w:rsidRPr="00352C70" w:rsidRDefault="00F97D90" w:rsidP="00F97D90">
      <w:pPr>
        <w:pStyle w:val="NormalHanging12a"/>
      </w:pPr>
      <w:r w:rsidRPr="00352C70">
        <w:t>25.</w:t>
      </w:r>
      <w:r w:rsidRPr="00352C70">
        <w:tab/>
        <w:t>understreger, at EU ikke må lade nogen i stikken med hensyn til beskyttelsen af​grundlæggende rettigheder;</w:t>
      </w:r>
    </w:p>
    <w:p w:rsidR="00F97D90" w:rsidRPr="00352C70" w:rsidRDefault="00F97D90" w:rsidP="00F97D90">
      <w:pPr>
        <w:pStyle w:val="NormalHanging12a"/>
      </w:pPr>
      <w:r w:rsidRPr="00352C70">
        <w:rPr>
          <w:b/>
          <w:i/>
        </w:rPr>
        <w:t>Henstillinger</w:t>
      </w:r>
    </w:p>
    <w:p w:rsidR="00F97D90" w:rsidRPr="00352C70" w:rsidRDefault="00F97D90" w:rsidP="00F97D90">
      <w:pPr>
        <w:pStyle w:val="NormalHanging12a"/>
      </w:pPr>
      <w:r w:rsidRPr="00352C70">
        <w:t>26.</w:t>
      </w:r>
      <w:r w:rsidRPr="00352C70">
        <w:tab/>
        <w:t xml:space="preserve">opfordrer EU og medlemsstaterne til at sikre en reel integration af LGBTIQ+-rettigheder i alle EU-politikker; opfordrer til, at politikkerne dækker årsager til multipel og </w:t>
      </w:r>
      <w:proofErr w:type="spellStart"/>
      <w:r w:rsidRPr="00352C70">
        <w:t>intersektionel</w:t>
      </w:r>
      <w:proofErr w:type="spellEnd"/>
      <w:r w:rsidRPr="00352C70">
        <w:t xml:space="preserve"> forskelsbehandling, som bl.a. kan være baseret på socioøkonomisk status, alder, race, religion, faktisk eller opfattet seksuel orientering, kønsidentitet, kønsudtryk og kønskarakteristika eller handicap; opfordrer til, at politikkerne tager hensyn til de særlige forhold i landdistrikter, randområder og regioner i den yderste periferi;</w:t>
      </w:r>
    </w:p>
    <w:p w:rsidR="00F97D90" w:rsidRPr="00352C70" w:rsidRDefault="00F97D90" w:rsidP="00F97D90">
      <w:pPr>
        <w:pStyle w:val="NormalHanging12a"/>
      </w:pPr>
      <w:r w:rsidRPr="00352C70">
        <w:t>27.</w:t>
      </w:r>
      <w:r w:rsidRPr="00352C70">
        <w:tab/>
        <w:t>opfordrer EU og medlemsstaterne til at medtage SOGIESC blandt de grunde, der tages i betragtning i EU's lovgivning mod forskelsbehandling i overensstemmelse med Parlamentets holdning til forslaget til direktiv om standarder for ligestillingsorganer</w:t>
      </w:r>
      <w:r w:rsidRPr="00352C70">
        <w:rPr>
          <w:rStyle w:val="FootnoteReference"/>
        </w:rPr>
        <w:footnoteReference w:id="9"/>
      </w:r>
      <w:r w:rsidRPr="00352C70">
        <w:t>.</w:t>
      </w:r>
    </w:p>
    <w:p w:rsidR="00F97D90" w:rsidRPr="00352C70" w:rsidRDefault="00F97D90" w:rsidP="00F97D90">
      <w:pPr>
        <w:spacing w:after="240"/>
        <w:ind w:left="567" w:hanging="567"/>
      </w:pPr>
      <w:r w:rsidRPr="00352C70">
        <w:t>28.</w:t>
      </w:r>
      <w:r w:rsidRPr="00352C70">
        <w:tab/>
        <w:t>opfordrer EU og medlemsstaterne til at inddrage LGBTIQ+-personer i politikudformning, herunder i udformningen og gennemførelsen af socioøkonomiske politikker og bolig- og uddannelsespolitikker; opfordrer medlemsstaterne til at tackle leveomkostnings- og boligkrisen, bl.a. ved at fastlægge specifikke foranstaltninger for LGBTIQ+-personer;</w:t>
      </w:r>
    </w:p>
    <w:p w:rsidR="00F97D90" w:rsidRPr="00352C70" w:rsidRDefault="00F97D90" w:rsidP="00F97D90">
      <w:pPr>
        <w:pStyle w:val="NormalHanging12a"/>
      </w:pPr>
      <w:r w:rsidRPr="00352C70">
        <w:t>29.</w:t>
      </w:r>
      <w:r w:rsidRPr="00352C70">
        <w:tab/>
        <w:t>opfordrer medlemsstaterne til at gennemføre direktivet om ligebehandling med hensyn til beskæftigelse og erhverv;</w:t>
      </w:r>
    </w:p>
    <w:p w:rsidR="00F97D90" w:rsidRPr="00352C70" w:rsidRDefault="00F97D90" w:rsidP="00F97D90">
      <w:pPr>
        <w:pStyle w:val="NormalHanging12a"/>
      </w:pPr>
      <w:r w:rsidRPr="00352C70">
        <w:t>30.</w:t>
      </w:r>
      <w:r w:rsidRPr="00352C70">
        <w:tab/>
        <w:t xml:space="preserve">glæder sig over Kommissionens forslag til forordning om kompetence, lovvalg, anerkendelse af retsafgørelser og accept af officielt bekræftede dokumenter i sager om forældreskab og om indførelse af en europæisk forældreskabsattest for at beskytte alle børns rettigheder ved at sikre, at deres forældretilknytning, herunder især til forældre af samme køn, der er etableret i én medlemsstat, anerkendes i alle EU's medlemsstater; </w:t>
      </w:r>
      <w:r w:rsidRPr="00352C70">
        <w:lastRenderedPageBreak/>
        <w:t xml:space="preserve">anmoder Kommissionen om at undersøge potentialet i andre retsgrundlag i traktaterne, navnlig artikel 19 og 21 i TEUF, for at sikre, at LGBTIQ+-personers ægteskaber, partnerskaber, forældreskab og familieliv anerkendes fuldt ud og betingelsesløst af alle medlemsstater uden forskelsbehandling og hindringer for den frie bevægelighed; </w:t>
      </w:r>
    </w:p>
    <w:p w:rsidR="00F97D90" w:rsidRPr="00352C70" w:rsidRDefault="00F97D90" w:rsidP="00F97D90">
      <w:pPr>
        <w:pStyle w:val="NormalHanging12a"/>
      </w:pPr>
      <w:r w:rsidRPr="00352C70">
        <w:t>31.</w:t>
      </w:r>
      <w:r w:rsidRPr="00352C70">
        <w:tab/>
        <w:t xml:space="preserve">glæder sig over Kommissionens afgørelse af 15. juli 2021 om at lægge sag an mod medlemsstater for krænkelser af LGBTIQ+-personers grundlæggende rettigheder; opfordrer Kommissionen til nøje at overvåge gennemførelsen af EU-lovgivningen i medlemsstaterne og til at indlede traktatbrudsprocedurer i tilfælde, hvor LGBTIQ+-personers grundlæggende rettigheder er blevet krænket i henhold til artikel 2 i TEU, chartret om grundlæggende rettigheder eller afledt ret, hvor det er relevant; opfordrer Kommissionen til systematisk at anvende fremskyndede procedurer og anmodninger om foreløbige forholdsregler ved EU-Domstolen; </w:t>
      </w:r>
    </w:p>
    <w:p w:rsidR="00F97D90" w:rsidRPr="00352C70" w:rsidRDefault="00F97D90" w:rsidP="00F97D90">
      <w:pPr>
        <w:pStyle w:val="NormalHanging12a"/>
      </w:pPr>
      <w:r w:rsidRPr="00352C70">
        <w:t>32.</w:t>
      </w:r>
      <w:r w:rsidRPr="00352C70">
        <w:tab/>
        <w:t xml:space="preserve">opfordrer Kommissionen til at sikre, at medlemsstaterne efterlever domme fra EU-Domstolen og EMD ved at imødegå tilfælde af manglende efterlevelse med tiltag i henhold til artikel 260, stk. 2, i TEUF og forordningen om </w:t>
      </w:r>
      <w:proofErr w:type="spellStart"/>
      <w:r w:rsidRPr="00352C70">
        <w:t>konditionalitet</w:t>
      </w:r>
      <w:proofErr w:type="spellEnd"/>
      <w:r w:rsidRPr="00352C70">
        <w:t xml:space="preserve"> vedrørende retsstatsprincippet, især vedrørende LGBTIQ+-personer og regnbuefamilier, der krydser grænserne inden for EU;</w:t>
      </w:r>
    </w:p>
    <w:p w:rsidR="00F97D90" w:rsidRPr="00352C70" w:rsidRDefault="00F97D90" w:rsidP="00F97D90">
      <w:pPr>
        <w:pStyle w:val="NormalHanging12a"/>
      </w:pPr>
      <w:r w:rsidRPr="00352C70">
        <w:t>33.</w:t>
      </w:r>
      <w:r w:rsidRPr="00352C70">
        <w:tab/>
        <w:t>opfordrer alle medlemsstater til at overholde retningslinjerne for strategier og handlingsplaner til forbedring af LGBTIQ-ligestilling</w:t>
      </w:r>
      <w:r w:rsidRPr="00352C70">
        <w:rPr>
          <w:rStyle w:val="FootnoteReference"/>
        </w:rPr>
        <w:footnoteReference w:id="10"/>
      </w:r>
      <w:r w:rsidRPr="00352C70">
        <w:t>, som er udarbejdet af Undergruppen vedrørende Ligestilling af LGBTIQ-personer;</w:t>
      </w:r>
    </w:p>
    <w:p w:rsidR="00F97D90" w:rsidRPr="00352C70" w:rsidRDefault="00F97D90" w:rsidP="00F97D90">
      <w:pPr>
        <w:pStyle w:val="NormalHanging12a"/>
      </w:pPr>
      <w:r w:rsidRPr="00352C70">
        <w:t>34.</w:t>
      </w:r>
      <w:r w:rsidRPr="00352C70">
        <w:tab/>
        <w:t>opfordrer medlemsstaterne til at udvide dækningen af​alle sundhedsydelser, så LGBTIQ+-personer kan søge specifik pleje, herunder adgang til seksuel og reproduktiv sundhed og teknologi; opfordrer indtrængende Kommissionen og medlemsstaterne til at vedtage foranstaltninger til bekæmpelse af forskelsbehandling af LGBTIQ+-personer i sundhedssektoren;</w:t>
      </w:r>
    </w:p>
    <w:p w:rsidR="00F97D90" w:rsidRPr="00352C70" w:rsidRDefault="00F97D90" w:rsidP="00F97D90">
      <w:pPr>
        <w:pStyle w:val="NormalHanging12a"/>
        <w:rPr>
          <w:rFonts w:eastAsiaTheme="minorHAnsi"/>
        </w:rPr>
      </w:pPr>
      <w:r w:rsidRPr="00352C70">
        <w:t>35.</w:t>
      </w:r>
      <w:r w:rsidRPr="00352C70">
        <w:tab/>
        <w:t>opfordrer medlemsstaterne til at sikre flere midler til levering af tjenester til ofre for kønsbaseret vold, således at der ydes støtte til LGBTIQ+-ofre, især LGBTIQ+-kvinder, under hensyntagen til deres specifikke behov og erfaringer;</w:t>
      </w:r>
    </w:p>
    <w:p w:rsidR="00F97D90" w:rsidRPr="00352C70" w:rsidRDefault="00F97D90" w:rsidP="00F97D90">
      <w:pPr>
        <w:pStyle w:val="NormalHanging12a"/>
      </w:pPr>
      <w:r w:rsidRPr="00352C70">
        <w:t>36.</w:t>
      </w:r>
      <w:r w:rsidRPr="00352C70">
        <w:tab/>
        <w:t>minder om behovet for at sikre, at brugen af ansigtsgenkendelses- og profileringsteknologi styres af principperne om gennemsigtighed, forklarlighed, retfærdighed og ansvarlighed med henblik på at imødegå de bias og risici, de skaber for LGBTIQ+-personer;</w:t>
      </w:r>
    </w:p>
    <w:p w:rsidR="00F97D90" w:rsidRPr="00352C70" w:rsidRDefault="00F97D90" w:rsidP="00F97D90">
      <w:pPr>
        <w:pStyle w:val="NormalHanging12a"/>
      </w:pPr>
      <w:r w:rsidRPr="00352C70">
        <w:t>37.</w:t>
      </w:r>
      <w:r w:rsidRPr="00352C70">
        <w:tab/>
        <w:t>opfordrer til, at EU giver sårbare LGBTIQ+-personer adgang til asyl, herunder personer fra tredjelande klassificeret som sikre lande;</w:t>
      </w:r>
    </w:p>
    <w:p w:rsidR="00F97D90" w:rsidRPr="00352C70" w:rsidRDefault="00F97D90" w:rsidP="00F97D90">
      <w:pPr>
        <w:pStyle w:val="NormalHanging12a"/>
      </w:pPr>
      <w:r w:rsidRPr="00352C70">
        <w:t>38.</w:t>
      </w:r>
      <w:r w:rsidRPr="00352C70">
        <w:tab/>
        <w:t>opfordrer Kommissionen til at sikre støtte til LGBTIQ+-ligestilling i forbindelse med tiltag under Asyl-, Migrations- og Integrationsfonden som bebudet i strategien for ligestilling af LGBTIQ-personer 2020-2025 og medtage nævnte støtte i arbejdsprogrammet for 2023-2025;</w:t>
      </w:r>
    </w:p>
    <w:p w:rsidR="00F97D90" w:rsidRPr="00352C70" w:rsidRDefault="00F97D90" w:rsidP="00F97D90">
      <w:pPr>
        <w:pStyle w:val="NormalHanging12a"/>
      </w:pPr>
      <w:r w:rsidRPr="00352C70">
        <w:t>39.</w:t>
      </w:r>
      <w:r w:rsidRPr="00352C70">
        <w:tab/>
        <w:t xml:space="preserve">opfordrer Den Europæiske Unions Asylagentur (EUAA) til hurtigt at færdiggøre deres praktiske vejledning om SOGIESC-ansøgere og til, at medlemsstaterne derefter følger </w:t>
      </w:r>
      <w:r w:rsidRPr="00352C70">
        <w:lastRenderedPageBreak/>
        <w:t>denne vejledning;</w:t>
      </w:r>
    </w:p>
    <w:p w:rsidR="00F97D90" w:rsidRPr="00352C70" w:rsidRDefault="00F97D90" w:rsidP="00F97D90">
      <w:pPr>
        <w:pStyle w:val="NormalHanging12a"/>
      </w:pPr>
      <w:r w:rsidRPr="00352C70">
        <w:t>40.</w:t>
      </w:r>
      <w:r w:rsidRPr="00352C70">
        <w:tab/>
        <w:t xml:space="preserve">opfordrer Kommissionen til at overvåge konsekvenserne af </w:t>
      </w:r>
      <w:proofErr w:type="spellStart"/>
      <w:r w:rsidRPr="00352C70">
        <w:t>antikønsbevægelsen</w:t>
      </w:r>
      <w:proofErr w:type="spellEnd"/>
      <w:r w:rsidRPr="00352C70">
        <w:t xml:space="preserve"> og finansiere civilsamfundsorganisationer og akademiske projekter, der undersøger den, med henblik på effektivt at kunne imødegå den;</w:t>
      </w:r>
    </w:p>
    <w:p w:rsidR="00F97D90" w:rsidRPr="00352C70" w:rsidRDefault="00F97D90" w:rsidP="00F97D90">
      <w:pPr>
        <w:pStyle w:val="NormalHanging12a"/>
      </w:pPr>
      <w:r w:rsidRPr="00352C70">
        <w:t>41.</w:t>
      </w:r>
      <w:r w:rsidRPr="00352C70">
        <w:tab/>
        <w:t>opfordrer Kommissionen og medlemsstaterne til at trække på den empiriske og systematiske viden, som civilsamfundsorganisationer og akademiske forskere har opbygget, når de udformer politikker og programmer til støtte for LGBTIQ+-personer i Europa og resten af verden;</w:t>
      </w:r>
    </w:p>
    <w:p w:rsidR="00F97D90" w:rsidRPr="00352C70" w:rsidRDefault="00F97D90" w:rsidP="00F97D90">
      <w:pPr>
        <w:pStyle w:val="NormalHanging12a"/>
      </w:pPr>
      <w:r w:rsidRPr="00352C70">
        <w:t>42.</w:t>
      </w:r>
      <w:r w:rsidRPr="00352C70">
        <w:tab/>
        <w:t>opfordrer Unionen og medlemsstaterne til at anerkende faktisk eller opfattet seksuel orientering, kønsidentitet, kønsudtryk og kønskarakteristika som grundlag for fordomme; opfordrer Kommissionen og medlemsstaterne til at gribe ind over for hadefuld tale, hadforbrydelser og vold på grund af SOGIESC-baserede fordomme, herunder online; glæder sig over Kommissionens initiativ til at udvide listen over EU-kriminalitet i artikel 83, stk. 1, i TEUF til at omfatte hadefuld tale og hadforbrydelser, hvilket vil gøre det muligt at fastsætte minimumsregler for definitionen af strafbare handlinger og sanktioner, der gælder i alle EU's medlemsstater; fremhæver behovet for at sikre en solid EU-strafferetlig reaktion på hadefuld tale og hadforbrydelser; beklager dybt, at der er gået næsten to år siden offentliggørelsen af Kommissionens meddelelse, og at Rådet ikke har gjort fremskridt hermed, selv om den har været i stand til hurtigt at udvide listen over EU-kriminalitet til andre formål; beklager denne passivitet i lyset af stigningen i hadefuld tale og hadforbrydelser; gentager sin opfordring til Rådet om at arbejde målrettet hen imod en konsensus, så Kommissionen kan indlede anden fase af proceduren;</w:t>
      </w:r>
    </w:p>
    <w:p w:rsidR="00F97D90" w:rsidRPr="00352C70" w:rsidRDefault="00F97D90" w:rsidP="00F97D90">
      <w:pPr>
        <w:pStyle w:val="NormalHanging12a"/>
        <w:rPr>
          <w:rFonts w:eastAsiaTheme="minorHAnsi"/>
        </w:rPr>
      </w:pPr>
      <w:r w:rsidRPr="00352C70">
        <w:t>43.</w:t>
      </w:r>
      <w:r w:rsidRPr="00352C70">
        <w:tab/>
        <w:t>opfordrer indtrængende Kommissionen til at gå videre med et arbejdsprogram for at øge bevidstheden om og tilskynde til indberetning af hadforbrydelser på grund af SOGIESC-fordomme; opfordrer indtrængende Kommissionen og medlemsstaterne til at sikre, at ansatte hos politiet og retsinstanserne modtager uddannelse i LGBTIQ+-spørgsmål for bedre at kunne støtte LGBTIQ+-personer og på passende vis efterforske og retsforfølge sager om hadforbrydelser;</w:t>
      </w:r>
    </w:p>
    <w:p w:rsidR="00F97D90" w:rsidRDefault="00F97D90" w:rsidP="00F97D90">
      <w:pPr>
        <w:pStyle w:val="NormalHanging12a"/>
      </w:pPr>
      <w:r w:rsidRPr="00352C70">
        <w:t>44.</w:t>
      </w:r>
      <w:r w:rsidRPr="00352C70">
        <w:tab/>
        <w:t>opfordrer Kommissionen til at undersøge EU's retlige rammer og mulighederne for at modvirke og forbyde omvendelsespraksis på EU-plan og for at presse medlemsstaterne til at forbyde "omvendelsespraksis" på grund af SOGIESC;</w:t>
      </w:r>
    </w:p>
    <w:p w:rsidR="00DF3D46" w:rsidRPr="00352C70" w:rsidRDefault="00DF3D46" w:rsidP="00F97D90">
      <w:pPr>
        <w:pStyle w:val="NormalHanging12a"/>
      </w:pPr>
      <w:r>
        <w:t>45.</w:t>
      </w:r>
      <w:r>
        <w:tab/>
      </w:r>
      <w:r w:rsidRPr="00DF3D46">
        <w:t>glæder sig over, at Kommissionen som et første skridt formelt har registreret det europæiske borgerinitiativ "Forbud mod omvendelsespraksis i Den Europæiske Union", da den derved anerkender retsgrundlaget på europæisk plan for at handle på dette område; udtrykker sin støtte til det europæiske borgerinitiativ; opfordrer Kommissionen til at reagere på det og fremsætte lovgivningsforslag på grundlag af traktaterne og forordningen om det europæiske borgerinitiativ</w:t>
      </w:r>
      <w:r>
        <w:rPr>
          <w:rStyle w:val="FootnoteReference"/>
        </w:rPr>
        <w:footnoteReference w:id="11"/>
      </w:r>
      <w:r w:rsidRPr="00DF3D46">
        <w:t>;</w:t>
      </w:r>
    </w:p>
    <w:p w:rsidR="00F97D90" w:rsidRPr="00352C70" w:rsidRDefault="00375FC1" w:rsidP="00F97D90">
      <w:pPr>
        <w:pStyle w:val="NormalHanging12a"/>
      </w:pPr>
      <w:r>
        <w:t>46</w:t>
      </w:r>
      <w:r w:rsidR="00F97D90" w:rsidRPr="00352C70">
        <w:t>.</w:t>
      </w:r>
      <w:r w:rsidR="00F97D90" w:rsidRPr="00352C70">
        <w:tab/>
        <w:t xml:space="preserve">opfordrer til et forbud mod kønslemlæstelse, især kønslemlæstelse af </w:t>
      </w:r>
      <w:proofErr w:type="spellStart"/>
      <w:r w:rsidR="00F97D90" w:rsidRPr="00352C70">
        <w:t>interkønnede</w:t>
      </w:r>
      <w:proofErr w:type="spellEnd"/>
      <w:r w:rsidR="00F97D90" w:rsidRPr="00352C70">
        <w:t xml:space="preserve"> og kvinder;</w:t>
      </w:r>
    </w:p>
    <w:p w:rsidR="00F97D90" w:rsidRPr="00352C70" w:rsidRDefault="00375FC1" w:rsidP="00F97D90">
      <w:pPr>
        <w:pStyle w:val="NormalHanging12a"/>
      </w:pPr>
      <w:r>
        <w:t>47</w:t>
      </w:r>
      <w:r w:rsidR="00F97D90" w:rsidRPr="00352C70">
        <w:t>.</w:t>
      </w:r>
      <w:r w:rsidR="00F97D90" w:rsidRPr="00352C70">
        <w:tab/>
        <w:t xml:space="preserve">opfordrer medlemsstaterne til fortsat at udveksle bedste praksis vedrørende beskyttelse </w:t>
      </w:r>
      <w:r w:rsidR="00F97D90" w:rsidRPr="00352C70">
        <w:lastRenderedPageBreak/>
        <w:t xml:space="preserve">af de grundlæggende rettigheder for </w:t>
      </w:r>
      <w:proofErr w:type="spellStart"/>
      <w:r w:rsidR="00F97D90" w:rsidRPr="00352C70">
        <w:t>interkønnede</w:t>
      </w:r>
      <w:proofErr w:type="spellEnd"/>
      <w:r w:rsidR="00F97D90" w:rsidRPr="00352C70">
        <w:t xml:space="preserve"> børn;</w:t>
      </w:r>
    </w:p>
    <w:p w:rsidR="00F97D90" w:rsidRPr="00352C70" w:rsidRDefault="00375FC1" w:rsidP="00F97D90">
      <w:pPr>
        <w:pStyle w:val="NormalHanging12a"/>
      </w:pPr>
      <w:r>
        <w:t>48</w:t>
      </w:r>
      <w:r w:rsidR="00F97D90" w:rsidRPr="00352C70">
        <w:t>.</w:t>
      </w:r>
      <w:r w:rsidR="00F97D90" w:rsidRPr="00352C70">
        <w:tab/>
        <w:t xml:space="preserve">opfordrer til et forbud mod tvangsaborter og tvangssterilisation; understreger vigtigheden af LGBTIQ+-personers ret til selvbestemmelse, autonomi og fysisk og mental sundhed; understreger, at Parlamentets holdning til forslaget til direktiv om bekæmpelse af vold mod kvinder og vold i hjemmet omfatter en tilføjelse af kønslemlæstelse af kvinder og </w:t>
      </w:r>
      <w:proofErr w:type="spellStart"/>
      <w:r w:rsidR="00F97D90" w:rsidRPr="00352C70">
        <w:t>interkønnede</w:t>
      </w:r>
      <w:proofErr w:type="spellEnd"/>
      <w:r w:rsidR="00F97D90" w:rsidRPr="00352C70">
        <w:t xml:space="preserve"> og tvangssterilisation til listen over strafbare handlinger i EU (EU-kriminalitet);</w:t>
      </w:r>
    </w:p>
    <w:p w:rsidR="00F97D90" w:rsidRPr="00352C70" w:rsidRDefault="00375FC1" w:rsidP="00F97D90">
      <w:pPr>
        <w:pStyle w:val="NormalHanging12a"/>
      </w:pPr>
      <w:r>
        <w:t>49</w:t>
      </w:r>
      <w:r w:rsidR="00F97D90" w:rsidRPr="00352C70">
        <w:t>.</w:t>
      </w:r>
      <w:r w:rsidR="00F97D90" w:rsidRPr="00352C70">
        <w:tab/>
        <w:t xml:space="preserve">opfordrer medlemsstaterne til at anerkende ægteskab mellem og forældreskab for par af samme køn med henblik på at udøve de rettigheder, der følger af EU-retten, som krævet af EU-Domstolen; </w:t>
      </w:r>
    </w:p>
    <w:p w:rsidR="00F97D90" w:rsidRPr="00352C70" w:rsidRDefault="00375FC1" w:rsidP="00F97D90">
      <w:pPr>
        <w:pStyle w:val="NormalHanging12a"/>
      </w:pPr>
      <w:r>
        <w:t>50</w:t>
      </w:r>
      <w:r w:rsidR="00F97D90" w:rsidRPr="00352C70">
        <w:t>.</w:t>
      </w:r>
      <w:r w:rsidR="00F97D90" w:rsidRPr="00352C70">
        <w:tab/>
        <w:t xml:space="preserve">opfordrer medlemsstaterne til at indføre tilgængelige kønsanerkendelsesprocedurer og </w:t>
      </w:r>
      <w:r w:rsidR="00F97D90" w:rsidRPr="00352C70">
        <w:noBreakHyphen/>
        <w:t>lovgivning med støtte fra Kommissionen;</w:t>
      </w:r>
    </w:p>
    <w:p w:rsidR="00F97D90" w:rsidRPr="00352C70" w:rsidRDefault="00375FC1" w:rsidP="00F97D90">
      <w:pPr>
        <w:pStyle w:val="NormalHanging12a"/>
      </w:pPr>
      <w:r>
        <w:t>51</w:t>
      </w:r>
      <w:r w:rsidR="00F97D90" w:rsidRPr="00352C70">
        <w:t>.</w:t>
      </w:r>
      <w:r w:rsidR="00F97D90" w:rsidRPr="00352C70">
        <w:tab/>
        <w:t>opfordrer Kommissionen og medlemsstaterne til at fremme trygge og inkluderende miljøer inden for uddannelse, kultur, sport og andre sektorer;</w:t>
      </w:r>
    </w:p>
    <w:p w:rsidR="00F97D90" w:rsidRPr="00352C70" w:rsidRDefault="00375FC1" w:rsidP="00F97D90">
      <w:pPr>
        <w:pStyle w:val="NormalHanging12a"/>
      </w:pPr>
      <w:r>
        <w:t>52</w:t>
      </w:r>
      <w:r w:rsidR="00F97D90" w:rsidRPr="00352C70">
        <w:t>.</w:t>
      </w:r>
      <w:r w:rsidR="00F97D90" w:rsidRPr="00352C70">
        <w:tab/>
        <w:t>opfordrer medlemsstaterne til at gøre mere for at sikre lige rettigheder for LGBTIQ+-personer med handicap gennem eksplicit beskyttelse mod forskelsbehandling på grund af seksuel orientering og kønsidentitet, hvilket er afgørende i alle livets forhold, herunder beskæftigelse, bolig, uddannelse, offentlige tilbud og lån;</w:t>
      </w:r>
    </w:p>
    <w:p w:rsidR="00F97D90" w:rsidRPr="00352C70" w:rsidRDefault="00375FC1" w:rsidP="00F97D90">
      <w:pPr>
        <w:pStyle w:val="NormalHanging12a"/>
      </w:pPr>
      <w:r>
        <w:t>53</w:t>
      </w:r>
      <w:r w:rsidR="00F97D90" w:rsidRPr="00352C70">
        <w:t>.</w:t>
      </w:r>
      <w:r w:rsidR="00F97D90" w:rsidRPr="00352C70">
        <w:tab/>
        <w:t xml:space="preserve">opfordrer medlemsstaterne til at gennemføre Rådets henstillinger om veje til succes i skolen og navnlig til at medtage foranstaltninger mod forskelsbehandling af LGBTIQ+-personer, navnlig unge LGBTIQ+-personer, for at sikre en sikker og inklusiv uddannelse; </w:t>
      </w:r>
    </w:p>
    <w:p w:rsidR="00F97D90" w:rsidRPr="00352C70" w:rsidRDefault="00375FC1" w:rsidP="00F97D90">
      <w:pPr>
        <w:pStyle w:val="NormalHanging12a"/>
      </w:pPr>
      <w:r>
        <w:t>54</w:t>
      </w:r>
      <w:r w:rsidR="00F97D90" w:rsidRPr="00352C70">
        <w:t>.</w:t>
      </w:r>
      <w:r w:rsidR="00F97D90" w:rsidRPr="00352C70">
        <w:tab/>
        <w:t xml:space="preserve">opfordrer indtrængende Kommissionen og medlemsstaterne til at intensivere foranstaltningerne til bekæmpelse af mobning og chikane af LGBTIQ+-børn og </w:t>
      </w:r>
      <w:r w:rsidR="00F97D90" w:rsidRPr="00352C70">
        <w:noBreakHyphen/>
        <w:t xml:space="preserve">unge i skolerne og til at øge bevidstheden om sådanne problemer; understreger, at sådanne situationer bidrager til social udstødelse; </w:t>
      </w:r>
    </w:p>
    <w:p w:rsidR="00F97D90" w:rsidRPr="00352C70" w:rsidRDefault="00375FC1" w:rsidP="00F97D90">
      <w:pPr>
        <w:pStyle w:val="NormalHanging12a"/>
      </w:pPr>
      <w:r>
        <w:t>55</w:t>
      </w:r>
      <w:r w:rsidR="00F97D90" w:rsidRPr="00352C70">
        <w:t>.</w:t>
      </w:r>
      <w:r w:rsidR="00F97D90" w:rsidRPr="00352C70">
        <w:tab/>
        <w:t>opfordrer Kommissionen til at udvide finansieringen til Erasmus+ under emnet "Fremme af LGBT+-ligestilling" gennem en aktiv kommunikationsindsats i samarbejde med de nationale myndigheder;</w:t>
      </w:r>
    </w:p>
    <w:p w:rsidR="00F97D90" w:rsidRPr="00352C70" w:rsidRDefault="00375FC1" w:rsidP="00F97D90">
      <w:pPr>
        <w:pStyle w:val="NormalHanging12a"/>
      </w:pPr>
      <w:r>
        <w:t>56</w:t>
      </w:r>
      <w:r w:rsidR="00F97D90" w:rsidRPr="00352C70">
        <w:t>.</w:t>
      </w:r>
      <w:r w:rsidR="00F97D90" w:rsidRPr="00352C70">
        <w:tab/>
        <w:t xml:space="preserve">opfordrer EU til at foregå med et godt eksempel ved at påtage sig en lederrolle i at fremme LGBTIQ+-rettigheder rundt om i verden i overensstemmelse med EU's retningslinjer vedrørende menneskerettigheder for så vidt angår </w:t>
      </w:r>
      <w:proofErr w:type="spellStart"/>
      <w:r w:rsidR="00F97D90" w:rsidRPr="00352C70">
        <w:t>ikkeforskelsbeheandling</w:t>
      </w:r>
      <w:proofErr w:type="spellEnd"/>
      <w:r w:rsidR="00F97D90" w:rsidRPr="00352C70">
        <w:t xml:space="preserve"> i EU's optræden udadtil;</w:t>
      </w:r>
    </w:p>
    <w:p w:rsidR="00F97D90" w:rsidRPr="00352C70" w:rsidRDefault="00375FC1" w:rsidP="00F97D90">
      <w:pPr>
        <w:pStyle w:val="NormalHanging12a"/>
      </w:pPr>
      <w:r>
        <w:t>57</w:t>
      </w:r>
      <w:r w:rsidR="00F97D90" w:rsidRPr="00352C70">
        <w:t>.</w:t>
      </w:r>
      <w:r w:rsidR="00F97D90" w:rsidRPr="00352C70">
        <w:tab/>
        <w:t>opfordrer Kommissionen til at udpege en særlig repræsentant for LGBTIQ+-ligestilling i Tjenesten for EU's Optræden Udadtil for at sikre en horisontal gennemførelse af strategien for ligestilling af LGBTIQ-personer 2020-2025 i foranstaltninger udadtil;</w:t>
      </w:r>
    </w:p>
    <w:p w:rsidR="00F97D90" w:rsidRPr="00352C70" w:rsidRDefault="00375FC1" w:rsidP="00F97D90">
      <w:pPr>
        <w:pStyle w:val="NormalHanging12a"/>
      </w:pPr>
      <w:r>
        <w:t>58</w:t>
      </w:r>
      <w:r w:rsidR="00F97D90" w:rsidRPr="00352C70">
        <w:t>.</w:t>
      </w:r>
      <w:r w:rsidR="00F97D90" w:rsidRPr="00352C70">
        <w:tab/>
        <w:t>udtrykker bekymring over situationen for LGBTIQ-rettigheder i hele verden; opfordrer Kommissionen og Tjenesten for EU's Optræden Udadtil (EU-Udenrigstjenesten) til at anvende udviklingspolitikken som en løftestang for reformer i udviklingslandene, til at modvirke tilbagegang i anerkendelsen og beskyttelsen af disse rettigheder og til at beskytte LGBTIQ+-personers rettigheder;</w:t>
      </w:r>
    </w:p>
    <w:p w:rsidR="00F97D90" w:rsidRPr="00352C70" w:rsidRDefault="00375FC1" w:rsidP="00F97D90">
      <w:pPr>
        <w:pStyle w:val="NormalHanging12a"/>
      </w:pPr>
      <w:r>
        <w:lastRenderedPageBreak/>
        <w:t>59</w:t>
      </w:r>
      <w:r w:rsidR="00F97D90" w:rsidRPr="00352C70">
        <w:t>.</w:t>
      </w:r>
      <w:r w:rsidR="00F97D90" w:rsidRPr="00352C70">
        <w:tab/>
        <w:t>opfordrer Kommissionen til at sikre, at LGBTIQ+-personer får støtte som en del af budget- og finansieringsinstrumenter samt inden for bredere udviklingsbistandsprogrammer;</w:t>
      </w:r>
    </w:p>
    <w:p w:rsidR="00F97D90" w:rsidRPr="00352C70" w:rsidRDefault="00375FC1" w:rsidP="00F97D90">
      <w:pPr>
        <w:pStyle w:val="NormalHanging12a"/>
      </w:pPr>
      <w:r>
        <w:t>60</w:t>
      </w:r>
      <w:r w:rsidR="00F97D90" w:rsidRPr="00352C70">
        <w:t>.</w:t>
      </w:r>
      <w:r w:rsidR="00F97D90" w:rsidRPr="00352C70">
        <w:tab/>
        <w:t>opfordrer Kommissionen til at støtte kandidatlande og potentielle kandidatlande i gennemførelsen af EU-lovgivningen, herunder på området LGBTIQ+-rettigheder, og overvåge deres fremskridt;</w:t>
      </w:r>
    </w:p>
    <w:p w:rsidR="00F97D90" w:rsidRPr="00352C70" w:rsidRDefault="00375FC1" w:rsidP="00F97D90">
      <w:pPr>
        <w:pStyle w:val="NormalHanging12a"/>
      </w:pPr>
      <w:r>
        <w:t>61</w:t>
      </w:r>
      <w:r w:rsidR="00F97D90" w:rsidRPr="00352C70">
        <w:t>.</w:t>
      </w:r>
      <w:r w:rsidR="00F97D90" w:rsidRPr="00352C70">
        <w:tab/>
        <w:t>opfordrer Kommissionen til yderligere at forbedre muligheden for, at der bevilges nye midler og ydes fleksibel finansiering, der giver små græsrodsorganisationer med fokus på menneskerettigheder og andre civilsamfundsaktører, der arbejder med fremme af LGBTIQ+-rettigheder, adgang til en sådan finansiering i Unionen og i tredjelande i overensstemmelse med EU-retten;</w:t>
      </w:r>
    </w:p>
    <w:p w:rsidR="00F97D90" w:rsidRPr="00352C70" w:rsidRDefault="00375FC1" w:rsidP="00F97D90">
      <w:pPr>
        <w:pStyle w:val="NormalHanging12a"/>
      </w:pPr>
      <w:r>
        <w:t>62</w:t>
      </w:r>
      <w:r w:rsidR="00F97D90" w:rsidRPr="00352C70">
        <w:t>.</w:t>
      </w:r>
      <w:r w:rsidR="00F97D90" w:rsidRPr="00352C70">
        <w:tab/>
        <w:t xml:space="preserve">opfordrer Kommissionen til yderligere at forbedre sin kommunikation om finansieringsmuligheder for at fremme LGBTIQ+-ligestilling, navnlig i de medlemsstater, hvor ligestillingen har oplevet tilbageslag; </w:t>
      </w:r>
    </w:p>
    <w:p w:rsidR="00F97D90" w:rsidRPr="00352C70" w:rsidRDefault="00375FC1" w:rsidP="00F97D90">
      <w:pPr>
        <w:pStyle w:val="NormalHanging12a"/>
      </w:pPr>
      <w:r>
        <w:t>63</w:t>
      </w:r>
      <w:r w:rsidR="00F97D90" w:rsidRPr="00352C70">
        <w:t>.</w:t>
      </w:r>
      <w:r w:rsidR="00F97D90" w:rsidRPr="00352C70">
        <w:tab/>
        <w:t>opfordrer Kommissionen til at sikre, at medlemsstaterne forvalter EU-midler i overensstemmelse med chartret, herunder retten til ikkeforskelsbehandling, som krævet af en horisontal "grundforudsætning" i forordningen om fælles bestemmelser</w:t>
      </w:r>
      <w:r w:rsidR="00F97D90" w:rsidRPr="00352C70">
        <w:rPr>
          <w:rStyle w:val="FootnoteReference"/>
        </w:rPr>
        <w:footnoteReference w:id="12"/>
      </w:r>
      <w:r w:rsidR="00F97D90" w:rsidRPr="00352C70">
        <w:t>; understreger, at Kommissionen ikke kan godtgøre udgifter, før de gældende grundforudsætninger er opfyldt;</w:t>
      </w:r>
    </w:p>
    <w:p w:rsidR="00F97D90" w:rsidRPr="00352C70" w:rsidRDefault="00375FC1" w:rsidP="00F97D90">
      <w:pPr>
        <w:pStyle w:val="NormalHanging12a"/>
      </w:pPr>
      <w:r>
        <w:t>64</w:t>
      </w:r>
      <w:r w:rsidR="00F97D90" w:rsidRPr="00352C70">
        <w:t>.</w:t>
      </w:r>
      <w:r w:rsidR="00F97D90" w:rsidRPr="00352C70">
        <w:tab/>
        <w:t>opfordrer EU til at fortsætte med at tackle stigmatisering og chikane af LGBTIQ+-menneskerettighedsforkæmpere og beskytte menneskerettighedsforkæmpere i tredjelande; opfordrer indtrængende EU til at udvide en sådan mekanisme til at omfatte menneskerettighedsforkæmpere i EU, så LGBTIQ+-menneskerettighedsforkæmpere beskyttes i medlemsstaterne;</w:t>
      </w:r>
    </w:p>
    <w:p w:rsidR="00F97D90" w:rsidRPr="00352C70" w:rsidRDefault="00375FC1" w:rsidP="00F97D90">
      <w:pPr>
        <w:pStyle w:val="NormalHanging12a"/>
      </w:pPr>
      <w:r>
        <w:t>65</w:t>
      </w:r>
      <w:r w:rsidR="00F97D90" w:rsidRPr="00352C70">
        <w:t>.</w:t>
      </w:r>
      <w:r w:rsidR="00F97D90" w:rsidRPr="00352C70">
        <w:tab/>
        <w:t>opfordrer indtrængende EU til at udvide en sådan beskyttelse til at omfatte menneskerettighedsforkæmpere i EU's medlemsstater;</w:t>
      </w:r>
    </w:p>
    <w:p w:rsidR="00F97D90" w:rsidRPr="00352C70" w:rsidRDefault="00375FC1" w:rsidP="00F97D90">
      <w:pPr>
        <w:pStyle w:val="NormalHanging12a"/>
      </w:pPr>
      <w:r>
        <w:t>66</w:t>
      </w:r>
      <w:r w:rsidR="00F97D90" w:rsidRPr="00352C70">
        <w:t>.</w:t>
      </w:r>
      <w:r w:rsidR="00F97D90" w:rsidRPr="00352C70">
        <w:tab/>
        <w:t>opfordrer Kommissionen til at intensivere dataindsamlingen om forskelsbehandling baseret på SOGIESC og til at bruge sådanne data til at udarbejde inkluderende offentlige politikker, der er rettet mod LGBTIQ+-personer, og til at støtte medlemsstaternes brug af disse data;</w:t>
      </w:r>
    </w:p>
    <w:p w:rsidR="00F97D90" w:rsidRPr="00352C70" w:rsidRDefault="00375FC1" w:rsidP="00F97D90">
      <w:pPr>
        <w:pStyle w:val="NormalHanging12a"/>
      </w:pPr>
      <w:r>
        <w:t>67</w:t>
      </w:r>
      <w:r w:rsidR="00F97D90" w:rsidRPr="00352C70">
        <w:t>.</w:t>
      </w:r>
      <w:r w:rsidR="00F97D90" w:rsidRPr="00352C70">
        <w:tab/>
        <w:t>opfordrer alle medlemsstater til selv at vurdere deres fremskridt med hensyn til gennemførelsen af LGBTIQ-strategien og dele deres resultater med Kommissionen og Parlamentet;</w:t>
      </w:r>
    </w:p>
    <w:p w:rsidR="00F97D90" w:rsidRPr="00352C70" w:rsidRDefault="00375FC1" w:rsidP="00F97D90">
      <w:pPr>
        <w:pStyle w:val="NormalHanging12a"/>
      </w:pPr>
      <w:r>
        <w:t>68</w:t>
      </w:r>
      <w:r w:rsidR="00F97D90" w:rsidRPr="00352C70">
        <w:t>.</w:t>
      </w:r>
      <w:r w:rsidR="00F97D90" w:rsidRPr="00352C70">
        <w:tab/>
        <w:t xml:space="preserve">opfordrer alle medlemsstater til at vedtage nationale LGBTIQ+-handlingsplaner og </w:t>
      </w:r>
      <w:r w:rsidR="00F97D90" w:rsidRPr="00352C70">
        <w:noBreakHyphen/>
        <w:t>strategier frem til 2025;</w:t>
      </w:r>
    </w:p>
    <w:p w:rsidR="00F97D90" w:rsidRPr="00352C70" w:rsidRDefault="00375FC1" w:rsidP="00F97D90">
      <w:pPr>
        <w:pStyle w:val="NormalHanging12a"/>
      </w:pPr>
      <w:r>
        <w:lastRenderedPageBreak/>
        <w:t>69</w:t>
      </w:r>
      <w:r w:rsidR="00F97D90" w:rsidRPr="00352C70">
        <w:t>.</w:t>
      </w:r>
      <w:r w:rsidR="00F97D90" w:rsidRPr="00352C70">
        <w:tab/>
        <w:t>opfordrer Kommissionen til at udarbejde en ny LGBTIQ+-ligestillingsstrategi for 2025-2030 baseret på stærke forpligtelser, der afspejler chartret og de opfordringer og forventninger, som Parlamentet, civilsamfundsorganisationer og LGBTIQ+-personer i Europa og rundt om i verden har givet udtryk for; anmoder Kommissionen om at fremlægge en tidsplan for den næste LGBTIQ+-ligestillingsstrategi for 2025-2030 inden valget til Europa-Parlamentet i 2024;</w:t>
      </w:r>
    </w:p>
    <w:p w:rsidR="00F97D90" w:rsidRPr="00352C70" w:rsidRDefault="00375FC1" w:rsidP="00F97D90">
      <w:pPr>
        <w:pStyle w:val="NormalHanging12a"/>
      </w:pPr>
      <w:r>
        <w:t>70</w:t>
      </w:r>
      <w:r w:rsidR="00F97D90" w:rsidRPr="00352C70">
        <w:t>.</w:t>
      </w:r>
      <w:r w:rsidR="00F97D90" w:rsidRPr="00352C70">
        <w:tab/>
        <w:t xml:space="preserve">opfordrer Kommissionen til at sikre, at den næste LGBTIQ+-ligestillingsstrategi understøttes af et mere robust instrument og ledsages af en målrettet gennemførelsesplan, en stærk integrationsstruktur, der sikrer, at LGBTIQ+-rettigheder integreres i alle EU-politikker, herunder alle grunde til forskelsbehandling baseret på seksuel orientering, kønsidentitet, kønsudtryk og kønskarakteristika, samt ressourcetildeling, og at den omfatter en tidsplan og delmål, der sikrer overvågning, evaluering, ansvarlighed og læringsprocesser, herunder høring af LGBTIQ+-organisationer; opfordrer endvidere Kommissionen til at være særlig opmærksom på grupper i sårbare situationer såsom LGBTIQ+-børn og </w:t>
      </w:r>
      <w:r w:rsidR="00F97D90" w:rsidRPr="00352C70">
        <w:noBreakHyphen/>
        <w:t>unge;</w:t>
      </w:r>
    </w:p>
    <w:p w:rsidR="00F97D90" w:rsidRPr="00352C70" w:rsidRDefault="00375FC1" w:rsidP="00F97D90">
      <w:pPr>
        <w:pStyle w:val="NormalHanging12a"/>
      </w:pPr>
      <w:r>
        <w:t>71</w:t>
      </w:r>
      <w:r w:rsidR="00F97D90" w:rsidRPr="00352C70">
        <w:t>.</w:t>
      </w:r>
      <w:r w:rsidR="00F97D90" w:rsidRPr="00352C70">
        <w:tab/>
        <w:t>opfordrer Kommissionen til at oprette en portefølje for et kommissionsmedlem for ligestilling og mangfoldighed i den næste valgperiode;</w:t>
      </w:r>
    </w:p>
    <w:p w:rsidR="00F97D90" w:rsidRDefault="00375FC1" w:rsidP="00F97D90">
      <w:pPr>
        <w:pStyle w:val="NormalHanging12a"/>
      </w:pPr>
      <w:r>
        <w:t>72</w:t>
      </w:r>
      <w:r w:rsidR="00F97D90" w:rsidRPr="00352C70">
        <w:t>.</w:t>
      </w:r>
      <w:r w:rsidR="00F97D90" w:rsidRPr="00352C70">
        <w:tab/>
        <w:t>tilskynder til, at der udpeges en koordinator for LGBTIQ+-rettigheder i Kommissionen;</w:t>
      </w:r>
    </w:p>
    <w:p w:rsidR="002335E9" w:rsidRDefault="002335E9" w:rsidP="00F97D90">
      <w:pPr>
        <w:pStyle w:val="NormalHanging12a"/>
      </w:pPr>
    </w:p>
    <w:p w:rsidR="002335E9" w:rsidRDefault="002335E9" w:rsidP="002335E9">
      <w:pPr>
        <w:pStyle w:val="NormalHanging12a"/>
        <w:widowControl/>
        <w:ind w:left="0" w:firstLine="0"/>
        <w:jc w:val="center"/>
      </w:pPr>
      <w:r>
        <w:t>°</w:t>
      </w:r>
    </w:p>
    <w:p w:rsidR="002335E9" w:rsidRDefault="002335E9" w:rsidP="002335E9">
      <w:pPr>
        <w:pStyle w:val="NormalHanging12a"/>
        <w:widowControl/>
        <w:ind w:left="0" w:firstLine="0"/>
        <w:jc w:val="center"/>
      </w:pPr>
      <w:r>
        <w:t>°     °</w:t>
      </w:r>
    </w:p>
    <w:p w:rsidR="00E365E1" w:rsidRPr="00352C70" w:rsidRDefault="00375FC1" w:rsidP="00035689">
      <w:pPr>
        <w:pStyle w:val="NormalHanging12a"/>
        <w:ind w:left="560" w:hanging="560"/>
      </w:pPr>
      <w:r>
        <w:t>73</w:t>
      </w:r>
      <w:r w:rsidR="00F97D90" w:rsidRPr="00352C70">
        <w:t>.</w:t>
      </w:r>
      <w:r w:rsidR="00F97D90" w:rsidRPr="00352C70">
        <w:tab/>
        <w:t>pålægger sin formand at sende denne beslutning til Rådet, Kommissionen, medlemsstaternes og kandidatlandenes regeringer og parlamenter og deres regionale parlamenter og lokale myndigheder.</w:t>
      </w:r>
      <w:bookmarkStart w:id="7" w:name="TextBodyEnd"/>
      <w:bookmarkEnd w:id="7"/>
    </w:p>
    <w:sectPr w:rsidR="00E365E1" w:rsidRPr="00352C70" w:rsidSect="00352C7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C07" w:rsidRPr="00352C70" w:rsidRDefault="00FC7C07">
      <w:r w:rsidRPr="00352C70">
        <w:separator/>
      </w:r>
    </w:p>
  </w:endnote>
  <w:endnote w:type="continuationSeparator" w:id="0">
    <w:p w:rsidR="00FC7C07" w:rsidRPr="00352C70" w:rsidRDefault="00FC7C07">
      <w:r w:rsidRPr="00352C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C07" w:rsidRPr="00352C70" w:rsidRDefault="00FC7C07">
      <w:r w:rsidRPr="00352C70">
        <w:separator/>
      </w:r>
    </w:p>
  </w:footnote>
  <w:footnote w:type="continuationSeparator" w:id="0">
    <w:p w:rsidR="00FC7C07" w:rsidRPr="00352C70" w:rsidRDefault="00FC7C07">
      <w:r w:rsidRPr="00352C70">
        <w:continuationSeparator/>
      </w:r>
    </w:p>
  </w:footnote>
  <w:footnote w:id="1">
    <w:p w:rsidR="00F97D90" w:rsidRPr="00352C70" w:rsidRDefault="00F97D90" w:rsidP="00352C70">
      <w:pPr>
        <w:pStyle w:val="FootnoteText"/>
        <w:ind w:left="567" w:hanging="567"/>
        <w:rPr>
          <w:sz w:val="24"/>
          <w:lang w:val="da-DK"/>
        </w:rPr>
      </w:pPr>
      <w:r w:rsidRPr="00352C70">
        <w:rPr>
          <w:rStyle w:val="FootnoteReference"/>
          <w:sz w:val="24"/>
          <w:lang w:val="da-DK"/>
        </w:rPr>
        <w:footnoteRef/>
      </w:r>
      <w:r w:rsidR="00352C70" w:rsidRPr="00352C70">
        <w:rPr>
          <w:sz w:val="24"/>
          <w:lang w:val="da-DK"/>
        </w:rPr>
        <w:t xml:space="preserve"> </w:t>
      </w:r>
      <w:r w:rsidR="00352C70" w:rsidRPr="00352C70">
        <w:rPr>
          <w:sz w:val="24"/>
          <w:lang w:val="da-DK"/>
        </w:rPr>
        <w:tab/>
      </w:r>
      <w:r w:rsidRPr="00352C70">
        <w:rPr>
          <w:sz w:val="24"/>
          <w:lang w:val="da-DK"/>
        </w:rPr>
        <w:t>EUT C 117 af 11.3.2022, s. 2.</w:t>
      </w:r>
    </w:p>
  </w:footnote>
  <w:footnote w:id="2">
    <w:p w:rsidR="00F97D90" w:rsidRPr="00352C70" w:rsidRDefault="00F97D90" w:rsidP="00352C70">
      <w:pPr>
        <w:pStyle w:val="FootnoteText"/>
        <w:ind w:left="567" w:hanging="567"/>
        <w:rPr>
          <w:sz w:val="24"/>
          <w:lang w:val="da-DK"/>
        </w:rPr>
      </w:pPr>
      <w:r w:rsidRPr="00352C70">
        <w:rPr>
          <w:rStyle w:val="FootnoteReference"/>
          <w:sz w:val="24"/>
          <w:lang w:val="da-DK"/>
        </w:rPr>
        <w:footnoteRef/>
      </w:r>
      <w:r w:rsidR="00352C70" w:rsidRPr="00352C70">
        <w:rPr>
          <w:sz w:val="24"/>
          <w:lang w:val="da-DK"/>
        </w:rPr>
        <w:t xml:space="preserve"> </w:t>
      </w:r>
      <w:r w:rsidR="00352C70" w:rsidRPr="00352C70">
        <w:rPr>
          <w:sz w:val="24"/>
          <w:lang w:val="da-DK"/>
        </w:rPr>
        <w:tab/>
      </w:r>
      <w:r w:rsidRPr="00352C70">
        <w:rPr>
          <w:sz w:val="24"/>
          <w:lang w:val="da-DK"/>
        </w:rPr>
        <w:t>EUT C 474 af 24.11.2021, s. 140.</w:t>
      </w:r>
    </w:p>
  </w:footnote>
  <w:footnote w:id="3">
    <w:p w:rsidR="00F97D90" w:rsidRPr="00352C70" w:rsidRDefault="00F97D90" w:rsidP="00352C70">
      <w:pPr>
        <w:pStyle w:val="FootnoteText"/>
        <w:ind w:left="567" w:hanging="567"/>
        <w:rPr>
          <w:sz w:val="24"/>
          <w:lang w:val="da-DK"/>
        </w:rPr>
      </w:pPr>
      <w:r w:rsidRPr="00352C70">
        <w:rPr>
          <w:rStyle w:val="FootnoteReference"/>
          <w:sz w:val="24"/>
          <w:lang w:val="da-DK"/>
        </w:rPr>
        <w:footnoteRef/>
      </w:r>
      <w:r w:rsidR="00352C70" w:rsidRPr="00352C70">
        <w:rPr>
          <w:sz w:val="24"/>
          <w:lang w:val="da-DK"/>
        </w:rPr>
        <w:t xml:space="preserve"> </w:t>
      </w:r>
      <w:r w:rsidR="00352C70" w:rsidRPr="00352C70">
        <w:rPr>
          <w:sz w:val="24"/>
          <w:lang w:val="da-DK"/>
        </w:rPr>
        <w:tab/>
      </w:r>
      <w:r w:rsidRPr="00352C70">
        <w:rPr>
          <w:sz w:val="24"/>
          <w:lang w:val="da-DK"/>
        </w:rPr>
        <w:t>Vedtagne tekster, P9_</w:t>
      </w:r>
      <w:proofErr w:type="gramStart"/>
      <w:r w:rsidRPr="00352C70">
        <w:rPr>
          <w:sz w:val="24"/>
          <w:lang w:val="da-DK"/>
        </w:rPr>
        <w:t>TA(</w:t>
      </w:r>
      <w:proofErr w:type="gramEnd"/>
      <w:r w:rsidRPr="00352C70">
        <w:rPr>
          <w:sz w:val="24"/>
          <w:lang w:val="da-DK"/>
        </w:rPr>
        <w:t>2020)0225.</w:t>
      </w:r>
    </w:p>
  </w:footnote>
  <w:footnote w:id="4">
    <w:p w:rsidR="00F97D90" w:rsidRPr="00352C70" w:rsidRDefault="00F97D90" w:rsidP="00352C70">
      <w:pPr>
        <w:pStyle w:val="FootnoteText"/>
        <w:ind w:left="567" w:hanging="567"/>
        <w:rPr>
          <w:sz w:val="24"/>
          <w:lang w:val="da-DK"/>
        </w:rPr>
      </w:pPr>
      <w:r w:rsidRPr="00352C70">
        <w:rPr>
          <w:rStyle w:val="FootnoteReference"/>
          <w:sz w:val="24"/>
          <w:lang w:val="da-DK"/>
        </w:rPr>
        <w:footnoteRef/>
      </w:r>
      <w:r w:rsidR="00352C70" w:rsidRPr="00352C70">
        <w:rPr>
          <w:sz w:val="24"/>
          <w:lang w:val="da-DK"/>
        </w:rPr>
        <w:t xml:space="preserve"> </w:t>
      </w:r>
      <w:r w:rsidR="00352C70" w:rsidRPr="00352C70">
        <w:rPr>
          <w:sz w:val="24"/>
          <w:lang w:val="da-DK"/>
        </w:rPr>
        <w:tab/>
      </w:r>
      <w:r w:rsidRPr="00352C70">
        <w:rPr>
          <w:sz w:val="24"/>
          <w:lang w:val="da-DK"/>
        </w:rPr>
        <w:t>Vedtagne tekster, P9_</w:t>
      </w:r>
      <w:proofErr w:type="gramStart"/>
      <w:r w:rsidRPr="00352C70">
        <w:rPr>
          <w:sz w:val="24"/>
          <w:lang w:val="da-DK"/>
        </w:rPr>
        <w:t>TA(</w:t>
      </w:r>
      <w:proofErr w:type="gramEnd"/>
      <w:r w:rsidRPr="00352C70">
        <w:rPr>
          <w:sz w:val="24"/>
          <w:lang w:val="da-DK"/>
        </w:rPr>
        <w:t>2021)0362.</w:t>
      </w:r>
    </w:p>
  </w:footnote>
  <w:footnote w:id="5">
    <w:p w:rsidR="00F97D90" w:rsidRPr="00352C70" w:rsidRDefault="00F97D90" w:rsidP="00352C70">
      <w:pPr>
        <w:pStyle w:val="FootnoteText"/>
        <w:ind w:left="567" w:hanging="567"/>
        <w:rPr>
          <w:sz w:val="24"/>
          <w:lang w:val="da-DK"/>
        </w:rPr>
      </w:pPr>
      <w:r w:rsidRPr="00352C70">
        <w:rPr>
          <w:rStyle w:val="FootnoteReference"/>
          <w:sz w:val="24"/>
          <w:lang w:val="da-DK"/>
        </w:rPr>
        <w:footnoteRef/>
      </w:r>
      <w:r w:rsidR="00352C70" w:rsidRPr="00352C70">
        <w:rPr>
          <w:sz w:val="24"/>
          <w:lang w:val="da-DK"/>
        </w:rPr>
        <w:t xml:space="preserve"> </w:t>
      </w:r>
      <w:r w:rsidR="00352C70" w:rsidRPr="00352C70">
        <w:rPr>
          <w:sz w:val="24"/>
          <w:lang w:val="da-DK"/>
        </w:rPr>
        <w:tab/>
      </w:r>
      <w:r w:rsidRPr="00352C70">
        <w:rPr>
          <w:sz w:val="24"/>
          <w:lang w:val="da-DK"/>
        </w:rPr>
        <w:t>Vedtagne tekster, P9_</w:t>
      </w:r>
      <w:proofErr w:type="gramStart"/>
      <w:r w:rsidRPr="00352C70">
        <w:rPr>
          <w:sz w:val="24"/>
          <w:lang w:val="da-DK"/>
        </w:rPr>
        <w:t>TA(</w:t>
      </w:r>
      <w:proofErr w:type="gramEnd"/>
      <w:r w:rsidRPr="00352C70">
        <w:rPr>
          <w:sz w:val="24"/>
          <w:lang w:val="da-DK"/>
        </w:rPr>
        <w:t>2022)0372.</w:t>
      </w:r>
    </w:p>
  </w:footnote>
  <w:footnote w:id="6">
    <w:p w:rsidR="00F97D90" w:rsidRPr="00352C70" w:rsidRDefault="00F97D90" w:rsidP="00352C70">
      <w:pPr>
        <w:pStyle w:val="FootnoteText"/>
        <w:ind w:left="567" w:hanging="567"/>
        <w:rPr>
          <w:sz w:val="24"/>
          <w:lang w:val="da-DK"/>
        </w:rPr>
      </w:pPr>
      <w:r w:rsidRPr="00352C70">
        <w:rPr>
          <w:rStyle w:val="FootnoteReference"/>
          <w:sz w:val="24"/>
          <w:lang w:val="da-DK"/>
        </w:rPr>
        <w:footnoteRef/>
      </w:r>
      <w:r w:rsidR="00352C70" w:rsidRPr="00352C70">
        <w:rPr>
          <w:sz w:val="24"/>
          <w:lang w:val="da-DK"/>
        </w:rPr>
        <w:t xml:space="preserve"> </w:t>
      </w:r>
      <w:r w:rsidR="00352C70" w:rsidRPr="00352C70">
        <w:rPr>
          <w:sz w:val="24"/>
          <w:lang w:val="da-DK"/>
        </w:rPr>
        <w:tab/>
      </w:r>
      <w:r w:rsidRPr="00352C70">
        <w:rPr>
          <w:sz w:val="24"/>
          <w:lang w:val="da-DK"/>
        </w:rPr>
        <w:t>Vedtagne tekster, P9_</w:t>
      </w:r>
      <w:proofErr w:type="gramStart"/>
      <w:r w:rsidRPr="00352C70">
        <w:rPr>
          <w:sz w:val="24"/>
          <w:lang w:val="da-DK"/>
        </w:rPr>
        <w:t>TA(</w:t>
      </w:r>
      <w:proofErr w:type="gramEnd"/>
      <w:r w:rsidRPr="00352C70">
        <w:rPr>
          <w:sz w:val="24"/>
          <w:lang w:val="da-DK"/>
        </w:rPr>
        <w:t>2023)0120.</w:t>
      </w:r>
    </w:p>
  </w:footnote>
  <w:footnote w:id="7">
    <w:p w:rsidR="00F97D90" w:rsidRPr="00352C70" w:rsidRDefault="00F97D90" w:rsidP="00352C70">
      <w:pPr>
        <w:pStyle w:val="FootnoteText"/>
        <w:ind w:left="567" w:hanging="567"/>
        <w:rPr>
          <w:sz w:val="24"/>
          <w:lang w:val="da-DK"/>
        </w:rPr>
      </w:pPr>
      <w:r w:rsidRPr="00352C70">
        <w:rPr>
          <w:rStyle w:val="FootnoteReference"/>
          <w:sz w:val="24"/>
          <w:lang w:val="da-DK"/>
        </w:rPr>
        <w:footnoteRef/>
      </w:r>
      <w:r w:rsidR="00352C70" w:rsidRPr="00352C70">
        <w:rPr>
          <w:sz w:val="24"/>
          <w:lang w:val="da-DK"/>
        </w:rPr>
        <w:t xml:space="preserve"> </w:t>
      </w:r>
      <w:r w:rsidR="00352C70" w:rsidRPr="00352C70">
        <w:rPr>
          <w:sz w:val="24"/>
          <w:lang w:val="da-DK"/>
        </w:rPr>
        <w:tab/>
      </w:r>
      <w:r w:rsidRPr="00352C70">
        <w:rPr>
          <w:sz w:val="24"/>
          <w:lang w:val="da-DK"/>
        </w:rPr>
        <w:t xml:space="preserve">Studie – "The LGBTIQ+ </w:t>
      </w:r>
      <w:proofErr w:type="spellStart"/>
      <w:r w:rsidRPr="00352C70">
        <w:rPr>
          <w:sz w:val="24"/>
          <w:lang w:val="da-DK"/>
        </w:rPr>
        <w:t>Equality</w:t>
      </w:r>
      <w:proofErr w:type="spellEnd"/>
      <w:r w:rsidRPr="00352C70">
        <w:rPr>
          <w:sz w:val="24"/>
          <w:lang w:val="da-DK"/>
        </w:rPr>
        <w:t xml:space="preserve"> </w:t>
      </w:r>
      <w:proofErr w:type="spellStart"/>
      <w:r w:rsidRPr="00352C70">
        <w:rPr>
          <w:sz w:val="24"/>
          <w:lang w:val="da-DK"/>
        </w:rPr>
        <w:t>Strategy</w:t>
      </w:r>
      <w:proofErr w:type="spellEnd"/>
      <w:r w:rsidRPr="00352C70">
        <w:rPr>
          <w:sz w:val="24"/>
          <w:lang w:val="da-DK"/>
        </w:rPr>
        <w:t xml:space="preserve"> 2020-2025 – </w:t>
      </w:r>
      <w:proofErr w:type="spellStart"/>
      <w:r w:rsidRPr="00352C70">
        <w:rPr>
          <w:sz w:val="24"/>
          <w:lang w:val="da-DK"/>
        </w:rPr>
        <w:t>Implementation</w:t>
      </w:r>
      <w:proofErr w:type="spellEnd"/>
      <w:r w:rsidRPr="00352C70">
        <w:rPr>
          <w:sz w:val="24"/>
          <w:lang w:val="da-DK"/>
        </w:rPr>
        <w:t xml:space="preserve"> </w:t>
      </w:r>
      <w:proofErr w:type="spellStart"/>
      <w:r w:rsidRPr="00352C70">
        <w:rPr>
          <w:sz w:val="24"/>
          <w:lang w:val="da-DK"/>
        </w:rPr>
        <w:t>overview</w:t>
      </w:r>
      <w:proofErr w:type="spellEnd"/>
      <w:r w:rsidRPr="00352C70">
        <w:rPr>
          <w:sz w:val="24"/>
          <w:lang w:val="da-DK"/>
        </w:rPr>
        <w:t>", Europa-Parlamentet, Generaldirektoratet for Parlamentarisk Forskning, 2023.</w:t>
      </w:r>
    </w:p>
  </w:footnote>
  <w:footnote w:id="8">
    <w:p w:rsidR="008254A3" w:rsidRPr="00055DB4" w:rsidRDefault="008254A3" w:rsidP="00055DB4">
      <w:pPr>
        <w:pStyle w:val="FootnoteText"/>
        <w:ind w:left="567" w:hanging="567"/>
        <w:rPr>
          <w:sz w:val="24"/>
          <w:szCs w:val="24"/>
          <w:lang w:val="fi-FI"/>
        </w:rPr>
      </w:pPr>
      <w:r w:rsidRPr="00055DB4">
        <w:rPr>
          <w:rStyle w:val="FootnoteReference"/>
          <w:sz w:val="24"/>
          <w:szCs w:val="24"/>
        </w:rPr>
        <w:footnoteRef/>
      </w:r>
      <w:r w:rsidRPr="00055DB4">
        <w:rPr>
          <w:sz w:val="24"/>
          <w:szCs w:val="24"/>
          <w:lang w:val="fi-FI"/>
        </w:rPr>
        <w:t xml:space="preserve"> </w:t>
      </w:r>
      <w:r w:rsidRPr="00055DB4">
        <w:rPr>
          <w:sz w:val="24"/>
          <w:szCs w:val="24"/>
          <w:lang w:val="fi-FI"/>
        </w:rPr>
        <w:tab/>
      </w:r>
      <w:r w:rsidRPr="00055DB4">
        <w:rPr>
          <w:rStyle w:val="Emphasis"/>
          <w:i w:val="0"/>
          <w:sz w:val="24"/>
          <w:szCs w:val="24"/>
          <w:shd w:val="clear" w:color="auto" w:fill="FFFFFF"/>
          <w:lang w:val="fi-FI"/>
        </w:rPr>
        <w:t>EUT L, 2024/442, 5.2.2024, ELI: http://data.europa.eu/eli/dec_impl/2024/442/oj.</w:t>
      </w:r>
    </w:p>
  </w:footnote>
  <w:footnote w:id="9">
    <w:p w:rsidR="00F97D90" w:rsidRPr="00352C70" w:rsidRDefault="00F97D90" w:rsidP="00352C70">
      <w:pPr>
        <w:pStyle w:val="FootnoteText"/>
        <w:ind w:left="567" w:hanging="567"/>
        <w:rPr>
          <w:sz w:val="24"/>
          <w:lang w:val="da-DK"/>
        </w:rPr>
      </w:pPr>
      <w:r w:rsidRPr="00352C70">
        <w:rPr>
          <w:rStyle w:val="FootnoteReference"/>
          <w:sz w:val="24"/>
          <w:lang w:val="da-DK"/>
        </w:rPr>
        <w:footnoteRef/>
      </w:r>
      <w:r w:rsidR="00352C70" w:rsidRPr="00352C70">
        <w:rPr>
          <w:sz w:val="24"/>
          <w:lang w:val="da-DK"/>
        </w:rPr>
        <w:t xml:space="preserve"> </w:t>
      </w:r>
      <w:r w:rsidR="00352C70" w:rsidRPr="00352C70">
        <w:rPr>
          <w:sz w:val="24"/>
          <w:lang w:val="da-DK"/>
        </w:rPr>
        <w:tab/>
      </w:r>
      <w:r w:rsidRPr="00352C70">
        <w:rPr>
          <w:sz w:val="24"/>
          <w:lang w:val="da-DK"/>
        </w:rPr>
        <w:t>Kommissionens forslag af 7. december 2022 til Europa-Parlamentets og Rådets direktiv om standarder for ligestillingsorganer på området ligebehandling af og lige muligheder for kvinder og mænd i forbindelse med beskæftigelse og erhverv og om ophævelse af artikel 20 i direktiv 2006/54/EF og artikel 11 i direktiv 2010/41/EU (</w:t>
      </w:r>
      <w:proofErr w:type="gramStart"/>
      <w:r w:rsidRPr="00352C70">
        <w:rPr>
          <w:sz w:val="24"/>
          <w:lang w:val="da-DK"/>
        </w:rPr>
        <w:t>COM(</w:t>
      </w:r>
      <w:proofErr w:type="gramEnd"/>
      <w:r w:rsidRPr="00352C70">
        <w:rPr>
          <w:sz w:val="24"/>
          <w:lang w:val="da-DK"/>
        </w:rPr>
        <w:t>2022)0688).</w:t>
      </w:r>
    </w:p>
  </w:footnote>
  <w:footnote w:id="10">
    <w:p w:rsidR="00F97D90" w:rsidRPr="00352C70" w:rsidRDefault="00F97D90" w:rsidP="00352C70">
      <w:pPr>
        <w:pStyle w:val="FootnoteText"/>
        <w:ind w:left="567" w:hanging="567"/>
        <w:rPr>
          <w:sz w:val="24"/>
          <w:lang w:val="da-DK"/>
        </w:rPr>
      </w:pPr>
      <w:r w:rsidRPr="00352C70">
        <w:rPr>
          <w:rStyle w:val="FootnoteReference"/>
          <w:sz w:val="24"/>
          <w:lang w:val="da-DK"/>
        </w:rPr>
        <w:footnoteRef/>
      </w:r>
      <w:r w:rsidR="00352C70" w:rsidRPr="00352C70">
        <w:rPr>
          <w:sz w:val="24"/>
          <w:lang w:val="da-DK"/>
        </w:rPr>
        <w:t xml:space="preserve"> </w:t>
      </w:r>
      <w:r w:rsidR="00352C70" w:rsidRPr="00352C70">
        <w:rPr>
          <w:sz w:val="24"/>
          <w:lang w:val="da-DK"/>
        </w:rPr>
        <w:tab/>
      </w:r>
      <w:r w:rsidRPr="00352C70">
        <w:rPr>
          <w:sz w:val="24"/>
          <w:lang w:val="da-DK"/>
        </w:rPr>
        <w:t>Rådets direktiv 2000/78/EF af 27. november 2000 om generelle rammebestemmelser om ligebehandling med hensyn til beskæftigelse og erhverv (EFT L 303 af 2.12.2000, s. 16).</w:t>
      </w:r>
    </w:p>
  </w:footnote>
  <w:footnote w:id="11">
    <w:p w:rsidR="00DF3D46" w:rsidRPr="00055DB4" w:rsidRDefault="00DF3D46" w:rsidP="00055DB4">
      <w:pPr>
        <w:pStyle w:val="FootnoteText"/>
        <w:ind w:left="567" w:hanging="566"/>
        <w:rPr>
          <w:sz w:val="24"/>
          <w:szCs w:val="24"/>
          <w:lang w:val="da-DK"/>
        </w:rPr>
      </w:pPr>
      <w:r w:rsidRPr="00055DB4">
        <w:rPr>
          <w:rStyle w:val="FootnoteReference"/>
          <w:sz w:val="24"/>
          <w:szCs w:val="24"/>
        </w:rPr>
        <w:footnoteRef/>
      </w:r>
      <w:r w:rsidRPr="00055DB4">
        <w:rPr>
          <w:sz w:val="24"/>
          <w:szCs w:val="24"/>
          <w:lang w:val="da-DK"/>
        </w:rPr>
        <w:t xml:space="preserve"> </w:t>
      </w:r>
      <w:r w:rsidRPr="00055DB4">
        <w:rPr>
          <w:sz w:val="24"/>
          <w:szCs w:val="24"/>
          <w:lang w:val="da-DK"/>
        </w:rPr>
        <w:tab/>
        <w:t>Europa-Parlamentets og Rådets forordning (EU) 2019/788 af 17. april 2019 om det europæiske borgerinitiativ (EUT L 130 af 17.5.2019, s. 55).</w:t>
      </w:r>
    </w:p>
  </w:footnote>
  <w:footnote w:id="12">
    <w:p w:rsidR="00F97D90" w:rsidRPr="00352C70" w:rsidRDefault="00F97D90" w:rsidP="00352C70">
      <w:pPr>
        <w:pStyle w:val="FootnoteText"/>
        <w:ind w:left="567" w:hanging="567"/>
        <w:rPr>
          <w:sz w:val="24"/>
          <w:lang w:val="da-DK"/>
        </w:rPr>
      </w:pPr>
      <w:r w:rsidRPr="00352C70">
        <w:rPr>
          <w:rStyle w:val="FootnoteReference"/>
          <w:sz w:val="24"/>
          <w:lang w:val="da-DK"/>
        </w:rPr>
        <w:footnoteRef/>
      </w:r>
      <w:r w:rsidR="00352C70" w:rsidRPr="00352C70">
        <w:rPr>
          <w:sz w:val="24"/>
          <w:lang w:val="da-DK"/>
        </w:rPr>
        <w:t xml:space="preserve"> </w:t>
      </w:r>
      <w:r w:rsidR="00352C70" w:rsidRPr="00352C70">
        <w:rPr>
          <w:sz w:val="24"/>
          <w:lang w:val="da-DK"/>
        </w:rPr>
        <w:tab/>
      </w:r>
      <w:r w:rsidRPr="00352C70">
        <w:rPr>
          <w:sz w:val="24"/>
          <w:lang w:val="da-DK"/>
        </w:rPr>
        <w:t xml:space="preserve">Europa-Parlamentets og Rådets forordning (EU) 2021/1060 af 24. juni 2021 om </w:t>
      </w:r>
      <w:proofErr w:type="spellStart"/>
      <w:r w:rsidRPr="00352C70">
        <w:rPr>
          <w:sz w:val="24"/>
          <w:lang w:val="da-DK"/>
        </w:rPr>
        <w:t>om</w:t>
      </w:r>
      <w:proofErr w:type="spellEnd"/>
      <w:r w:rsidRPr="00352C70">
        <w:rPr>
          <w:sz w:val="24"/>
          <w:lang w:val="da-DK"/>
        </w:rPr>
        <w:t xml:space="preserve">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 (EUT L 231 af 30.6.2021, s. 159).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0/2024"/>
    <w:docVar w:name="dvlangue" w:val="DA"/>
    <w:docVar w:name="dvnumam" w:val="0"/>
    <w:docVar w:name="dvpe" w:val="756.097"/>
    <w:docVar w:name="dvtitre" w:val="Europa-Parlamentets beslutning af xx.xx 2024 om gennemførelsen af EU's strategi for ligestilling af LBGTIQ-personer 2020-2025(2023/2082(INI))"/>
  </w:docVars>
  <w:rsids>
    <w:rsidRoot w:val="00FC7C07"/>
    <w:rsid w:val="00002272"/>
    <w:rsid w:val="00035689"/>
    <w:rsid w:val="00055DB4"/>
    <w:rsid w:val="00064002"/>
    <w:rsid w:val="000677B9"/>
    <w:rsid w:val="000831BA"/>
    <w:rsid w:val="000A162C"/>
    <w:rsid w:val="000A42CC"/>
    <w:rsid w:val="000E7DD9"/>
    <w:rsid w:val="0010095E"/>
    <w:rsid w:val="00125B37"/>
    <w:rsid w:val="00141F93"/>
    <w:rsid w:val="00187494"/>
    <w:rsid w:val="001F32AE"/>
    <w:rsid w:val="002335E9"/>
    <w:rsid w:val="00273B5D"/>
    <w:rsid w:val="002767FF"/>
    <w:rsid w:val="002B18FE"/>
    <w:rsid w:val="002B5493"/>
    <w:rsid w:val="00343214"/>
    <w:rsid w:val="00352C70"/>
    <w:rsid w:val="00361C00"/>
    <w:rsid w:val="0037323A"/>
    <w:rsid w:val="00375FC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54A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3D46"/>
    <w:rsid w:val="00E365E1"/>
    <w:rsid w:val="00E70538"/>
    <w:rsid w:val="00E820A4"/>
    <w:rsid w:val="00EB006A"/>
    <w:rsid w:val="00EB4772"/>
    <w:rsid w:val="00ED169E"/>
    <w:rsid w:val="00ED4235"/>
    <w:rsid w:val="00F04346"/>
    <w:rsid w:val="00F075DC"/>
    <w:rsid w:val="00F149E9"/>
    <w:rsid w:val="00F5134D"/>
    <w:rsid w:val="00F74202"/>
    <w:rsid w:val="00F87713"/>
    <w:rsid w:val="00F97D90"/>
    <w:rsid w:val="00FB4360"/>
    <w:rsid w:val="00FC7C07"/>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40BFCD"/>
  <w15:chartTrackingRefBased/>
  <w15:docId w15:val="{A5E0956F-771A-453C-B892-A89756225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97D90"/>
    <w:pPr>
      <w:spacing w:after="240"/>
      <w:ind w:left="567" w:hanging="567"/>
    </w:pPr>
  </w:style>
  <w:style w:type="paragraph" w:customStyle="1" w:styleId="EPComma">
    <w:name w:val="EPComma"/>
    <w:basedOn w:val="Normal"/>
    <w:rsid w:val="00F97D90"/>
    <w:pPr>
      <w:spacing w:before="480" w:after="240"/>
    </w:pPr>
  </w:style>
  <w:style w:type="paragraph" w:styleId="BalloonText">
    <w:name w:val="Balloon Text"/>
    <w:basedOn w:val="Normal"/>
    <w:link w:val="BalloonTextChar"/>
    <w:rsid w:val="002335E9"/>
    <w:rPr>
      <w:rFonts w:ascii="Segoe UI" w:hAnsi="Segoe UI" w:cs="Segoe UI"/>
      <w:sz w:val="18"/>
      <w:szCs w:val="18"/>
    </w:rPr>
  </w:style>
  <w:style w:type="character" w:customStyle="1" w:styleId="BalloonTextChar">
    <w:name w:val="Balloon Text Char"/>
    <w:basedOn w:val="DefaultParagraphFont"/>
    <w:link w:val="BalloonText"/>
    <w:rsid w:val="002335E9"/>
    <w:rPr>
      <w:rFonts w:ascii="Segoe UI" w:hAnsi="Segoe UI" w:cs="Segoe UI"/>
      <w:sz w:val="18"/>
      <w:szCs w:val="18"/>
      <w:lang w:val="da-DK"/>
    </w:rPr>
  </w:style>
  <w:style w:type="character" w:styleId="Emphasis">
    <w:name w:val="Emphasis"/>
    <w:basedOn w:val="DefaultParagraphFont"/>
    <w:uiPriority w:val="20"/>
    <w:qFormat/>
    <w:rsid w:val="008254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565D9-975F-493A-81CC-0EF3739AF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4242</Words>
  <Characters>27802</Characters>
  <Application>Microsoft Office Word</Application>
  <DocSecurity>4</DocSecurity>
  <Lines>231</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Lukas Lemcke</cp:lastModifiedBy>
  <cp:revision>2</cp:revision>
  <cp:lastPrinted>2004-11-19T15:42:00Z</cp:lastPrinted>
  <dcterms:created xsi:type="dcterms:W3CDTF">2024-06-14T09:02:00Z</dcterms:created>
  <dcterms:modified xsi:type="dcterms:W3CDTF">2024-06-14T09:02:00Z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A9-0030/2024</vt:lpwstr>
  </property>
  <property fmtid="{D5CDD505-2E9C-101B-9397-08002B2CF9AE}" pid="4" name="&lt;Type&gt;">
    <vt:lpwstr>RR</vt:lpwstr>
  </property>
</Properties>
</file>