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62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62B5" w:rsidRDefault="00FD260B" w:rsidP="0010095E">
            <w:pPr>
              <w:pStyle w:val="EPName"/>
            </w:pPr>
            <w:r w:rsidRPr="00B462B5">
              <w:t>Parlament Europejski</w:t>
            </w:r>
          </w:p>
          <w:p w:rsidR="00751A4A" w:rsidRPr="00B462B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62B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462B5" w:rsidRDefault="00187494" w:rsidP="0010095E">
            <w:pPr>
              <w:pStyle w:val="EPLogo"/>
            </w:pPr>
            <w:r w:rsidRPr="00B462B5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62B5" w:rsidRDefault="00D058B8" w:rsidP="004C5D52">
      <w:pPr>
        <w:pStyle w:val="LineTop"/>
      </w:pPr>
    </w:p>
    <w:p w:rsidR="00680577" w:rsidRPr="00B462B5" w:rsidRDefault="00FD260B" w:rsidP="00680577">
      <w:pPr>
        <w:pStyle w:val="EPBodyTA1"/>
      </w:pPr>
      <w:r w:rsidRPr="00B462B5">
        <w:t>TEKSTY PRZYJĘTE</w:t>
      </w:r>
    </w:p>
    <w:p w:rsidR="00D058B8" w:rsidRPr="00B462B5" w:rsidRDefault="00D058B8" w:rsidP="00D058B8">
      <w:pPr>
        <w:pStyle w:val="LineBottom"/>
      </w:pPr>
    </w:p>
    <w:p w:rsidR="00FD260B" w:rsidRPr="00B462B5" w:rsidRDefault="00FD260B" w:rsidP="00FD260B">
      <w:pPr>
        <w:pStyle w:val="ATHeading1"/>
      </w:pPr>
      <w:bookmarkStart w:id="0" w:name="TANumber"/>
      <w:r w:rsidRPr="00B462B5">
        <w:t>P9_TA(2024)00</w:t>
      </w:r>
      <w:bookmarkEnd w:id="0"/>
      <w:r w:rsidR="00845910">
        <w:t>76</w:t>
      </w:r>
    </w:p>
    <w:p w:rsidR="00FD260B" w:rsidRPr="00B462B5" w:rsidRDefault="00FD260B" w:rsidP="00FD260B">
      <w:pPr>
        <w:pStyle w:val="ATHeading2"/>
      </w:pPr>
      <w:bookmarkStart w:id="1" w:name="title"/>
      <w:r w:rsidRPr="00B462B5">
        <w:t>Sprawozdanie z realizacji unijnej strategii na rzecz równości osób LGBTIQ na lata 2020–2025</w:t>
      </w:r>
      <w:bookmarkEnd w:id="1"/>
    </w:p>
    <w:p w:rsidR="00FD260B" w:rsidRPr="00B462B5" w:rsidRDefault="00FD260B" w:rsidP="00FD260B">
      <w:pPr>
        <w:rPr>
          <w:i/>
          <w:vanish/>
        </w:rPr>
      </w:pPr>
      <w:r w:rsidRPr="00B462B5">
        <w:rPr>
          <w:i/>
        </w:rPr>
        <w:fldChar w:fldCharType="begin"/>
      </w:r>
      <w:r w:rsidRPr="00B462B5">
        <w:rPr>
          <w:i/>
        </w:rPr>
        <w:instrText xml:space="preserve"> TC"(</w:instrText>
      </w:r>
      <w:bookmarkStart w:id="2" w:name="DocNumber"/>
      <w:r w:rsidRPr="00B462B5">
        <w:rPr>
          <w:i/>
        </w:rPr>
        <w:instrText>A9-0030/2024</w:instrText>
      </w:r>
      <w:bookmarkEnd w:id="2"/>
      <w:r w:rsidRPr="00B462B5">
        <w:rPr>
          <w:i/>
        </w:rPr>
        <w:instrText xml:space="preserve"> - Sprawozdawca: José Gusmão)"\l3 \n&gt; \* MERGEFORMAT </w:instrText>
      </w:r>
      <w:r w:rsidRPr="00B462B5">
        <w:rPr>
          <w:i/>
        </w:rPr>
        <w:fldChar w:fldCharType="end"/>
      </w:r>
    </w:p>
    <w:p w:rsidR="00FD260B" w:rsidRPr="00B462B5" w:rsidRDefault="00FD260B" w:rsidP="00FD260B">
      <w:pPr>
        <w:rPr>
          <w:vanish/>
        </w:rPr>
      </w:pPr>
      <w:bookmarkStart w:id="3" w:name="Commission"/>
      <w:r w:rsidRPr="00B462B5">
        <w:rPr>
          <w:vanish/>
        </w:rPr>
        <w:t>Komisja Wolności Obywatelskich, Sprawiedliwości i Spraw Wewnętrznych</w:t>
      </w:r>
      <w:bookmarkEnd w:id="3"/>
    </w:p>
    <w:p w:rsidR="00FD260B" w:rsidRPr="00B462B5" w:rsidRDefault="00FD260B" w:rsidP="00FD260B">
      <w:pPr>
        <w:rPr>
          <w:vanish/>
        </w:rPr>
      </w:pPr>
      <w:bookmarkStart w:id="4" w:name="PE"/>
      <w:r w:rsidRPr="00B462B5">
        <w:rPr>
          <w:vanish/>
        </w:rPr>
        <w:t>PE756.097</w:t>
      </w:r>
      <w:bookmarkEnd w:id="4"/>
    </w:p>
    <w:p w:rsidR="00FD260B" w:rsidRPr="00B462B5" w:rsidRDefault="00FD260B" w:rsidP="00FD260B">
      <w:pPr>
        <w:pStyle w:val="ATHeading3"/>
      </w:pPr>
      <w:bookmarkStart w:id="5" w:name="Sujet"/>
      <w:r w:rsidRPr="00B462B5">
        <w:t xml:space="preserve">Rezolucja Parlamentu Europejskiego z dnia </w:t>
      </w:r>
      <w:r w:rsidR="00AD7A3D">
        <w:t>8 lutego</w:t>
      </w:r>
      <w:r w:rsidRPr="00B462B5">
        <w:t xml:space="preserve"> 2024 r. w sprawie realizacji unijnej strategii na rzecz równości osób LGBTIQ na lata 2020–2025</w:t>
      </w:r>
      <w:bookmarkEnd w:id="5"/>
      <w:r w:rsidRPr="00B462B5">
        <w:t xml:space="preserve"> </w:t>
      </w:r>
      <w:bookmarkStart w:id="6" w:name="References"/>
      <w:r w:rsidRPr="00B462B5">
        <w:t>(2023/2082(INI))</w:t>
      </w:r>
      <w:bookmarkEnd w:id="6"/>
    </w:p>
    <w:p w:rsidR="00A47510" w:rsidRPr="00B462B5" w:rsidRDefault="00A47510" w:rsidP="00A47510">
      <w:pPr>
        <w:pStyle w:val="EPComma"/>
      </w:pPr>
      <w:bookmarkStart w:id="7" w:name="TextBodyBegin"/>
      <w:bookmarkEnd w:id="7"/>
      <w:r w:rsidRPr="00B462B5">
        <w:rPr>
          <w:i/>
        </w:rPr>
        <w:t>Parlament Europejski</w:t>
      </w:r>
      <w:r w:rsidRPr="00B462B5">
        <w:t>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Kartę praw podstawowych Unii Europejskiej,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art. 2 Traktatu o Unii Europejskiej (TUE),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europejską konwencję praw człowieka (EKPC) i powiązane orzecznictwo Europejskiego Trybunału Praw Człowieka (ETPC),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orzecznictwo Trybunału Sprawiedliwości Unii Europejskiej (TSUE),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wyrok TSUE z 5 czerwca 2018 r. w sprawie C-673/16,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Powszechną deklarację praw człowieka,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Konwencję Rady Europy o zapobieganiu i zwalczaniu przemocy wobec kobiet i przemocy domowej (konwencja stambulska), którą to konwencję Unia Europejska ratyfikowała 28 czerwca 2023 r.,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Konwencję ONZ o prawach dziecka, Konwencję ONZ w sprawie eliminacji wszelkich form dyskryminacji kobiet, Konwencję ONZ w sprawie eliminacji dyskryminacji rasowej oraz Konwencję ONZ o prawach osób niepełnosprawnych,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zasady stosowania międzynarodowego prawa praw człowieka w stosunku do orientacji seksualnej oraz tożsamości płciowej (zasady z Yogyakarty),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komunikat Komisji z 12 listopada 2020 r. pt. „Unia równości: strategia na rzecz równouprawnienia płci na lata 2020–2025” (COM(2020)0698),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 xml:space="preserve">uwzględniając swoją rezolucję z 14 września 2021 r. w sprawie praw osób LGBTIQ w </w:t>
      </w:r>
      <w:r w:rsidRPr="00B462B5">
        <w:lastRenderedPageBreak/>
        <w:t>UE</w:t>
      </w:r>
      <w:r w:rsidRPr="00B462B5">
        <w:rPr>
          <w:rStyle w:val="FootnoteReference"/>
        </w:rPr>
        <w:footnoteReference w:id="1"/>
      </w:r>
      <w:r w:rsidRPr="00B462B5">
        <w:t>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sprawozdanie Komisji z wdrażania strategii na rzecz równości osób LGBTIQ na lata 2020–2025,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swoją rezolucję z 11 marca 2021 r. w sprawie ogłoszenia UE strefą wolności osób LGBTIQ</w:t>
      </w:r>
      <w:r w:rsidRPr="00B462B5">
        <w:rPr>
          <w:rStyle w:val="FootnoteReference"/>
        </w:rPr>
        <w:footnoteReference w:id="2"/>
      </w:r>
      <w:r w:rsidRPr="00B462B5">
        <w:t>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swoją rezolucję z 17 września 2020 r. w sprawie wniosku dotyczącego decyzji Rady w sprawie stwierdzenia wyraźnego ryzyka poważnego naruszenia przez Rzeczpospolitą Polską zasady praworządności</w:t>
      </w:r>
      <w:r w:rsidRPr="00B462B5">
        <w:rPr>
          <w:rStyle w:val="FootnoteReference"/>
        </w:rPr>
        <w:footnoteReference w:id="3"/>
      </w:r>
      <w:r w:rsidRPr="00B462B5">
        <w:t>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swoją rezolucję z 8 lipca 2021 r. w sprawie naruszeń prawa UE i praw obywateli LGBTIQ na Węgrzech w wyniku zmian prawnych wprowadzonych przez parlament węgierski</w:t>
      </w:r>
      <w:r w:rsidRPr="00B462B5">
        <w:rPr>
          <w:rStyle w:val="FootnoteReference"/>
        </w:rPr>
        <w:footnoteReference w:id="4"/>
      </w:r>
      <w:r w:rsidRPr="00B462B5">
        <w:t>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 xml:space="preserve">uwzględniając swoją rezolucję z 20 października 2022 r. w sprawie wzrostu liczby zbrodni popełnianych z nienawiści do osób LGBTIQ+ w całej Europie, w świetle niedawnego morderstwa </w:t>
      </w:r>
      <w:proofErr w:type="spellStart"/>
      <w:r w:rsidRPr="00B462B5">
        <w:t>homofobicznego</w:t>
      </w:r>
      <w:proofErr w:type="spellEnd"/>
      <w:r w:rsidRPr="00B462B5">
        <w:t xml:space="preserve"> na Słowacji</w:t>
      </w:r>
      <w:r w:rsidRPr="00B462B5">
        <w:rPr>
          <w:rStyle w:val="FootnoteReference"/>
        </w:rPr>
        <w:footnoteReference w:id="5"/>
      </w:r>
      <w:r w:rsidRPr="00B462B5">
        <w:t xml:space="preserve">, 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 xml:space="preserve">uwzględniając swoją rezolucję z </w:t>
      </w:r>
      <w:r w:rsidR="00A70A41">
        <w:t>20</w:t>
      </w:r>
      <w:bookmarkStart w:id="8" w:name="_GoBack"/>
      <w:bookmarkEnd w:id="8"/>
      <w:r w:rsidRPr="00B462B5">
        <w:t xml:space="preserve"> kwietnia 2023 r. w sprawie powszechnej dekryminalizacji homoseksualizmu w świetle ostatnich wydarzeń w Ugandzie</w:t>
      </w:r>
      <w:r w:rsidRPr="00B462B5">
        <w:rPr>
          <w:rStyle w:val="FootnoteReference"/>
        </w:rPr>
        <w:footnoteReference w:id="6"/>
      </w:r>
      <w:r w:rsidRPr="00B462B5">
        <w:t xml:space="preserve"> 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wniosek Komisji z 7 grudnia 2022 r. dotyczący rozporządzenia Rady w sprawie jurysdykcji, prawa właściwego, uznawania orzeczeń i przyjmowania dokumentów urzędowych dotyczących pochodzenia dziecka oraz w sprawie ustanowienia europejskiego poświadczenia pochodzenia dziecka (COM(2022)0695),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badanie Dyrekcji Generalnej ds. Analiz Parlamentarnych z grudnia 2023 r. dotyczące wdrażania strategii na rzecz równości osób LGBTIQ na lata 2020–2025</w:t>
      </w:r>
      <w:r w:rsidRPr="00B462B5">
        <w:rPr>
          <w:rStyle w:val="FootnoteReference"/>
        </w:rPr>
        <w:footnoteReference w:id="7"/>
      </w:r>
      <w:r w:rsidRPr="00B462B5">
        <w:t>,</w:t>
      </w:r>
    </w:p>
    <w:p w:rsidR="00A47510" w:rsidRDefault="00A47510" w:rsidP="00A47510">
      <w:pPr>
        <w:pStyle w:val="NormalHanging12a"/>
      </w:pPr>
      <w:r w:rsidRPr="00B462B5">
        <w:t>–</w:t>
      </w:r>
      <w:r w:rsidRPr="00B462B5">
        <w:tab/>
        <w:t>uwzględniając przygotowane w 2022 r. przez Komisję unijne wytyczne dotyczące strategii i planów działania, aby promować równość osób LGBTIQ,</w:t>
      </w:r>
    </w:p>
    <w:p w:rsidR="005F07E1" w:rsidRPr="00B462B5" w:rsidRDefault="005F07E1" w:rsidP="00A47510">
      <w:pPr>
        <w:pStyle w:val="NormalHanging12a"/>
      </w:pPr>
      <w:r w:rsidRPr="00B462B5">
        <w:t>–</w:t>
      </w:r>
      <w:r w:rsidRPr="00B462B5">
        <w:tab/>
      </w:r>
      <w:r w:rsidRPr="00DE211E">
        <w:t>uwzględniając decyzję wykonawczą Komisji (UE) 2024/442 z dnia 24 stycznia 2024 r. w sprawie wniosku o rejestrację europejskiej inicjatywy obywatelskiej „Zakaz praktyk konwersyjnych w Unii Europejskiej” zgodnie z rozporządzeniem Parlamentu Europejskiego i Rady (UE) 2019/788</w:t>
      </w:r>
      <w:r>
        <w:rPr>
          <w:rStyle w:val="FootnoteReference"/>
        </w:rPr>
        <w:footnoteReference w:id="8"/>
      </w:r>
      <w:r>
        <w:t>;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 xml:space="preserve">uwzględniając art. 54 Regulaminu oraz art. 1 ust. 1 lit. e) decyzji Konferencji Przewodniczących z dnia 12 grudnia 2002 r. dotyczącej procedury udzielania zgody na </w:t>
      </w:r>
      <w:r w:rsidRPr="00B462B5">
        <w:lastRenderedPageBreak/>
        <w:t>sporządzenie sprawozdań z własnej inicjatywy, a także załącznik 3 do tej decyzji,</w:t>
      </w:r>
    </w:p>
    <w:p w:rsidR="00A47510" w:rsidRPr="00B462B5" w:rsidRDefault="00A47510" w:rsidP="00A47510">
      <w:pPr>
        <w:pStyle w:val="NormalHanging12a"/>
      </w:pPr>
      <w:r w:rsidRPr="00B462B5">
        <w:t>–</w:t>
      </w:r>
      <w:r w:rsidRPr="00B462B5">
        <w:tab/>
        <w:t>uwzględniając sprawozdanie Komisji Wolności Obywatelskich, Sprawiedliwości i Spraw Wewnętrznych (A9-0030/2024),</w:t>
      </w:r>
    </w:p>
    <w:p w:rsidR="00A47510" w:rsidRPr="00B462B5" w:rsidRDefault="00A47510" w:rsidP="00A47510">
      <w:pPr>
        <w:pStyle w:val="NormalHanging12a"/>
      </w:pPr>
      <w:r w:rsidRPr="00B462B5">
        <w:t>A.</w:t>
      </w:r>
      <w:r w:rsidRPr="00B462B5">
        <w:tab/>
        <w:t>mając na uwadze, że prawa osób LGBTIQ+ są prawami podstawowymi i kluczowe znaczenie dla ich ochrony mają skuteczne mechanizmy kontroli i równowagi w odniesieniu do rządów prawa i demokracji w państwach członkowskich; mając na uwadze, że bezpieczeństwo i godność osób LGBTIQ+ to bezpieczeństwo i godność nas wszystkich;</w:t>
      </w:r>
    </w:p>
    <w:p w:rsidR="00A47510" w:rsidRPr="00B462B5" w:rsidRDefault="00A47510" w:rsidP="00A47510">
      <w:pPr>
        <w:pStyle w:val="NormalHanging12a"/>
      </w:pPr>
      <w:r w:rsidRPr="00B462B5">
        <w:t>B.</w:t>
      </w:r>
      <w:r w:rsidRPr="00B462B5">
        <w:tab/>
        <w:t>mając na uwadze, że prawo do równego traktowania i niedyskryminacji stanowi prawo podstawowe zapisane w traktatach UE i Karcie oraz że należy zapewnić jego pełne poszanowanie;</w:t>
      </w:r>
    </w:p>
    <w:p w:rsidR="00A47510" w:rsidRPr="00B462B5" w:rsidRDefault="00A47510" w:rsidP="00A47510">
      <w:pPr>
        <w:pStyle w:val="NormalHanging12a"/>
      </w:pPr>
      <w:r w:rsidRPr="00B462B5">
        <w:t>C.</w:t>
      </w:r>
      <w:r w:rsidRPr="00B462B5">
        <w:tab/>
        <w:t>mając na uwadze, że równość i ochrona mniejszości należą do wartości UE zapisanych w art. 2 TUE;</w:t>
      </w:r>
    </w:p>
    <w:p w:rsidR="00A47510" w:rsidRPr="00B462B5" w:rsidRDefault="00A47510" w:rsidP="00A47510">
      <w:pPr>
        <w:spacing w:after="240"/>
        <w:ind w:left="567" w:hanging="567"/>
      </w:pPr>
      <w:r w:rsidRPr="00B462B5">
        <w:t>D.</w:t>
      </w:r>
      <w:r w:rsidRPr="00B462B5">
        <w:tab/>
        <w:t>mając na uwadze, że jak stanowi art. 21 Traktatu o funkcjonowaniu Unii Europejskiej (TFUE), każdy obywatel Unii ma prawo do swobodnego przemieszczania się i przebywania na terytorium państw członkowskich;</w:t>
      </w:r>
    </w:p>
    <w:p w:rsidR="00A47510" w:rsidRPr="00B462B5" w:rsidRDefault="00A47510" w:rsidP="00A47510">
      <w:pPr>
        <w:pStyle w:val="NormalHanging12a"/>
      </w:pPr>
      <w:r w:rsidRPr="00B462B5">
        <w:t>E.</w:t>
      </w:r>
      <w:r w:rsidRPr="00B462B5">
        <w:tab/>
        <w:t>mając na uwadze, że na mocy prawa międzynarodowego i traktatów UE wszystkie państwa członkowskie podjęły zobowiązania i zadania związane z poszanowaniem, gwarantowaniem, ochroną oraz stosowaniem praw podstawowych;</w:t>
      </w:r>
    </w:p>
    <w:p w:rsidR="00A47510" w:rsidRPr="00B462B5" w:rsidRDefault="00A47510" w:rsidP="00A47510">
      <w:pPr>
        <w:pStyle w:val="NormalHanging12a"/>
      </w:pPr>
      <w:r w:rsidRPr="00B462B5">
        <w:t>F.</w:t>
      </w:r>
      <w:r w:rsidRPr="00B462B5">
        <w:tab/>
        <w:t>mając na uwadze, że w niektórych państwach członkowskich poczyniono postępy w ochronie i promowaniu praw osób LGBTIQ+;</w:t>
      </w:r>
    </w:p>
    <w:p w:rsidR="00A47510" w:rsidRPr="00B462B5" w:rsidRDefault="00A47510" w:rsidP="00A47510">
      <w:pPr>
        <w:pStyle w:val="NormalHanging12a"/>
      </w:pPr>
      <w:r w:rsidRPr="00B462B5">
        <w:t>G.</w:t>
      </w:r>
      <w:r w:rsidRPr="00B462B5">
        <w:tab/>
        <w:t>mając na uwadze, że w całej UE wciąż obecna jest dyskryminacja ze względu na faktyczną lub przypisywaną danej osobie orientację seksualną, tożsamość lub ekspresję płciową albo cechy płciowe (SOGIESC);</w:t>
      </w:r>
    </w:p>
    <w:p w:rsidR="00A47510" w:rsidRPr="00B462B5" w:rsidRDefault="00A47510" w:rsidP="00A47510">
      <w:pPr>
        <w:pStyle w:val="NormalHanging12a"/>
      </w:pPr>
      <w:r w:rsidRPr="00B462B5">
        <w:t>H.</w:t>
      </w:r>
      <w:r w:rsidRPr="00B462B5">
        <w:tab/>
        <w:t>mając na uwadze, że wydarzenia w niektórych państwach członkowskich pokazały, iż postępów w zakresie praw osób LGBTIQ+ nie można uznać za dane raz na zawsze;</w:t>
      </w:r>
    </w:p>
    <w:p w:rsidR="00A47510" w:rsidRPr="00B462B5" w:rsidRDefault="00A47510" w:rsidP="00A47510">
      <w:pPr>
        <w:pStyle w:val="NormalHanging12a"/>
      </w:pPr>
      <w:r w:rsidRPr="00B462B5">
        <w:t>I.</w:t>
      </w:r>
      <w:r w:rsidRPr="00B462B5">
        <w:tab/>
        <w:t>mając na uwadze, że w 2022 r. Komisja Europejska wraz z Parlamentem Europejskim i piętnastoma państwami członkowskimi wniosła do TSUE sprawę przeciwko Węgrom w związku z naruszeniami praw osób LGBTIQ;</w:t>
      </w:r>
    </w:p>
    <w:p w:rsidR="00A47510" w:rsidRPr="00B462B5" w:rsidRDefault="00A47510" w:rsidP="00A47510">
      <w:pPr>
        <w:pStyle w:val="NormalHanging12a"/>
      </w:pPr>
      <w:r w:rsidRPr="00B462B5">
        <w:t>J.</w:t>
      </w:r>
      <w:r w:rsidRPr="00B462B5">
        <w:tab/>
        <w:t xml:space="preserve">mając na uwadze, że Łotwa powinna dołączyć do podgrupy ds. równouprawnienia osób LGBTIQ utworzonej w ramach Grupy Wysokiego Szczebla ds. Niedyskryminacji, Równouprawnienia i Różnorodności – jako ostatnie państwo członkowskie po niedawnym wyrażeniu zainteresowania przez Cypr – aby usprawnić realizację strategii na rzecz osób LGBTIQ we wszystkich państwach członkowskich; </w:t>
      </w:r>
    </w:p>
    <w:p w:rsidR="00A47510" w:rsidRPr="00B462B5" w:rsidRDefault="00A47510" w:rsidP="00A47510">
      <w:pPr>
        <w:pStyle w:val="NormalHanging12a"/>
      </w:pPr>
      <w:r w:rsidRPr="00B462B5">
        <w:t>K.</w:t>
      </w:r>
      <w:r w:rsidRPr="00B462B5">
        <w:tab/>
        <w:t>mając na uwadze, że Parlament potępił, w najostrzejszy sposób, dyskryminujące przepisy, polityki i praktyki stosowane wobec osób LGBTIQ+, takie jak ugandyjska „ustawa przeciw homoseksualizmowi”;</w:t>
      </w:r>
    </w:p>
    <w:p w:rsidR="00A47510" w:rsidRPr="00B462B5" w:rsidRDefault="00A47510" w:rsidP="00A47510">
      <w:pPr>
        <w:pStyle w:val="NormalHanging12a"/>
      </w:pPr>
      <w:r w:rsidRPr="00B462B5">
        <w:t>L.</w:t>
      </w:r>
      <w:r w:rsidRPr="00B462B5">
        <w:tab/>
        <w:t xml:space="preserve">mając na uwadze, że 30 listopada 2023 r. Sąd Najwyższy Rosji zakazał działalności „międzynarodowego ruchu LGBT”, uznając go za organizację ekstremistyczną; mając </w:t>
      </w:r>
      <w:r w:rsidRPr="00B462B5">
        <w:lastRenderedPageBreak/>
        <w:t xml:space="preserve">na uwadze, że ta decyzja stanowi zdecydowany atak na osoby LGBTIQ+ i obrońców praw człowieka w Rosji i znacząco wpłynie na ich sytuację; mając na uwadze, że nasiliło się nękanie i dyskryminacja osób LGBTIQ+ w Chinach, m.in. w </w:t>
      </w:r>
      <w:proofErr w:type="spellStart"/>
      <w:r w:rsidRPr="00B462B5">
        <w:t>internecie</w:t>
      </w:r>
      <w:proofErr w:type="spellEnd"/>
      <w:r w:rsidRPr="00B462B5">
        <w:t>;</w:t>
      </w:r>
    </w:p>
    <w:p w:rsidR="00A47510" w:rsidRPr="00B462B5" w:rsidRDefault="00A47510" w:rsidP="00A47510">
      <w:pPr>
        <w:pStyle w:val="NormalHanging12a"/>
      </w:pPr>
      <w:r w:rsidRPr="00B462B5">
        <w:t>M.</w:t>
      </w:r>
      <w:r w:rsidRPr="00B462B5">
        <w:tab/>
        <w:t>mając na uwadze, że w rocznym przeglądzie Międzynarodowego Stowarzyszenia Lesbijek, Gejów, Osób Biseksualnych, Transseksualnych i Interseksualnych (ILGA) z 2023 r. udokumentowano najwyższą liczbę przypadków przemocy wobec osób LGBTIQ+ od 12 lat;</w:t>
      </w:r>
    </w:p>
    <w:p w:rsidR="00A47510" w:rsidRPr="00B462B5" w:rsidRDefault="00A47510" w:rsidP="00A47510">
      <w:pPr>
        <w:pStyle w:val="NormalHanging12a"/>
      </w:pPr>
      <w:r w:rsidRPr="00B462B5">
        <w:t>N.</w:t>
      </w:r>
      <w:r w:rsidRPr="00B462B5">
        <w:tab/>
        <w:t>mając na uwadze, że rozwój retoryki przeciwnej prawom osób LGBTIQ+, w tym jej wykorzystywanie przez polityków wybranych w wyborach, przyczynił się do powstania środowiska wrogiego wobec osób LGBTIQ+ i obrońców ich praw;</w:t>
      </w:r>
    </w:p>
    <w:p w:rsidR="00A47510" w:rsidRPr="00B462B5" w:rsidRDefault="00A47510" w:rsidP="00A47510">
      <w:pPr>
        <w:pStyle w:val="NormalHanging12a"/>
      </w:pPr>
      <w:r w:rsidRPr="00B462B5">
        <w:t>O.</w:t>
      </w:r>
      <w:r w:rsidRPr="00B462B5">
        <w:tab/>
        <w:t xml:space="preserve">mając na uwadze, że budowa bezpiecznych, wolnych i </w:t>
      </w:r>
      <w:proofErr w:type="spellStart"/>
      <w:r w:rsidRPr="00B462B5">
        <w:t>inkluzywnych</w:t>
      </w:r>
      <w:proofErr w:type="spellEnd"/>
      <w:r w:rsidRPr="00B462B5">
        <w:t xml:space="preserve"> społeczeństw dla osób LGBTIQ+ oznacza zajęcie się wielorakimi, </w:t>
      </w:r>
      <w:proofErr w:type="spellStart"/>
      <w:r w:rsidRPr="00B462B5">
        <w:t>intersekcjonalnymi</w:t>
      </w:r>
      <w:proofErr w:type="spellEnd"/>
      <w:r w:rsidRPr="00B462B5">
        <w:t xml:space="preserve"> przejawami dyskryminacji, wykluczenia i przemocy;</w:t>
      </w:r>
    </w:p>
    <w:p w:rsidR="00A47510" w:rsidRPr="00B462B5" w:rsidRDefault="00A47510" w:rsidP="00A47510">
      <w:pPr>
        <w:pStyle w:val="NormalHanging12a"/>
      </w:pPr>
      <w:r w:rsidRPr="00B462B5">
        <w:t>P.</w:t>
      </w:r>
      <w:r w:rsidRPr="00B462B5">
        <w:tab/>
        <w:t>mając na uwadze, że na całym świecie osoby LGBTIQ spotykają się z dyskryminacją i przemocą;</w:t>
      </w:r>
    </w:p>
    <w:p w:rsidR="00A47510" w:rsidRPr="00B462B5" w:rsidRDefault="00A47510" w:rsidP="00A47510">
      <w:pPr>
        <w:pStyle w:val="NormalHanging12a"/>
      </w:pPr>
      <w:r w:rsidRPr="00B462B5">
        <w:t>Q.</w:t>
      </w:r>
      <w:r w:rsidRPr="00B462B5">
        <w:tab/>
        <w:t>mając na uwadze, że Unia Europejska zobowiązała się promować i chronić prawa osób LGBTIQ+ na całym świecie;</w:t>
      </w:r>
    </w:p>
    <w:p w:rsidR="00A47510" w:rsidRPr="00B462B5" w:rsidRDefault="00A47510" w:rsidP="00A47510">
      <w:pPr>
        <w:pStyle w:val="NormalHanging12a"/>
      </w:pPr>
      <w:r w:rsidRPr="00B462B5">
        <w:t>R.</w:t>
      </w:r>
      <w:r w:rsidRPr="00B462B5">
        <w:tab/>
        <w:t>mając na uwadze, że wszelkie formy i przejawy nienawiści i nietolerancji, np. nawoływanie do nienawiści i przestępstw z nienawiści, są niezgodne z unijnymi wartościami ludzkiej godności, wolności, demokracji, równości, praworządności i poszanowania praw człowieka zapisanymi w art. 2 TUE;</w:t>
      </w:r>
    </w:p>
    <w:p w:rsidR="00A47510" w:rsidRDefault="00A47510" w:rsidP="00A47510">
      <w:pPr>
        <w:pStyle w:val="NormalHanging12a"/>
      </w:pPr>
      <w:r w:rsidRPr="00B462B5">
        <w:t>S.</w:t>
      </w:r>
      <w:r w:rsidRPr="00B462B5">
        <w:tab/>
        <w:t>mając na uwadze, że tzw. praktyki konwersyjne mogą opierać się na różnych metodach, takich jak elektrowstrząsy, przyjmowanie hormonów lub rytuały egzorcyzmów, które mogą stanowić tortury; mając na uwadze, że według szacunków 2 % osób LGBTIQ+ w UE faktycznie poddano praktykom konwersyjnym, a 5 % zaproponowano konwersję, chociaż rzeczywiste liczby mogą być znacznie wyższe;</w:t>
      </w:r>
    </w:p>
    <w:p w:rsidR="00DE211E" w:rsidRPr="00B462B5" w:rsidRDefault="00DE211E" w:rsidP="00A47510">
      <w:pPr>
        <w:pStyle w:val="NormalHanging12a"/>
      </w:pPr>
      <w:r>
        <w:t>T</w:t>
      </w:r>
      <w:r w:rsidRPr="00DE211E">
        <w:t>.</w:t>
      </w:r>
      <w:r w:rsidRPr="00DE211E">
        <w:tab/>
        <w:t>mając na uwadze, że 27 listopada 2023 r. Komisji zgłoszono europejską inicjatywę obywatelską „Zakaz praktyk konwersyjnych w Unii Europejskiej”; mając na uwadze, że wzywa ona UE, by podjęła działania zmierzające do zaproponowania prawnie wiążącego zakazu stosowania praktyk konwersyjnych wobec unijnych obywateli LGBTIQ+; mając na uwadze, że 21 stycznia 2024 r. Komisja w pełni zarejestrowała tę inicjatywę;</w:t>
      </w:r>
    </w:p>
    <w:p w:rsidR="00A47510" w:rsidRPr="00B462B5" w:rsidRDefault="00A47510" w:rsidP="00A47510">
      <w:pPr>
        <w:pStyle w:val="NormalHanging12a"/>
        <w:rPr>
          <w:b/>
          <w:i/>
        </w:rPr>
      </w:pPr>
      <w:r w:rsidRPr="00B462B5">
        <w:rPr>
          <w:b/>
          <w:i/>
        </w:rPr>
        <w:t>Główne wnioski</w:t>
      </w:r>
    </w:p>
    <w:p w:rsidR="00A47510" w:rsidRPr="00B462B5" w:rsidRDefault="00A47510" w:rsidP="00A47510">
      <w:pPr>
        <w:pStyle w:val="NormalHanging12a"/>
      </w:pPr>
      <w:r w:rsidRPr="00B462B5">
        <w:t>1.</w:t>
      </w:r>
      <w:r w:rsidRPr="00B462B5">
        <w:tab/>
        <w:t>pochwala strategię na rzecz równości osób LGBTIQ na lata 2020–2025, którą Komisja przyjęła 12 listopada 2020 r. (COM(2020)0698), oraz jej najnowsze sprawozdanie z postępów w realizacji tej strategii; odnotowuje zobowiązanie Komisji do wspierania państw członkowskich w realizacji strategii oraz wyraża głębokie zaniepokojenie różnicami w otwartości na strategię między państwami członkowskimi; z zadowoleniem przyjmuje starania Komisji Europejskiej na rzecz wspierania równości osób LGBTIQ+ we wszystkich dziedzinach uwzględnionych w strategii; ubolewa, że niektóre kluczowe działania pierwotnie przewidziane przez Komisję nie zostały dotychczas zrealizowane;</w:t>
      </w:r>
    </w:p>
    <w:p w:rsidR="00A47510" w:rsidRPr="00B462B5" w:rsidRDefault="00A47510" w:rsidP="00A47510">
      <w:pPr>
        <w:pStyle w:val="NormalHanging12a"/>
      </w:pPr>
      <w:r w:rsidRPr="00B462B5">
        <w:lastRenderedPageBreak/>
        <w:t>2.</w:t>
      </w:r>
      <w:r w:rsidRPr="00B462B5">
        <w:tab/>
        <w:t>docenia postępy we wdrażaniu strategii na rzecz równości osób LGBTIQ na lata 2020–2025, ale podkreśla, że faktyczna równość osób LGBTIQ+ w UE jest nadal daleka od rzeczywistości; wyraża zaniepokojenie z powodu dyskryminacji i przemocy wobec osób LGBTIQ+ w UE oraz wpływu tego rodzaju dyskryminacji i przemocy na możliwości korzystania w pełni z wolnego i godnego życia;</w:t>
      </w:r>
    </w:p>
    <w:p w:rsidR="00A47510" w:rsidRPr="00B462B5" w:rsidRDefault="00A47510" w:rsidP="00A47510">
      <w:pPr>
        <w:pStyle w:val="NormalHanging12a"/>
      </w:pPr>
      <w:r w:rsidRPr="00B462B5">
        <w:t>3.</w:t>
      </w:r>
      <w:r w:rsidRPr="00B462B5">
        <w:tab/>
        <w:t>potępia fakt, że horyzontalna dyrektywa antydyskryminacyjna jest blokowana w Radzie od 2008 r.; uważa, że wszelkie aktualizacje tego wniosku proponowane przez Komisję muszą opierać się na stanowisku Parlamentu, odnosić się do dyskryminacji krzyżowej oraz wyraźnie zakazywać dyskryminacji z dowolnej kombinacji przyczyn wymienionych w Karcie; ubolewa, że Rada zignorowała te propozycje, i apeluje, aby włączyła je do swojego mandatu oraz podjęła wszelkie odpowiednie działania, by zwalczać dyskryminację w UE;</w:t>
      </w:r>
    </w:p>
    <w:p w:rsidR="00A47510" w:rsidRPr="00B462B5" w:rsidRDefault="00A47510" w:rsidP="00A47510">
      <w:pPr>
        <w:pStyle w:val="NormalHanging12a"/>
      </w:pPr>
      <w:r w:rsidRPr="00B462B5">
        <w:t>4.</w:t>
      </w:r>
      <w:r w:rsidRPr="00B462B5">
        <w:tab/>
        <w:t>apeluje o włączenie wszystkich aspektów orientacji seksualnej, tożsamości płciowej, ekspresji płciowej i cech płciowych do prawodawstwa antydyskryminacyjnego UE w oparciu o szeroką interpretację podstaw orientacji seksualnej i płci oraz zasadę równości kobiet i mężczyzn określoną w Traktatach; zauważa, że zagwarantuje to pewność prawa i kompleksowość ochrony osób LGBTIQ+;</w:t>
      </w:r>
    </w:p>
    <w:p w:rsidR="00A47510" w:rsidRPr="00B462B5" w:rsidRDefault="00A47510" w:rsidP="00A47510">
      <w:pPr>
        <w:pStyle w:val="NormalHanging12a"/>
      </w:pPr>
      <w:r w:rsidRPr="00B462B5">
        <w:t>5.</w:t>
      </w:r>
      <w:r w:rsidRPr="00B462B5">
        <w:tab/>
        <w:t>podkreśla, że osoby LGBTIQ+ nieproporcjonalnie często dotyka bezdomność, ubóstwo i wykluczenie społeczno-gospodarcze; wyraża zaniepokojenie tym, jak skutki pandemii COVID-19, kryzys kosztów utrzymania, kryzys mieszkaniowy wpływają na życie osób LGBTIQ+; ponownie podkreśla, że mieszkanie jest prawem podstawowym;</w:t>
      </w:r>
    </w:p>
    <w:p w:rsidR="00A47510" w:rsidRPr="00B462B5" w:rsidRDefault="00A47510" w:rsidP="00A47510">
      <w:pPr>
        <w:pStyle w:val="NormalHanging12a"/>
      </w:pPr>
      <w:r w:rsidRPr="00B462B5">
        <w:t>6.</w:t>
      </w:r>
      <w:r w:rsidRPr="00B462B5">
        <w:tab/>
        <w:t>ubolewa, że mimo unijnego prawa zabraniającego dyskryminacji ze względu na orientację seksualną w zatrudnieniu i pracy osoby LGBTIQ+ nadal napotykają przeszkody w dostępie do pracy, zwłaszcza godnej; uważa, że prawa osób LGBTIQ+ są prawami pracowniczymi;</w:t>
      </w:r>
    </w:p>
    <w:p w:rsidR="00A47510" w:rsidRPr="00B462B5" w:rsidRDefault="00A47510" w:rsidP="00A47510">
      <w:pPr>
        <w:pStyle w:val="NormalHanging12a"/>
      </w:pPr>
      <w:r w:rsidRPr="00B462B5">
        <w:t>7.</w:t>
      </w:r>
      <w:r w:rsidRPr="00B462B5">
        <w:tab/>
      </w:r>
      <w:r w:rsidR="00DE211E" w:rsidRPr="00DE211E">
        <w:t>podkreśla, że dyskryminacja ze względu na faktyczną lub postrzeganą orientację seksualną, tożsamość płciową, ekspresję płciową i płeć nadal ma znaczący wpływ na zdrowie fizyczne, psychiczne i seksualne oraz dobrostan osób LGBTIQ+; ubolewa, że osoby LGBTIQ+ w dalszym ciągu spotykają się z dyskryminacją w dostępie do opieki zdrowotnej; podkreśla, że dostęp do opieki zdrowotnej powinien być oferowany jako powszechna i dostępna usługa publiczna świadczona na czas;</w:t>
      </w:r>
    </w:p>
    <w:p w:rsidR="00A47510" w:rsidRPr="00B462B5" w:rsidRDefault="00A47510" w:rsidP="00A47510">
      <w:pPr>
        <w:pStyle w:val="NormalHanging12a"/>
      </w:pPr>
      <w:r w:rsidRPr="00B462B5">
        <w:t>8.</w:t>
      </w:r>
      <w:r w:rsidRPr="00B462B5">
        <w:tab/>
        <w:t xml:space="preserve">podkreśla potrzebę </w:t>
      </w:r>
      <w:proofErr w:type="spellStart"/>
      <w:r w:rsidRPr="00B462B5">
        <w:t>inkluzywnej</w:t>
      </w:r>
      <w:proofErr w:type="spellEnd"/>
      <w:r w:rsidRPr="00B462B5">
        <w:t xml:space="preserve"> i bezpiecznej edukacji dla osób LGBTIQ+ we wszystkich państwach członkowskich, zwłaszcza dla młodzieży LGBTIQ+; </w:t>
      </w:r>
    </w:p>
    <w:p w:rsidR="00A47510" w:rsidRPr="00B462B5" w:rsidRDefault="00A47510" w:rsidP="00A47510">
      <w:pPr>
        <w:pStyle w:val="NormalHanging12a"/>
      </w:pPr>
      <w:r w:rsidRPr="00B462B5">
        <w:t>9.</w:t>
      </w:r>
      <w:r w:rsidRPr="00B462B5">
        <w:tab/>
        <w:t>ubolewa, że w niektórych państwach członkowskich osoby LGBTIQ+ w dalszym ciągu spotykają się z dyskryminacją w dostępie do ochrony socjalnej, zabezpieczenia społecznego, dostaw towarów oraz innych sektorów lub usług;</w:t>
      </w:r>
    </w:p>
    <w:p w:rsidR="00A47510" w:rsidRPr="00B462B5" w:rsidRDefault="00A47510" w:rsidP="00A47510">
      <w:pPr>
        <w:pStyle w:val="NormalHanging12a"/>
      </w:pPr>
      <w:r w:rsidRPr="00B462B5">
        <w:t>10.</w:t>
      </w:r>
      <w:r w:rsidRPr="00B462B5">
        <w:tab/>
        <w:t xml:space="preserve">ubolewa, że starsze osoby LGBTIQ+ są szczególnie dotknięte brakiem praw osób LGBTIQ+, co jeszcze bardziej pogłębia poczucie izolacji społecznej i zwiększa bariery w dostępie do kluczowych usług; podkreśla, że starsza populacja LGBTIQ+ jest często pomijana przy opracowywaniu polityki publicznej i projektów publicznych, w tym tych dostosowanych do osób LGBTIQ+; podkreśla, że starsza populacja LGBTIQ+ jest w nieproporcjonalnym stopniu dotknięta ubóstwem i brakiem dostępu do godnych warunków mieszkaniowych i odpowiednich sieci opieki; podkreśla, że europejska strefa </w:t>
      </w:r>
      <w:r w:rsidRPr="00B462B5">
        <w:lastRenderedPageBreak/>
        <w:t>wolności osób LGBTIQ nie może pozostawić w tyle nikogo;</w:t>
      </w:r>
    </w:p>
    <w:p w:rsidR="00A47510" w:rsidRPr="00B462B5" w:rsidRDefault="00A47510" w:rsidP="00A47510">
      <w:pPr>
        <w:pStyle w:val="NormalHanging12a"/>
      </w:pPr>
      <w:r w:rsidRPr="00B462B5">
        <w:t>11.</w:t>
      </w:r>
      <w:r w:rsidRPr="00B462B5">
        <w:tab/>
        <w:t>podkreśla, że usługi opieki dla osób LGBTIQ+ muszą zawsze zapewniać godność, niezależność, autonomię, dobrostan i udział w życiu społecznym osób otrzymujących opiekę, w tym możliwość opieki domowej i środowiskowej;</w:t>
      </w:r>
    </w:p>
    <w:p w:rsidR="00A47510" w:rsidRPr="00B462B5" w:rsidRDefault="00A47510" w:rsidP="00A47510">
      <w:pPr>
        <w:pStyle w:val="NormalHanging12a"/>
      </w:pPr>
      <w:r w:rsidRPr="00B462B5">
        <w:t>12.</w:t>
      </w:r>
      <w:r w:rsidRPr="00B462B5">
        <w:tab/>
        <w:t xml:space="preserve">zauważa, że osoby LGBTIQ+ w regionach wiejskich, peryferyjnych i najbardziej oddalonych stoją przed szczególnymi wyzwaniami i barierami w dostępie do kluczowych usług; </w:t>
      </w:r>
    </w:p>
    <w:p w:rsidR="00A47510" w:rsidRPr="00B462B5" w:rsidRDefault="00A47510" w:rsidP="00A47510">
      <w:pPr>
        <w:pStyle w:val="NormalHanging12a"/>
      </w:pPr>
      <w:r w:rsidRPr="00B462B5">
        <w:t>13.</w:t>
      </w:r>
      <w:r w:rsidRPr="00B462B5">
        <w:tab/>
        <w:t xml:space="preserve">jest głęboko zaniepokojony sytuacją osób LGBTIQ+, które muszą korzystać z prawa do ubiegania się o azyl w Unii Europejskiej; wyraża zaniepokojenie faktem, iż osoby </w:t>
      </w:r>
      <w:proofErr w:type="spellStart"/>
      <w:r w:rsidRPr="00B462B5">
        <w:t>transpłciowe</w:t>
      </w:r>
      <w:proofErr w:type="spellEnd"/>
      <w:r w:rsidRPr="00B462B5">
        <w:t xml:space="preserve"> i interseksualne napotykają dodatkowe przeszkody, kiedy ubiegają się o azyl; podkreśla, że ważne jest uwzględnianie sytuacji osób LGBTIQ+ przy opracowywaniu unijnej polityki migracyjnej i azylowej;</w:t>
      </w:r>
    </w:p>
    <w:p w:rsidR="00A47510" w:rsidRPr="00B462B5" w:rsidRDefault="00A47510" w:rsidP="00A47510">
      <w:pPr>
        <w:pStyle w:val="NormalHanging12a"/>
      </w:pPr>
      <w:r w:rsidRPr="00B462B5">
        <w:t>14.</w:t>
      </w:r>
      <w:r w:rsidRPr="00B462B5">
        <w:tab/>
        <w:t>wyraża głębokie zaniepokojenie wzrostem powszechności nawoływania do nienawiści, przestępstw z nienawiści i przemocy wobec osób LGBTIQ+, m.in. na platformach internetowych, gdzie rezultatem może być naruszanie prawa do prywatności osób przeglądających treści dotyczące kwestii LGBTIQ; przypomina o potrzebie prewencyjnej i ochronnej polityki publicznej w odniesieniu do motywowanego nienawiścią nawoływania do nienawiści, przestępstw z nienawiści i przemocy wobec osób LGBTIQ+; dostrzega, że przypadki nawoływania do nienawiści i przestępstw wobec osób LGBTIQ+ są zgłaszane zbyt rzadko, ponieważ ofiary nie wierzą, że władze publiczne będą zajmować się takimi przestępstwami;</w:t>
      </w:r>
    </w:p>
    <w:p w:rsidR="00A47510" w:rsidRPr="00B462B5" w:rsidRDefault="00A47510" w:rsidP="00A47510">
      <w:pPr>
        <w:pStyle w:val="NormalHanging12a"/>
      </w:pPr>
      <w:r w:rsidRPr="00B462B5">
        <w:t>15.</w:t>
      </w:r>
      <w:r w:rsidRPr="00B462B5">
        <w:tab/>
        <w:t>potępia fakt, że wraz z rozwojem skrajnie prawicowych sił politycznych nasiliła się stygmatyzacja, prześladowania i nękanie osób LGBTIQ+ oraz organizacji społeczeństwa obywatelskiego i aktywistów walczących o prawa tych osób; potępia coraz częstsze traktowanie społeczności LGBTIQ+ jako kozła ofiarnego oraz szkodliwe określanie upowszechniania praw osób LGBTIQ+ mianem „ideologii”;</w:t>
      </w:r>
    </w:p>
    <w:p w:rsidR="00A47510" w:rsidRPr="00B462B5" w:rsidRDefault="00A47510" w:rsidP="00A47510">
      <w:pPr>
        <w:pStyle w:val="NormalHanging12a"/>
      </w:pPr>
      <w:r w:rsidRPr="00B462B5">
        <w:t>16.</w:t>
      </w:r>
      <w:r w:rsidRPr="00B462B5">
        <w:tab/>
        <w:t>podkreśla, że Unia musi podejmować kwestię sytuacji osób LGBTIQ+ w oficjalnych negocjacjach z krajami kandydującymi oraz wspierać wszystkie kraje objęte procesem rozszerzenia w likwidacji luk prawnych i zapewnianiu podstawowych praw osób LGBTIQ+;</w:t>
      </w:r>
    </w:p>
    <w:p w:rsidR="00A47510" w:rsidRPr="00B462B5" w:rsidRDefault="00A47510" w:rsidP="00A47510">
      <w:pPr>
        <w:pStyle w:val="NormalHanging12a"/>
      </w:pPr>
      <w:r w:rsidRPr="00B462B5">
        <w:t>17.</w:t>
      </w:r>
      <w:r w:rsidRPr="00B462B5">
        <w:tab/>
        <w:t xml:space="preserve">nalega, że UE musi mieć wspólne podejście do prawnego uznawania małżeństw i związków partnerskich osób tej samej płci oraz tęczowych rodziców, w tym rodziców </w:t>
      </w:r>
      <w:proofErr w:type="spellStart"/>
      <w:r w:rsidRPr="00B462B5">
        <w:t>transpłciowych</w:t>
      </w:r>
      <w:proofErr w:type="spellEnd"/>
      <w:r w:rsidRPr="00B462B5">
        <w:t>, oraz do prawnego uzgodnienia płci, aby jak najlepiej zabezpieczać interesy dzieci zgodnie z orzecznictwem TSUE i ETPC;</w:t>
      </w:r>
    </w:p>
    <w:p w:rsidR="00A47510" w:rsidRPr="00B462B5" w:rsidRDefault="00A47510" w:rsidP="00A47510">
      <w:pPr>
        <w:pStyle w:val="NormalHanging12a"/>
      </w:pPr>
      <w:r w:rsidRPr="00B462B5">
        <w:t>18.</w:t>
      </w:r>
      <w:r w:rsidRPr="00B462B5">
        <w:tab/>
        <w:t xml:space="preserve">podkreśla wyzwania, przed którymi stoją osoby </w:t>
      </w:r>
      <w:proofErr w:type="spellStart"/>
      <w:r w:rsidRPr="00B462B5">
        <w:t>transpłciowe</w:t>
      </w:r>
      <w:proofErr w:type="spellEnd"/>
      <w:r w:rsidRPr="00B462B5">
        <w:t xml:space="preserve">, niebinarne i interseksualne w UE, zwłaszcza wyzwania związane z ich statusem społeczno-ekonomicznym i </w:t>
      </w:r>
      <w:proofErr w:type="spellStart"/>
      <w:r w:rsidRPr="00B462B5">
        <w:t>socjodemograficznym</w:t>
      </w:r>
      <w:proofErr w:type="spellEnd"/>
      <w:r w:rsidRPr="00B462B5">
        <w:t xml:space="preserve">; podkreśla, że brak procedur prawnego uzgodnienia płci w państwach członkowskich oraz bariery w dostępie do tych procedur naruszają prawa osób </w:t>
      </w:r>
      <w:proofErr w:type="spellStart"/>
      <w:r w:rsidRPr="00B462B5">
        <w:t>transpłciowych</w:t>
      </w:r>
      <w:proofErr w:type="spellEnd"/>
      <w:r w:rsidRPr="00B462B5">
        <w:t>, niebinarnych i interseksualnych w całej Unii i stoją na drodze ich aspiracjom;</w:t>
      </w:r>
    </w:p>
    <w:p w:rsidR="00A47510" w:rsidRPr="00B462B5" w:rsidRDefault="00A47510" w:rsidP="00A47510">
      <w:pPr>
        <w:pStyle w:val="NormalHanging12a"/>
      </w:pPr>
      <w:r w:rsidRPr="00B462B5">
        <w:t>19.</w:t>
      </w:r>
      <w:r w:rsidRPr="00B462B5">
        <w:tab/>
        <w:t xml:space="preserve">zwraca uwagę, że tęczowe rodziny mają prawo do swobodnego przemieszczania się po UE, a dzieci z tęczowych rodzin nie powinny być dyskryminowane przy nabywaniu </w:t>
      </w:r>
      <w:r w:rsidRPr="00B462B5">
        <w:lastRenderedPageBreak/>
        <w:t>unijnego obywatelstwa;</w:t>
      </w:r>
    </w:p>
    <w:p w:rsidR="00A47510" w:rsidRDefault="00A47510" w:rsidP="00A47510">
      <w:pPr>
        <w:pStyle w:val="NormalHanging12a"/>
      </w:pPr>
      <w:r w:rsidRPr="00B462B5">
        <w:t>20.</w:t>
      </w:r>
      <w:r w:rsidRPr="00B462B5">
        <w:tab/>
        <w:t xml:space="preserve">niepokoi się, że technologia rozpoznawania twarzy i profilowania może stwarzać większe ryzyko dla osób LGBTIQ+, zwłaszcza osób </w:t>
      </w:r>
      <w:proofErr w:type="spellStart"/>
      <w:r w:rsidRPr="00B462B5">
        <w:t>transpłciowych</w:t>
      </w:r>
      <w:proofErr w:type="spellEnd"/>
      <w:r w:rsidRPr="00B462B5">
        <w:t xml:space="preserve">, niebinarnych i interseksualnych; </w:t>
      </w:r>
    </w:p>
    <w:p w:rsidR="00A47510" w:rsidRPr="00B462B5" w:rsidRDefault="005F07E1" w:rsidP="00A47510">
      <w:pPr>
        <w:pStyle w:val="NormalHanging12a"/>
      </w:pPr>
      <w:r>
        <w:t>21</w:t>
      </w:r>
      <w:r w:rsidR="00A47510" w:rsidRPr="00B462B5">
        <w:t>.</w:t>
      </w:r>
      <w:r w:rsidR="00A47510" w:rsidRPr="00B462B5">
        <w:tab/>
        <w:t>ubolewa nad brakiem spójnego oglądu finansowania UE na rzecz równości osób LGBTIQ+ w ramach różnych programów wspierających strategię;</w:t>
      </w:r>
    </w:p>
    <w:p w:rsidR="00A47510" w:rsidRPr="00B462B5" w:rsidRDefault="005F07E1" w:rsidP="00A47510">
      <w:pPr>
        <w:pStyle w:val="NormalHanging12a"/>
      </w:pPr>
      <w:r>
        <w:t>22</w:t>
      </w:r>
      <w:r w:rsidR="00A47510" w:rsidRPr="00B462B5">
        <w:t>.</w:t>
      </w:r>
      <w:r w:rsidR="00A47510" w:rsidRPr="00B462B5">
        <w:tab/>
        <w:t>zaznacza, że Komisja powinna pilnie zapewnić dostęp do finansowania organizacjom społeczeństwa obywatelskiego działającym w Unii i w państwach trzecich na rzecz praw człowieka przysługujących osobom LGBTIQ+; zauważa, że odpowiednie i elastyczne finansowanie organizacji społeczeństwa obywatelskiego opowiadających się za prawami osób LGBTIQ+ jest niezbędnym warunkiem umożliwiającym ochronę i propagowanie praw osób LGBTIQ+ w Unii Europejskiej i w państwach trzecich;</w:t>
      </w:r>
    </w:p>
    <w:p w:rsidR="00A47510" w:rsidRPr="00B462B5" w:rsidRDefault="005F07E1" w:rsidP="00A47510">
      <w:pPr>
        <w:pStyle w:val="NormalHanging12a"/>
      </w:pPr>
      <w:r>
        <w:t>23</w:t>
      </w:r>
      <w:r w:rsidR="00A47510" w:rsidRPr="00B462B5">
        <w:t>.</w:t>
      </w:r>
      <w:r w:rsidR="00A47510" w:rsidRPr="00B462B5">
        <w:tab/>
        <w:t>z zadowoleniem przyjmuje inicjatywy UE ukierunkowane na ochronę obrońców praw człowieka osób LGBTIQ+ i ułatwianie im działania na rzecz obrony praw podstawowych; podkreśla, że UE musi w dalszym ciągu zwalczać stygmatyzację, zastraszanie i nękanie obrońców praw człowieka osób LGBTIQ+ na całym świecie; z zadowoleniem przyjmuje wsparcie Komisji dla działaczy na rzecz osób LGBTIQ+ w Ukrainie, zwłaszcza w trybie „bezpośredniego udzielania” od początku rosyjskiej inwazji i wojny napastniczej przeciwko Ukrainie;</w:t>
      </w:r>
    </w:p>
    <w:p w:rsidR="00A47510" w:rsidRPr="00B462B5" w:rsidRDefault="005F07E1" w:rsidP="00A47510">
      <w:pPr>
        <w:pStyle w:val="NormalHanging12a"/>
      </w:pPr>
      <w:r>
        <w:t>24</w:t>
      </w:r>
      <w:r w:rsidR="00A47510" w:rsidRPr="00B462B5">
        <w:t>.</w:t>
      </w:r>
      <w:r w:rsidR="00A47510" w:rsidRPr="00B462B5">
        <w:tab/>
        <w:t xml:space="preserve">przypomina, że europejska pomoc humanitarna powinna uwzględniać aspekt płci, wiek, ochronę i kwestie LGBTIQ+, brać pod uwagę </w:t>
      </w:r>
      <w:proofErr w:type="spellStart"/>
      <w:r w:rsidR="00A47510" w:rsidRPr="00B462B5">
        <w:t>intersekcjonalność</w:t>
      </w:r>
      <w:proofErr w:type="spellEnd"/>
      <w:r w:rsidR="00A47510" w:rsidRPr="00B462B5">
        <w:t xml:space="preserve"> jako zasadę przekrojową, a także być zgodna z zasadami humanitarnymi;</w:t>
      </w:r>
    </w:p>
    <w:p w:rsidR="00A47510" w:rsidRPr="00B462B5" w:rsidRDefault="005F07E1" w:rsidP="00A47510">
      <w:pPr>
        <w:pStyle w:val="NormalHanging12a"/>
      </w:pPr>
      <w:r>
        <w:t>25</w:t>
      </w:r>
      <w:r w:rsidR="00A47510" w:rsidRPr="00B462B5">
        <w:t>.</w:t>
      </w:r>
      <w:r w:rsidR="00A47510" w:rsidRPr="00B462B5">
        <w:tab/>
        <w:t>podkreśla, że w zakresie ochrony praw podstawowych UE nie może pozostawiać nikogo samemu sobie;</w:t>
      </w:r>
    </w:p>
    <w:p w:rsidR="00A47510" w:rsidRPr="00B462B5" w:rsidRDefault="00A47510" w:rsidP="00A47510">
      <w:pPr>
        <w:pStyle w:val="NormalHanging12a"/>
      </w:pPr>
      <w:r w:rsidRPr="00B462B5">
        <w:rPr>
          <w:b/>
          <w:i/>
        </w:rPr>
        <w:t>Zalecenia</w:t>
      </w:r>
    </w:p>
    <w:p w:rsidR="00A47510" w:rsidRPr="00B462B5" w:rsidRDefault="005F07E1" w:rsidP="00A47510">
      <w:pPr>
        <w:pStyle w:val="NormalHanging12a"/>
      </w:pPr>
      <w:r>
        <w:t>26</w:t>
      </w:r>
      <w:r w:rsidR="00A47510" w:rsidRPr="00B462B5">
        <w:t>.</w:t>
      </w:r>
      <w:r w:rsidR="00A47510" w:rsidRPr="00B462B5">
        <w:tab/>
        <w:t>wzywa UE i państwa członkowskie do dopilnowania, by prawa osób LGBTIQ+ rzeczywiście uwzględniano we wszystkich obszarach polityki Unii; apeluje, aby w strategiach politycznych uwzględniano przyczyny dyskryminacji wielokrotnej i krzyżowej, które mogą wynikać między innymi ze statusu społeczno-ekonomicznego, wieku, rasy, religii, faktycznej lub postrzeganej orientacji seksualnej, tożsamości płciowej, ekspresji płciowej i cech płciowych lub niepełnosprawności; apeluje, aby w ramach polityki uwzględniano szczególny kontekst regionów wiejskich, peryferyjnych i najbardziej oddalonych;</w:t>
      </w:r>
    </w:p>
    <w:p w:rsidR="00A47510" w:rsidRPr="00B462B5" w:rsidRDefault="005F07E1" w:rsidP="00A47510">
      <w:pPr>
        <w:pStyle w:val="NormalHanging12a"/>
      </w:pPr>
      <w:r>
        <w:t>27</w:t>
      </w:r>
      <w:r w:rsidR="00A47510" w:rsidRPr="00B462B5">
        <w:t>.</w:t>
      </w:r>
      <w:r w:rsidR="00A47510" w:rsidRPr="00B462B5">
        <w:tab/>
        <w:t xml:space="preserve">wzywa UE i państwa członkowskie, aby w unijnym prawodawstwie antydyskryminacyjnym uznały SOGIESC za jedną z podstaw dyskryminacji, zgodnie z mandatem Parlamentu co do wniosku dotyczącego dyrektywy w sprawie norm </w:t>
      </w:r>
      <w:r w:rsidR="00A47510" w:rsidRPr="00B462B5">
        <w:lastRenderedPageBreak/>
        <w:t>dotyczących organów ds. równości</w:t>
      </w:r>
      <w:r w:rsidR="00A47510" w:rsidRPr="00B462B5">
        <w:rPr>
          <w:rStyle w:val="FootnoteReference"/>
        </w:rPr>
        <w:footnoteReference w:id="9"/>
      </w:r>
      <w:r w:rsidR="00A47510" w:rsidRPr="00B462B5">
        <w:t>;</w:t>
      </w:r>
    </w:p>
    <w:p w:rsidR="00A47510" w:rsidRPr="00B462B5" w:rsidRDefault="005F07E1" w:rsidP="00A47510">
      <w:pPr>
        <w:spacing w:after="240"/>
        <w:ind w:left="567" w:hanging="567"/>
      </w:pPr>
      <w:r>
        <w:t>28</w:t>
      </w:r>
      <w:r w:rsidR="00A47510" w:rsidRPr="00B462B5">
        <w:t>.</w:t>
      </w:r>
      <w:r w:rsidR="00A47510" w:rsidRPr="00B462B5">
        <w:tab/>
        <w:t>wzywa UE i państwa członkowskie, by angażowały osoby LGBTIQ+ w kształtowanie polityki, m.in. w opracowywanie i realizację polityki społeczno-gospodarczej, mieszkaniowej i edukacyjnej; wzywa państwa członkowskie do rozwiązania kryzysu kosztów utrzymania i kryzysu mieszkaniowego, m.in. przez określenie konkretnych środków dla osób LGBTIQ+;</w:t>
      </w:r>
    </w:p>
    <w:p w:rsidR="00A47510" w:rsidRPr="00B462B5" w:rsidRDefault="005F07E1" w:rsidP="00A47510">
      <w:pPr>
        <w:pStyle w:val="NormalHanging12a"/>
      </w:pPr>
      <w:r>
        <w:t>29</w:t>
      </w:r>
      <w:r w:rsidR="00A47510" w:rsidRPr="00B462B5">
        <w:t>.</w:t>
      </w:r>
      <w:r w:rsidR="00A47510" w:rsidRPr="00B462B5">
        <w:tab/>
        <w:t>wzywa państwa członkowskie, by wdrożyły dyrektywę w sprawie równego traktowania w zakresie zatrudnienia i pracy;</w:t>
      </w:r>
    </w:p>
    <w:p w:rsidR="00A47510" w:rsidRPr="00B462B5" w:rsidRDefault="005F07E1" w:rsidP="00A47510">
      <w:pPr>
        <w:pStyle w:val="NormalHanging12a"/>
      </w:pPr>
      <w:r>
        <w:t>30</w:t>
      </w:r>
      <w:r w:rsidR="00A47510" w:rsidRPr="00B462B5">
        <w:t>.</w:t>
      </w:r>
      <w:r w:rsidR="00A47510" w:rsidRPr="00B462B5">
        <w:tab/>
        <w:t xml:space="preserve">z zadowoleniem przyjmuje wniosek Komisji dotyczący rozporządzenia w sprawie jurysdykcji, prawa właściwego, uznawania orzeczeń i przyjmowania dokumentów urzędowych dotyczących pochodzenia dziecka oraz w sprawie ustanowienia europejskiego poświadczenia pochodzenia dziecka, aby chronić prawa wszystkich dzieci przez zagwarantowanie, że więzi rodzicielskie, zwłaszcza w przypadku rodziców tej samej płci, uznane w jednym państwie członkowskim, będą uznawane we wszystkich państwach członkowskich UE; zwraca się do Komisji o zbadanie potencjału innych podstaw prawnych w Traktatach, zwłaszcza art. 19 i 21 TFUE, aby zagwarantować, że wszystkie państwa członkowskie będą w pełni i bezwarunkowo uznawały małżeństwa, związki partnerskie, rodzicielstwo i życie rodzinne osób LGBTIQ+ bez dyskryminacji i przeszkód dla swobodnego przemieszczania się; </w:t>
      </w:r>
    </w:p>
    <w:p w:rsidR="00A47510" w:rsidRPr="00B462B5" w:rsidRDefault="005F07E1" w:rsidP="00A47510">
      <w:pPr>
        <w:pStyle w:val="NormalHanging12a"/>
      </w:pPr>
      <w:r>
        <w:t>31</w:t>
      </w:r>
      <w:r w:rsidR="00A47510" w:rsidRPr="00B462B5">
        <w:t>.</w:t>
      </w:r>
      <w:r w:rsidR="00A47510" w:rsidRPr="00B462B5">
        <w:tab/>
        <w:t xml:space="preserve">z zadowoleniem przyjmuje decyzję Komisji z 15 lipca 2021 r. o wytoczeniu powództwa przeciwko państwom członkowskim w związku z naruszeniami praw podstawowych osób LGBTIQ+; wzywa Komisję, by dalej ściśle monitorowała, jak państwa członkowskie wdrażają prawo UE, oraz by wszczynała postępowania w sprawie uchybienia zobowiązaniom państwa członkowskiego w przypadkach naruszenia praw podstawowych osób LGBTIQ+ na podstawie art. 2 TUE, Karty praw podstawowych lub prawa wtórnego, w zależności od przypadku; wzywa Komisję, by systematycznie stosowała postępowania przyspieszone i składała do TSUE wnioski o zastosowanie środków tymczasowych; </w:t>
      </w:r>
    </w:p>
    <w:p w:rsidR="00A47510" w:rsidRPr="00B462B5" w:rsidRDefault="005F07E1" w:rsidP="00A47510">
      <w:pPr>
        <w:pStyle w:val="NormalHanging12a"/>
      </w:pPr>
      <w:r>
        <w:t>32</w:t>
      </w:r>
      <w:r w:rsidR="00A47510" w:rsidRPr="00B462B5">
        <w:t>.</w:t>
      </w:r>
      <w:r w:rsidR="00A47510" w:rsidRPr="00B462B5">
        <w:tab/>
        <w:t>wzywa Komisję, by pilnowała, aby państwa członkowskie przestrzegały wyroków TSUE i ETPC, a gdy nie będą się do nich stosować – aby podejmowała działania na mocy art. 260 ust. 2 TFUE i rozporządzenia w sprawie warunkowości, zwłaszcza w kwestiach dotyczących osób LGBTIQ+ i tęczowych rodzin podróżujących po UE;</w:t>
      </w:r>
    </w:p>
    <w:p w:rsidR="00A47510" w:rsidRPr="00B462B5" w:rsidRDefault="005F07E1" w:rsidP="00A47510">
      <w:pPr>
        <w:pStyle w:val="NormalHanging12a"/>
      </w:pPr>
      <w:r>
        <w:t>33</w:t>
      </w:r>
      <w:r w:rsidR="00A47510" w:rsidRPr="00B462B5">
        <w:t>.</w:t>
      </w:r>
      <w:r w:rsidR="00A47510" w:rsidRPr="00B462B5">
        <w:tab/>
        <w:t>wzywa wszystkie państwa członkowskie do przestrzegania unijnych wytycznych dotyczących strategii i planów działania, aby promować równość osób LGBTIQ</w:t>
      </w:r>
      <w:r w:rsidR="00A47510" w:rsidRPr="00B462B5">
        <w:rPr>
          <w:rStyle w:val="FootnoteReference"/>
        </w:rPr>
        <w:footnoteReference w:id="10"/>
      </w:r>
      <w:r w:rsidR="00A47510" w:rsidRPr="00B462B5">
        <w:t>, przygotowanych przez podgrupę ds. równouprawnienia osób LGBTIQ;</w:t>
      </w:r>
    </w:p>
    <w:p w:rsidR="00A47510" w:rsidRPr="00B462B5" w:rsidRDefault="005F07E1" w:rsidP="00A47510">
      <w:pPr>
        <w:pStyle w:val="NormalHanging12a"/>
      </w:pPr>
      <w:r>
        <w:t>34</w:t>
      </w:r>
      <w:r w:rsidR="00A47510" w:rsidRPr="00B462B5">
        <w:t>.</w:t>
      </w:r>
      <w:r w:rsidR="00A47510" w:rsidRPr="00B462B5">
        <w:tab/>
        <w:t xml:space="preserve">apeluje do państw członkowskich, by rozszerzyły zakres usług opieki zdrowotnej tak, </w:t>
      </w:r>
      <w:r w:rsidR="00A47510" w:rsidRPr="00B462B5">
        <w:lastRenderedPageBreak/>
        <w:t>aby osoby LGBTIQ+ mogły korzystać z istotnej dla siebie opieki, związanej m.in. ze zdrowiem seksualnym i reprodukcyjnym oraz z technologii w tym zakresie; wzywa Komisję i państwa członkowskie, by przyjęły środki służące zwalczaniu dyskryminacji osób LGBTIQ+ w sektorze opieki zdrowotnej;</w:t>
      </w:r>
    </w:p>
    <w:p w:rsidR="00A47510" w:rsidRPr="00B462B5" w:rsidRDefault="005F07E1" w:rsidP="00A47510">
      <w:pPr>
        <w:pStyle w:val="NormalHanging12a"/>
        <w:rPr>
          <w:rFonts w:eastAsiaTheme="minorHAnsi"/>
        </w:rPr>
      </w:pPr>
      <w:r>
        <w:t>35</w:t>
      </w:r>
      <w:r w:rsidR="00A47510" w:rsidRPr="00B462B5">
        <w:t>.</w:t>
      </w:r>
      <w:r w:rsidR="00A47510" w:rsidRPr="00B462B5">
        <w:tab/>
        <w:t>wzywa państwa członkowskie, by przeznaczały większe środki na usługi dla ofiar przemocy ze względu na płeć oraz wspierały ofiary będące osobami LGBTIQ+, w szczególności te będące kobietami, z uwzględnieniem ich specjalnych potrzeb i doświadczeń;</w:t>
      </w:r>
    </w:p>
    <w:p w:rsidR="00A47510" w:rsidRPr="00B462B5" w:rsidRDefault="005F07E1" w:rsidP="00A47510">
      <w:pPr>
        <w:pStyle w:val="NormalHanging12a"/>
      </w:pPr>
      <w:r>
        <w:t>36</w:t>
      </w:r>
      <w:r w:rsidR="00A47510" w:rsidRPr="00B462B5">
        <w:t>.</w:t>
      </w:r>
      <w:r w:rsidR="00A47510" w:rsidRPr="00B462B5">
        <w:tab/>
        <w:t>przypomina, że należy zagwarantować, by technologie rozpoznawania twarzy i profilowania opierały się na zasadach przejrzystości, wytłumaczalności, sprawiedliwości i rozliczalności, aby przeciwdziałać uprzedzeniom i zagrożeniom dla osób LGBTIQ+;</w:t>
      </w:r>
    </w:p>
    <w:p w:rsidR="00A47510" w:rsidRPr="00B462B5" w:rsidRDefault="005F07E1" w:rsidP="00A47510">
      <w:pPr>
        <w:pStyle w:val="NormalHanging12a"/>
      </w:pPr>
      <w:r>
        <w:t>37</w:t>
      </w:r>
      <w:r w:rsidR="00A47510" w:rsidRPr="00B462B5">
        <w:t>.</w:t>
      </w:r>
      <w:r w:rsidR="00A47510" w:rsidRPr="00B462B5">
        <w:tab/>
        <w:t>apeluje do UE, aby dawała osobom LGBTIQ+, zwłaszcza z państw trzecich klasyfikowanych jako kraje bezpieczne, możliwość uzyskania azylu;</w:t>
      </w:r>
    </w:p>
    <w:p w:rsidR="00A47510" w:rsidRPr="00B462B5" w:rsidRDefault="005F07E1" w:rsidP="00A47510">
      <w:pPr>
        <w:pStyle w:val="NormalHanging12a"/>
      </w:pPr>
      <w:r>
        <w:t>38</w:t>
      </w:r>
      <w:r w:rsidR="00A47510" w:rsidRPr="00B462B5">
        <w:t>.</w:t>
      </w:r>
      <w:r w:rsidR="00A47510" w:rsidRPr="00B462B5">
        <w:tab/>
        <w:t>wzywa Komisję, by zapewniła wsparcie na rzecz równości osób LGBTIQ+ w działaniu w ramach Funduszu Azylu, Migracji i Integracji, zgodnie z zapowiedzią w strategii na rzecz równości osób LGBTIQ na lata 2020–2025, oraz by uwzględniła to wsparcie w programie prac na lata 2023–2025;</w:t>
      </w:r>
    </w:p>
    <w:p w:rsidR="00A47510" w:rsidRPr="00B462B5" w:rsidRDefault="005F07E1" w:rsidP="00A47510">
      <w:pPr>
        <w:pStyle w:val="NormalHanging12a"/>
      </w:pPr>
      <w:r>
        <w:t>39</w:t>
      </w:r>
      <w:r w:rsidR="00A47510" w:rsidRPr="00B462B5">
        <w:t>.</w:t>
      </w:r>
      <w:r w:rsidR="00A47510" w:rsidRPr="00B462B5">
        <w:tab/>
        <w:t>wzywa Agencję Unii Europejskiej ds. Azylu (EUAA), aby szybko ukończyła prace nad praktycznymi wytycznymi dla osób składających wnioski związane z SOGIESC, a państwa członkowskie, by następnie stosowały się do tych wytycznych;</w:t>
      </w:r>
    </w:p>
    <w:p w:rsidR="00A47510" w:rsidRPr="00B462B5" w:rsidRDefault="005F07E1" w:rsidP="00A47510">
      <w:pPr>
        <w:pStyle w:val="NormalHanging12a"/>
      </w:pPr>
      <w:r>
        <w:t>40</w:t>
      </w:r>
      <w:r w:rsidR="00A47510" w:rsidRPr="00B462B5">
        <w:t>.</w:t>
      </w:r>
      <w:r w:rsidR="00A47510" w:rsidRPr="00B462B5">
        <w:tab/>
        <w:t xml:space="preserve">wzywa Komisję, by monitorowała skutki i finansowała organizacje społeczeństwa obywatelskiego oraz projekty naukowe badające ruch </w:t>
      </w:r>
      <w:proofErr w:type="spellStart"/>
      <w:r w:rsidR="00A47510" w:rsidRPr="00B462B5">
        <w:t>antygenderowy</w:t>
      </w:r>
      <w:proofErr w:type="spellEnd"/>
      <w:r w:rsidR="00A47510" w:rsidRPr="00B462B5">
        <w:t>, aby skutecznie na niego odpowiedzieć;</w:t>
      </w:r>
    </w:p>
    <w:p w:rsidR="00A47510" w:rsidRPr="00B462B5" w:rsidRDefault="005F07E1" w:rsidP="00A47510">
      <w:pPr>
        <w:pStyle w:val="NormalHanging12a"/>
      </w:pPr>
      <w:r>
        <w:t>41</w:t>
      </w:r>
      <w:r w:rsidR="00A47510" w:rsidRPr="00B462B5">
        <w:t>.</w:t>
      </w:r>
      <w:r w:rsidR="00A47510" w:rsidRPr="00B462B5">
        <w:tab/>
        <w:t>wzywa Komisję i państwa członkowskie, aby przy opracowywaniu polityki i programów wspierających osoby LGBTIQ+ w Europie i na świecie opierały się na empirycznej i systematycznej wiedzy zgromadzonej przez organizacje społeczeństwa obywatelskiego i pracowników naukowych;</w:t>
      </w:r>
    </w:p>
    <w:p w:rsidR="00A47510" w:rsidRPr="00B462B5" w:rsidRDefault="005F07E1" w:rsidP="00A47510">
      <w:pPr>
        <w:pStyle w:val="NormalHanging12a"/>
      </w:pPr>
      <w:r>
        <w:t>42</w:t>
      </w:r>
      <w:r w:rsidR="00A47510" w:rsidRPr="00B462B5">
        <w:t>.</w:t>
      </w:r>
      <w:r w:rsidR="00A47510" w:rsidRPr="00B462B5">
        <w:tab/>
        <w:t xml:space="preserve">wzywa Unię i państwa członkowskie do uznania faktycznej lub postrzeganej orientacji seksualnej, tożsamości płciowej, ekspresji płciowej i cech płciowych za przyczyny uprzedzeń; wzywa Komisję i państwa członkowskie, by rozwiązały problem nawoływania do nienawiści, przestępstw z nienawiści i przemocy motywowanych uprzedzeniami ze względu na SOGIESC, także w </w:t>
      </w:r>
      <w:proofErr w:type="spellStart"/>
      <w:r w:rsidR="00A47510" w:rsidRPr="00B462B5">
        <w:t>internecie</w:t>
      </w:r>
      <w:proofErr w:type="spellEnd"/>
      <w:r w:rsidR="00A47510" w:rsidRPr="00B462B5">
        <w:t xml:space="preserve">; z zadowoleniem przyjmuje inicjatywę Komisji mającą na celu rozszerzenie wykazu czynów zabronionych w UE zawartego w art. 83 ust. 1 TFUE o nawoływanie do nienawiści i przestępstwa z nienawiści, co pozwoli ustanowić minimalne zasady dotyczące definicji przestępstw i sankcji mających zastosowanie we wszystkich państwach członkowskich UE; podkreśla potrzebę zapewnienia, aby prawo karne UE pozwalało na zdecydowaną reakcję na nawoływanie do nienawiści i przestępstwa z nienawiści; wyraża głębokie ubolewanie, że choć od opublikowania komunikatu Komisji upłynęły już niemal dwa lata, Rada nie poczyniła żadnych postępów w tej sprawie, podczas gdy była w stanie szybko rozszerzyć wykaz </w:t>
      </w:r>
      <w:proofErr w:type="spellStart"/>
      <w:r w:rsidR="00A47510" w:rsidRPr="00B462B5">
        <w:t>europrzestępstw</w:t>
      </w:r>
      <w:proofErr w:type="spellEnd"/>
      <w:r w:rsidR="00A47510" w:rsidRPr="00B462B5">
        <w:t xml:space="preserve"> do innych celów; ubolewa nad taką bezczynnością w sytuacji, kiedy odnotowuje się coraz więcej przypadków nawoływania do nienawiści i </w:t>
      </w:r>
      <w:r w:rsidR="00A47510" w:rsidRPr="00B462B5">
        <w:lastRenderedPageBreak/>
        <w:t>przestępstw z nienawiści; ponownie apeluje do Rady, by niestrudzenie dążyła do konsensusu, aby Komisja mogła rozpocząć drugi etap procedury;</w:t>
      </w:r>
    </w:p>
    <w:p w:rsidR="00A47510" w:rsidRPr="00B462B5" w:rsidRDefault="005F07E1" w:rsidP="00A47510">
      <w:pPr>
        <w:pStyle w:val="NormalHanging12a"/>
        <w:rPr>
          <w:rFonts w:eastAsiaTheme="minorHAnsi"/>
        </w:rPr>
      </w:pPr>
      <w:r>
        <w:t>43</w:t>
      </w:r>
      <w:r w:rsidR="00A47510" w:rsidRPr="00B462B5">
        <w:t>.</w:t>
      </w:r>
      <w:r w:rsidR="00A47510" w:rsidRPr="00B462B5">
        <w:tab/>
        <w:t>wzywa Komisję, by poczyniła postępy w realizacji programu prac, który służy podnoszeniu świadomości i zachęcaniu do zgłaszania przestępstw z nienawiści motywowanych uprzedzeniami ze względu na SOGIESC; wzywa Komisję i państwa członkowskie, aby zapewniły policji i funkcjonariuszom wymiaru sprawiedliwości szkolenie z kwestii LGBTIQ+, by mogli lepiej wspierać osoby LGBTIQ+ oraz odpowiednio prowadzić dochodzenia w sprawie przestępstw z nienawiści i je ścigać;</w:t>
      </w:r>
    </w:p>
    <w:p w:rsidR="00A47510" w:rsidRDefault="005F07E1" w:rsidP="00A47510">
      <w:pPr>
        <w:pStyle w:val="NormalHanging12a"/>
      </w:pPr>
      <w:r>
        <w:t>44</w:t>
      </w:r>
      <w:r w:rsidR="00A47510" w:rsidRPr="00B462B5">
        <w:t>.</w:t>
      </w:r>
      <w:r w:rsidR="00A47510" w:rsidRPr="00B462B5">
        <w:tab/>
        <w:t>wzywa Komisję, aby zbadała unijne ramy prawne i możliwe sposoby przeciwdziałania praktykom konwersyjnym i zakazania ich na szczeblu UE, a także aby nakłoniła państwa członkowskie do zakazania praktyk konwersyjnych ze względu na SOGIESC;</w:t>
      </w:r>
    </w:p>
    <w:p w:rsidR="00DE211E" w:rsidRPr="00B462B5" w:rsidRDefault="005F07E1" w:rsidP="00A47510">
      <w:pPr>
        <w:pStyle w:val="NormalHanging12a"/>
      </w:pPr>
      <w:r>
        <w:t>45</w:t>
      </w:r>
      <w:r w:rsidR="00DE211E" w:rsidRPr="00DE211E">
        <w:t>.</w:t>
      </w:r>
      <w:r w:rsidR="00DE211E" w:rsidRPr="00DE211E">
        <w:tab/>
        <w:t>z zadowoleniem przyjmuje, jako pierwszy krok, fakt, że Komisja formalnie zarejestrowała europejską inicjatywę obywatelską „Zakaz praktyk konwersyjnych w Unii Europejskiej”, ponieważ oznacza to, że istnieją podstawy prawne na szczeblu europejskim do podjęcia działań w tej kwestii; wyraża pełne poparcie dla tej inicjatywy; wzywa Komisję do podjęcia działań i zaproponowania aktów prawnych w oparciu o traktaty i rozporządzenie w sprawie europej</w:t>
      </w:r>
      <w:r w:rsidR="00DE211E">
        <w:t>skiej inicjatywy obywatelskiej</w:t>
      </w:r>
      <w:r w:rsidR="00DE211E">
        <w:rPr>
          <w:rStyle w:val="FootnoteReference"/>
        </w:rPr>
        <w:footnoteReference w:id="11"/>
      </w:r>
      <w:r w:rsidR="00DE211E" w:rsidRPr="00DE211E">
        <w:t xml:space="preserve">; </w:t>
      </w:r>
    </w:p>
    <w:p w:rsidR="00A47510" w:rsidRPr="00B462B5" w:rsidRDefault="005F07E1" w:rsidP="00A47510">
      <w:pPr>
        <w:pStyle w:val="NormalHanging12a"/>
      </w:pPr>
      <w:r>
        <w:t>46</w:t>
      </w:r>
      <w:r w:rsidR="00A47510" w:rsidRPr="00B462B5">
        <w:t>.</w:t>
      </w:r>
      <w:r w:rsidR="00A47510" w:rsidRPr="00B462B5">
        <w:tab/>
        <w:t>wzywa do wprowadzenia zakazu okaleczania narządów płciowych, w szczególności narządów płciowych osób interseksualnych i żeńskich narządów płciowych;</w:t>
      </w:r>
    </w:p>
    <w:p w:rsidR="00A47510" w:rsidRPr="00B462B5" w:rsidRDefault="005F07E1" w:rsidP="00A47510">
      <w:pPr>
        <w:pStyle w:val="NormalHanging12a"/>
      </w:pPr>
      <w:r>
        <w:t>47</w:t>
      </w:r>
      <w:r w:rsidR="00A47510" w:rsidRPr="00B462B5">
        <w:t>.</w:t>
      </w:r>
      <w:r w:rsidR="00A47510" w:rsidRPr="00B462B5">
        <w:tab/>
        <w:t>wzywa państwa członkowskie, by dalej dzieliły się najlepszymi praktykami ochrony praw podstawowych interseksualnych dzieci;</w:t>
      </w:r>
    </w:p>
    <w:p w:rsidR="00A47510" w:rsidRPr="00B462B5" w:rsidRDefault="005F07E1" w:rsidP="00A47510">
      <w:pPr>
        <w:pStyle w:val="NormalHanging12a"/>
      </w:pPr>
      <w:r>
        <w:t>48</w:t>
      </w:r>
      <w:r w:rsidR="00A47510" w:rsidRPr="00B462B5">
        <w:t>.</w:t>
      </w:r>
      <w:r w:rsidR="00A47510" w:rsidRPr="00B462B5">
        <w:tab/>
        <w:t xml:space="preserve">wzywa do wprowadzenia zakazu przymusowej aborcji i przymusowej sterylizacji; podkreśla znaczenie prawa do samostanowienia, autonomii oraz zdrowia fizycznego i psychicznego osób LGBTIQ+; podkreśla, że stanowisko Parlamentu wobec wniosku dotyczącego dyrektywy w sprawie zwalczania przemocy wobec kobiet i przemocy domowej obejmuje dodanie do </w:t>
      </w:r>
      <w:proofErr w:type="spellStart"/>
      <w:r w:rsidR="00A47510" w:rsidRPr="00B462B5">
        <w:t>europrzestępstw</w:t>
      </w:r>
      <w:proofErr w:type="spellEnd"/>
      <w:r w:rsidR="00A47510" w:rsidRPr="00B462B5">
        <w:t xml:space="preserve"> okaleczania żeńskich narządów płciowych, okaleczania narządów płciowych osób interseksualnych i przymusowej sterylizacji;</w:t>
      </w:r>
    </w:p>
    <w:p w:rsidR="00A47510" w:rsidRPr="00B462B5" w:rsidRDefault="005F07E1" w:rsidP="00A47510">
      <w:pPr>
        <w:pStyle w:val="NormalHanging12a"/>
      </w:pPr>
      <w:r>
        <w:t>49</w:t>
      </w:r>
      <w:r w:rsidR="00A47510" w:rsidRPr="00B462B5">
        <w:t>.</w:t>
      </w:r>
      <w:r w:rsidR="00A47510" w:rsidRPr="00B462B5">
        <w:tab/>
        <w:t xml:space="preserve">wzywa państwa członkowskie do uznania małżeństw i rodzicielstwa osób tej samej płci, aby pary te mogły korzystać z praw wynikających z przepisów UE, zgodnie z wymogami TSUE; </w:t>
      </w:r>
    </w:p>
    <w:p w:rsidR="00A47510" w:rsidRPr="00B462B5" w:rsidRDefault="005F07E1" w:rsidP="00A47510">
      <w:pPr>
        <w:pStyle w:val="NormalHanging12a"/>
      </w:pPr>
      <w:r>
        <w:t>50</w:t>
      </w:r>
      <w:r w:rsidR="00A47510" w:rsidRPr="00B462B5">
        <w:t>.</w:t>
      </w:r>
      <w:r w:rsidR="00A47510" w:rsidRPr="00B462B5">
        <w:tab/>
        <w:t>wzywa państwa członkowskie, aby przy wsparciu Komisji wprowadziły przejrzyste przepisy i procedury dotyczące prawnego uzgodnienia płci;</w:t>
      </w:r>
    </w:p>
    <w:p w:rsidR="00A47510" w:rsidRPr="00B462B5" w:rsidRDefault="005F07E1" w:rsidP="00A47510">
      <w:pPr>
        <w:pStyle w:val="NormalHanging12a"/>
      </w:pPr>
      <w:r>
        <w:t>51</w:t>
      </w:r>
      <w:r w:rsidR="00A47510" w:rsidRPr="00B462B5">
        <w:t>.</w:t>
      </w:r>
      <w:r w:rsidR="00A47510" w:rsidRPr="00B462B5">
        <w:tab/>
        <w:t>wzywa Komisję i państwa członkowskie, by promowały bezpieczne środowiska sprzyjające włączeniu społecznemu w edukacji, kulturze, sporcie i innych sektorach;</w:t>
      </w:r>
    </w:p>
    <w:p w:rsidR="00A47510" w:rsidRPr="00B462B5" w:rsidRDefault="005F07E1" w:rsidP="00A47510">
      <w:pPr>
        <w:pStyle w:val="NormalHanging12a"/>
      </w:pPr>
      <w:r>
        <w:t>52</w:t>
      </w:r>
      <w:r w:rsidR="00A47510" w:rsidRPr="00B462B5">
        <w:t>.</w:t>
      </w:r>
      <w:r w:rsidR="00A47510" w:rsidRPr="00B462B5">
        <w:tab/>
        <w:t xml:space="preserve">wzywa państwa członkowskie, by podjęły dalsze kroki, aby zagwarantować równe prawa osobom LGBTIQ+ z niepełnosprawnościami przez jednoznaczną ochronę przed dyskryminacją ze względu na orientację seksualną i tożsamość płciową, która jest </w:t>
      </w:r>
      <w:r w:rsidR="00A47510" w:rsidRPr="00B462B5">
        <w:lastRenderedPageBreak/>
        <w:t>potrzebna we wszystkich obszarach życia, np. w dziedzinie zatrudnienia, mieszkalnictwa, edukacji, mieszkalnictwa publicznego i kredytów;</w:t>
      </w:r>
    </w:p>
    <w:p w:rsidR="00A47510" w:rsidRPr="00B462B5" w:rsidRDefault="005F07E1" w:rsidP="00A47510">
      <w:pPr>
        <w:pStyle w:val="NormalHanging12a"/>
      </w:pPr>
      <w:r>
        <w:t>53</w:t>
      </w:r>
      <w:r w:rsidR="00A47510" w:rsidRPr="00B462B5">
        <w:t>.</w:t>
      </w:r>
      <w:r w:rsidR="00A47510" w:rsidRPr="00B462B5">
        <w:tab/>
        <w:t xml:space="preserve">wzywa państwa członkowskie do wdrożenia zaleceń Rady w sprawie dróg do sukcesu szkolnego, a zwłaszcza do uwzględnienia środków przeciwdziałania dyskryminacji osób LGBTIQ+, w szczególności młodzieży LGBTIQ+, by zagwarantować bezpieczną i </w:t>
      </w:r>
      <w:proofErr w:type="spellStart"/>
      <w:r w:rsidR="00A47510" w:rsidRPr="00B462B5">
        <w:t>inkluzywną</w:t>
      </w:r>
      <w:proofErr w:type="spellEnd"/>
      <w:r w:rsidR="00A47510" w:rsidRPr="00B462B5">
        <w:t xml:space="preserve"> edukację; </w:t>
      </w:r>
    </w:p>
    <w:p w:rsidR="00A47510" w:rsidRPr="00B462B5" w:rsidRDefault="005F07E1" w:rsidP="00A47510">
      <w:pPr>
        <w:pStyle w:val="NormalHanging12a"/>
      </w:pPr>
      <w:r>
        <w:t>54</w:t>
      </w:r>
      <w:r w:rsidR="00A47510" w:rsidRPr="00B462B5">
        <w:t>.</w:t>
      </w:r>
      <w:r w:rsidR="00A47510" w:rsidRPr="00B462B5">
        <w:tab/>
        <w:t xml:space="preserve">wzywa Komisję i państwa członkowskie do zintensyfikowania działań mających na celu rozwiązanie problemu nękania dzieci i młodych osób LGBTIQ+ i znęcania się nad nimi w szkołach oraz do zwiększenia świadomości istnienia tych przypadków; podkreśla, że takie sytuacje przyczyniają się do wykluczenia społecznego; </w:t>
      </w:r>
    </w:p>
    <w:p w:rsidR="00A47510" w:rsidRPr="00B462B5" w:rsidRDefault="005F07E1" w:rsidP="00A47510">
      <w:pPr>
        <w:pStyle w:val="NormalHanging12a"/>
      </w:pPr>
      <w:r>
        <w:t>55</w:t>
      </w:r>
      <w:r w:rsidR="00A47510" w:rsidRPr="00B462B5">
        <w:t>.</w:t>
      </w:r>
      <w:r w:rsidR="00A47510" w:rsidRPr="00B462B5">
        <w:tab/>
        <w:t>wzywa Komisję do rozszerzenia finansowania programu Erasmus+ w ramach tematu „Promowanie równości osób LGBT+” przez aktywne działania komunikacyjne we współpracy z organami krajowymi;</w:t>
      </w:r>
    </w:p>
    <w:p w:rsidR="00A47510" w:rsidRPr="00B462B5" w:rsidRDefault="005F07E1" w:rsidP="00A47510">
      <w:pPr>
        <w:pStyle w:val="NormalHanging12a"/>
      </w:pPr>
      <w:r>
        <w:t>56</w:t>
      </w:r>
      <w:r w:rsidR="00A47510" w:rsidRPr="00B462B5">
        <w:t>.</w:t>
      </w:r>
      <w:r w:rsidR="00A47510" w:rsidRPr="00B462B5">
        <w:tab/>
        <w:t>wzywa UE, by stanowiła przykład i była liderem w propagowaniu praw osób LGBTIQ+ na całym świecie, zgodnie ze swoimi wytycznymi dotyczącymi praw człowieka w zakresie niedyskryminacji w działaniach zewnętrznych;</w:t>
      </w:r>
    </w:p>
    <w:p w:rsidR="00A47510" w:rsidRPr="00B462B5" w:rsidRDefault="005F07E1" w:rsidP="00A47510">
      <w:pPr>
        <w:pStyle w:val="NormalHanging12a"/>
      </w:pPr>
      <w:r>
        <w:t>57</w:t>
      </w:r>
      <w:r w:rsidR="00A47510" w:rsidRPr="00B462B5">
        <w:t>.</w:t>
      </w:r>
      <w:r w:rsidR="00A47510" w:rsidRPr="00B462B5">
        <w:tab/>
        <w:t>wzywa Komisję do powołania specjalnego przedstawiciela ds. równości osób LGBTIQ+ w Europejskiej Służbie Działań Zewnętrznych, aby zapewnić horyzontalną realizację strategii na rzecz równości osób LGBTIQ na lata 2020–2025 za granicą;</w:t>
      </w:r>
    </w:p>
    <w:p w:rsidR="00A47510" w:rsidRPr="00B462B5" w:rsidRDefault="005F07E1" w:rsidP="00A47510">
      <w:pPr>
        <w:pStyle w:val="NormalHanging12a"/>
      </w:pPr>
      <w:r>
        <w:t>58</w:t>
      </w:r>
      <w:r w:rsidR="00A47510" w:rsidRPr="00B462B5">
        <w:t>.</w:t>
      </w:r>
      <w:r w:rsidR="00A47510" w:rsidRPr="00B462B5">
        <w:tab/>
        <w:t>wyraża zaniepokojenie stanem praw osób LGBTIQ+ na świecie; wzywa Komisję i Europejską Służbę Działań Zewnętrznych (ESDZ), by wykorzystywały politykę rozwoju do egzekwowania reform w krajach rozwijających się, do eliminowania utrudnień w uznawaniu i ochronie tych praw oraz do zapewniania praw osobom LGBTIQ+;</w:t>
      </w:r>
    </w:p>
    <w:p w:rsidR="00A47510" w:rsidRPr="00B462B5" w:rsidRDefault="005F07E1" w:rsidP="00A47510">
      <w:pPr>
        <w:pStyle w:val="NormalHanging12a"/>
      </w:pPr>
      <w:r>
        <w:t>59</w:t>
      </w:r>
      <w:r w:rsidR="00A47510" w:rsidRPr="00B462B5">
        <w:t>.</w:t>
      </w:r>
      <w:r w:rsidR="00A47510" w:rsidRPr="00B462B5">
        <w:tab/>
        <w:t>wzywa Komisję do dopilnowania, by osoby LGBTIQ+ otrzymywały wsparcie w ramach instrumentów budżetowych i finansowych, a także szerszych programów pomocy rozwojowej;</w:t>
      </w:r>
    </w:p>
    <w:p w:rsidR="00A47510" w:rsidRPr="00B462B5" w:rsidRDefault="005F07E1" w:rsidP="00A47510">
      <w:pPr>
        <w:pStyle w:val="NormalHanging12a"/>
      </w:pPr>
      <w:r>
        <w:t>60</w:t>
      </w:r>
      <w:r w:rsidR="00A47510" w:rsidRPr="00B462B5">
        <w:t>.</w:t>
      </w:r>
      <w:r w:rsidR="00A47510" w:rsidRPr="00B462B5">
        <w:tab/>
        <w:t>wzywa Komisję do wspierania krajów kandydujących i potencjalnych krajów kandydujących we wdrażaniu prawodawstwa UE, w tym w dziedzinie praw osób LGBTIQ+, oraz do monitorowania ich postępów;</w:t>
      </w:r>
    </w:p>
    <w:p w:rsidR="00A47510" w:rsidRPr="00B462B5" w:rsidRDefault="005F07E1" w:rsidP="00A47510">
      <w:pPr>
        <w:pStyle w:val="NormalHanging12a"/>
      </w:pPr>
      <w:r>
        <w:t>61</w:t>
      </w:r>
      <w:r w:rsidR="00A47510" w:rsidRPr="00B462B5">
        <w:t>.</w:t>
      </w:r>
      <w:r w:rsidR="00A47510" w:rsidRPr="00B462B5">
        <w:tab/>
        <w:t>wzywa Komisję, by dalej zwiększała możliwości uzyskania ponownego dofinansowania i zapewniała elastyczne finansowanie oraz umożliwiała małym, oddolnym i nieformalnym obrońcom praw człowieka oraz innym podmiotom społeczeństwa obywatelskiego działającym na rzecz upowszechniania praw osób LGBTIQ+ dostęp do takiego finansowania w UE i w państwach trzecich, zgodnie z prawem Unii;</w:t>
      </w:r>
    </w:p>
    <w:p w:rsidR="00A47510" w:rsidRPr="00B462B5" w:rsidRDefault="005F07E1" w:rsidP="00A47510">
      <w:pPr>
        <w:pStyle w:val="NormalHanging12a"/>
      </w:pPr>
      <w:r>
        <w:t>62</w:t>
      </w:r>
      <w:r w:rsidR="00A47510" w:rsidRPr="00B462B5">
        <w:t>.</w:t>
      </w:r>
      <w:r w:rsidR="00A47510" w:rsidRPr="00B462B5">
        <w:tab/>
        <w:t xml:space="preserve">wzywa Komisję, by dalej starała się ulepszać swoje sposoby informowania o tym, jak można uzyskać środki na upowszechnianie równości osób LGBTIQ+, zwłaszcza w państwach członkowskich, w których negatywnie reagowano na jej upowszechnianie; </w:t>
      </w:r>
    </w:p>
    <w:p w:rsidR="00A47510" w:rsidRPr="00B462B5" w:rsidRDefault="005F07E1" w:rsidP="00A47510">
      <w:pPr>
        <w:pStyle w:val="NormalHanging12a"/>
      </w:pPr>
      <w:r>
        <w:t>63</w:t>
      </w:r>
      <w:r w:rsidR="00A47510" w:rsidRPr="00B462B5">
        <w:t>.</w:t>
      </w:r>
      <w:r w:rsidR="00A47510" w:rsidRPr="00B462B5">
        <w:tab/>
        <w:t xml:space="preserve">wzywa Komisję do dopilnowania, aby państwa członkowskie zarządzały funduszami UE zgodnie z Kartą, w tym prawem do niedyskryminacji, jak wynika z horyzontalnego „warunku podstawowego” ustanowionego na mocy rozporządzenia w sprawie </w:t>
      </w:r>
      <w:r w:rsidR="00A47510" w:rsidRPr="00B462B5">
        <w:lastRenderedPageBreak/>
        <w:t>wspólnych przepisów</w:t>
      </w:r>
      <w:r w:rsidR="00A47510" w:rsidRPr="00B462B5">
        <w:rPr>
          <w:rStyle w:val="FootnoteReference"/>
        </w:rPr>
        <w:footnoteReference w:id="12"/>
      </w:r>
      <w:r w:rsidR="00A47510" w:rsidRPr="00B462B5">
        <w:t>; podkreśla, że Komisja nie może zwrócić żadnych wydatków, dopóki nie zostaną spełnione obowiązujące warunki podstawowe;</w:t>
      </w:r>
    </w:p>
    <w:p w:rsidR="00A47510" w:rsidRPr="00B462B5" w:rsidRDefault="005F07E1" w:rsidP="00A47510">
      <w:pPr>
        <w:pStyle w:val="NormalHanging12a"/>
      </w:pPr>
      <w:r>
        <w:t>64</w:t>
      </w:r>
      <w:r w:rsidR="00A47510" w:rsidRPr="00B462B5">
        <w:t>.</w:t>
      </w:r>
      <w:r w:rsidR="00A47510" w:rsidRPr="00B462B5">
        <w:tab/>
        <w:t>wzywa UE, by dalej zwalczała stygmatyzację i nękanie obrońców praw osób LGBTIQ+ i chroniła obrońców tych praw z państw trzecich; apeluje, by UE rozszerzyła takie mechanizmy na obrońców praw człowieka w UE i umożliwiła ochronę obrońców praw człowieka osób LGBTIQ+ w państwach członkowskich;</w:t>
      </w:r>
    </w:p>
    <w:p w:rsidR="00A47510" w:rsidRPr="00B462B5" w:rsidRDefault="005F07E1" w:rsidP="00A47510">
      <w:pPr>
        <w:pStyle w:val="NormalHanging12a"/>
      </w:pPr>
      <w:r>
        <w:t>65</w:t>
      </w:r>
      <w:r w:rsidR="00A47510" w:rsidRPr="00B462B5">
        <w:t>.</w:t>
      </w:r>
      <w:r w:rsidR="00A47510" w:rsidRPr="00B462B5">
        <w:tab/>
        <w:t>wzywa UE, by rozszerzyła taką ochronę na obrońców praw człowieka w państwach członkowskich UE;</w:t>
      </w:r>
    </w:p>
    <w:p w:rsidR="00A47510" w:rsidRPr="00B462B5" w:rsidRDefault="005F07E1" w:rsidP="00A47510">
      <w:pPr>
        <w:pStyle w:val="NormalHanging12a"/>
      </w:pPr>
      <w:r>
        <w:t>66</w:t>
      </w:r>
      <w:r w:rsidR="00A47510" w:rsidRPr="00B462B5">
        <w:t>.</w:t>
      </w:r>
      <w:r w:rsidR="00A47510" w:rsidRPr="00B462B5">
        <w:tab/>
        <w:t xml:space="preserve">wzywa Komisję, aby zintensyfikowała gromadzenie danych na temat dyskryminacji ze względu na SOGIESC oraz wykorzystywała te dane do kształtowania </w:t>
      </w:r>
      <w:proofErr w:type="spellStart"/>
      <w:r w:rsidR="00A47510" w:rsidRPr="00B462B5">
        <w:t>inkluzywnej</w:t>
      </w:r>
      <w:proofErr w:type="spellEnd"/>
      <w:r w:rsidR="00A47510" w:rsidRPr="00B462B5">
        <w:t xml:space="preserve"> polityki publicznej dostosowanej do potrzeb osób LGBTIQ+ i wspierała państwa członkowskie w korzystaniu z tych danych;</w:t>
      </w:r>
    </w:p>
    <w:p w:rsidR="00A47510" w:rsidRPr="00B462B5" w:rsidRDefault="005F07E1" w:rsidP="00A47510">
      <w:pPr>
        <w:pStyle w:val="NormalHanging12a"/>
      </w:pPr>
      <w:r>
        <w:t>67</w:t>
      </w:r>
      <w:r w:rsidR="00A47510" w:rsidRPr="00B462B5">
        <w:t>.</w:t>
      </w:r>
      <w:r w:rsidR="00A47510" w:rsidRPr="00B462B5">
        <w:tab/>
        <w:t>wzywa wszystkie państwa członkowskie do samodzielnej oceny własnych postępów w realizacji strategii na rzecz osób LGBTIQ i przekazania jej wyników Komisji i Parlamentowi;</w:t>
      </w:r>
    </w:p>
    <w:p w:rsidR="00A47510" w:rsidRPr="00B462B5" w:rsidRDefault="005F07E1" w:rsidP="00A47510">
      <w:pPr>
        <w:pStyle w:val="NormalHanging12a"/>
      </w:pPr>
      <w:r>
        <w:t>68</w:t>
      </w:r>
      <w:r w:rsidR="00A47510" w:rsidRPr="00B462B5">
        <w:t>.</w:t>
      </w:r>
      <w:r w:rsidR="00A47510" w:rsidRPr="00B462B5">
        <w:tab/>
        <w:t>wzywa wszystkie państwa członkowskie do przyjęcia krajowych planów działania i strategii na rzecz osób LGBTIQ+ do 2025 r.;</w:t>
      </w:r>
    </w:p>
    <w:p w:rsidR="00A47510" w:rsidRPr="00B462B5" w:rsidRDefault="005F07E1" w:rsidP="00A47510">
      <w:pPr>
        <w:pStyle w:val="NormalHanging12a"/>
      </w:pPr>
      <w:r>
        <w:t>69</w:t>
      </w:r>
      <w:r w:rsidR="00A47510" w:rsidRPr="00B462B5">
        <w:t>.</w:t>
      </w:r>
      <w:r w:rsidR="00A47510" w:rsidRPr="00B462B5">
        <w:tab/>
        <w:t>wzywa Komisję Europejską, by opracowała nową strategię na rzecz równości osób LGBTIQ+ na lata 2025–2030, która będzie opierać się na zdecydowanych zobowiązaniach i odzwierciedlać postanowienia Karty, apele i oczekiwania Parlamentu Europejskiego, organizacji społeczeństwa obywatelskiego i osób LGBTIQ+ w Europie i na świecie; zwraca się do Komisji, by przedstawiła harmonogram realizacji strategii na rzecz równości osób LGBTIQ+ przed wyborami do Parlamentu Europejskiego w 2024 r.;</w:t>
      </w:r>
    </w:p>
    <w:p w:rsidR="00A47510" w:rsidRPr="00B462B5" w:rsidRDefault="005F07E1" w:rsidP="00A47510">
      <w:pPr>
        <w:pStyle w:val="NormalHanging12a"/>
      </w:pPr>
      <w:r>
        <w:t>70</w:t>
      </w:r>
      <w:r w:rsidR="00A47510" w:rsidRPr="00B462B5">
        <w:t>.</w:t>
      </w:r>
      <w:r w:rsidR="00A47510" w:rsidRPr="00B462B5">
        <w:tab/>
        <w:t>wzywa Komisję do dopilnowania, by u podstaw następnej strategii na rzecz równości osób LGBTIQ+ stał silniejszy komponent i aby towarzyszył jej ukierunkowany na cele plan wdrażania, silna struktura na rzecz włączania do głównego nurtu polityki zapewniająca uwzględnienie praw osób LGBTIQ+ we wszystkich politykach UE – co dotyczyłoby wszystkich aspektów orientacji seksualnej, tożsamości płciowej, ekspresji płciowej i cech płciowych – oraz przydział zasobów; wzywa ją, by stworzyła przy tym harmonogram i cele pośrednie obejmujące monitorowanie, ocenę, rozliczalność i uczenie się, w tym konsultacje z organizacjami LGBTIQ+; wzywa ponadto Komisję, by zwróciła szczególną uwagę na grupy znajdujące się w trudnej sytuacji, takie jak dzieci i młodzież LGBTIQ+;</w:t>
      </w:r>
    </w:p>
    <w:p w:rsidR="00A47510" w:rsidRPr="00B462B5" w:rsidRDefault="005F07E1" w:rsidP="00A47510">
      <w:pPr>
        <w:pStyle w:val="NormalHanging12a"/>
      </w:pPr>
      <w:r>
        <w:t>71</w:t>
      </w:r>
      <w:r w:rsidR="00A47510" w:rsidRPr="00B462B5">
        <w:t>.</w:t>
      </w:r>
      <w:r w:rsidR="00A47510" w:rsidRPr="00B462B5">
        <w:tab/>
        <w:t xml:space="preserve">wzywa Komisję, by w następnej kadencji zapewniła powołanie komisarza ds. równości </w:t>
      </w:r>
      <w:r w:rsidR="00A47510" w:rsidRPr="00B462B5">
        <w:lastRenderedPageBreak/>
        <w:t>i różnorodności;</w:t>
      </w:r>
    </w:p>
    <w:p w:rsidR="00A47510" w:rsidRDefault="005F07E1" w:rsidP="00A47510">
      <w:pPr>
        <w:pStyle w:val="NormalHanging12a"/>
      </w:pPr>
      <w:r>
        <w:t>72</w:t>
      </w:r>
      <w:r w:rsidR="00A47510" w:rsidRPr="00B462B5">
        <w:t>.</w:t>
      </w:r>
      <w:r w:rsidR="00A47510" w:rsidRPr="00B462B5">
        <w:tab/>
        <w:t>zachęca do powołania w Komisji Europejskiej koordynatora ds. praw osób LGBTIQ+;</w:t>
      </w:r>
    </w:p>
    <w:p w:rsidR="00AD7A3D" w:rsidRDefault="00AD7A3D" w:rsidP="00AD7A3D">
      <w:pPr>
        <w:pStyle w:val="NormalHanging12a"/>
        <w:widowControl/>
        <w:ind w:left="0" w:firstLine="0"/>
        <w:jc w:val="center"/>
      </w:pPr>
      <w:r>
        <w:t>°</w:t>
      </w:r>
    </w:p>
    <w:p w:rsidR="00AD7A3D" w:rsidRDefault="00AD7A3D" w:rsidP="00AD7A3D">
      <w:pPr>
        <w:pStyle w:val="NormalHanging12a"/>
        <w:widowControl/>
        <w:ind w:left="0" w:firstLine="0"/>
        <w:jc w:val="center"/>
      </w:pPr>
      <w:r>
        <w:t>°     °</w:t>
      </w:r>
    </w:p>
    <w:p w:rsidR="00A47510" w:rsidRPr="00B462B5" w:rsidRDefault="005F07E1" w:rsidP="00A47510">
      <w:pPr>
        <w:pStyle w:val="NormalHanging12a"/>
        <w:ind w:left="560" w:hanging="560"/>
      </w:pPr>
      <w:r>
        <w:t>73</w:t>
      </w:r>
      <w:r w:rsidR="00A47510" w:rsidRPr="00B462B5">
        <w:t>.</w:t>
      </w:r>
      <w:r w:rsidR="00A47510" w:rsidRPr="00B462B5">
        <w:tab/>
        <w:t>zobowiązuje swoją przewodniczącą do przekazania niniejszej rezolucji Radzie, Komisji oraz rządom, parlamentom – w tym parlamentom na poziomie niższym niż krajowy – oraz lokalnym władzom państw członkowskich i krajów kandydujących.</w:t>
      </w:r>
    </w:p>
    <w:p w:rsidR="00E365E1" w:rsidRPr="00B462B5" w:rsidRDefault="00E365E1" w:rsidP="00FD260B"/>
    <w:sectPr w:rsidR="00E365E1" w:rsidRPr="00B462B5" w:rsidSect="00B462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60B" w:rsidRPr="00B462B5" w:rsidRDefault="00FD260B">
      <w:r w:rsidRPr="00B462B5">
        <w:separator/>
      </w:r>
    </w:p>
  </w:endnote>
  <w:endnote w:type="continuationSeparator" w:id="0">
    <w:p w:rsidR="00FD260B" w:rsidRPr="00B462B5" w:rsidRDefault="00FD260B">
      <w:r w:rsidRPr="00B462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62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62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62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60B" w:rsidRPr="00B462B5" w:rsidRDefault="00FD260B">
      <w:r w:rsidRPr="00B462B5">
        <w:separator/>
      </w:r>
    </w:p>
  </w:footnote>
  <w:footnote w:type="continuationSeparator" w:id="0">
    <w:p w:rsidR="00FD260B" w:rsidRPr="00B462B5" w:rsidRDefault="00FD260B">
      <w:r w:rsidRPr="00B462B5">
        <w:continuationSeparator/>
      </w:r>
    </w:p>
  </w:footnote>
  <w:footnote w:id="1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Dz.U. C 117 z 11.3.2022, s. 2.</w:t>
      </w:r>
    </w:p>
  </w:footnote>
  <w:footnote w:id="2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Dz.U. C 474 z 24.11.2021, s. 140.</w:t>
      </w:r>
    </w:p>
  </w:footnote>
  <w:footnote w:id="3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Teksty przyjęte, P9_TA(2020)0225.</w:t>
      </w:r>
    </w:p>
  </w:footnote>
  <w:footnote w:id="4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Teksty przyjęte, P9_TA(2021)0362.</w:t>
      </w:r>
    </w:p>
  </w:footnote>
  <w:footnote w:id="5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Teksty przyjęte, P9_TA(2022)0372.</w:t>
      </w:r>
    </w:p>
  </w:footnote>
  <w:footnote w:id="6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Teksty przyjęte, P9_TA(2023)0120.</w:t>
      </w:r>
    </w:p>
  </w:footnote>
  <w:footnote w:id="7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 xml:space="preserve">Badanie pt. „The LGBTIQ+ </w:t>
      </w:r>
      <w:proofErr w:type="spellStart"/>
      <w:r w:rsidRPr="00B462B5">
        <w:rPr>
          <w:sz w:val="24"/>
          <w:lang w:val="pl-PL"/>
        </w:rPr>
        <w:t>Equality</w:t>
      </w:r>
      <w:proofErr w:type="spellEnd"/>
      <w:r w:rsidRPr="00B462B5">
        <w:rPr>
          <w:sz w:val="24"/>
          <w:lang w:val="pl-PL"/>
        </w:rPr>
        <w:t xml:space="preserve"> </w:t>
      </w:r>
      <w:proofErr w:type="spellStart"/>
      <w:r w:rsidRPr="00B462B5">
        <w:rPr>
          <w:sz w:val="24"/>
          <w:lang w:val="pl-PL"/>
        </w:rPr>
        <w:t>Strategy</w:t>
      </w:r>
      <w:proofErr w:type="spellEnd"/>
      <w:r w:rsidRPr="00B462B5">
        <w:rPr>
          <w:sz w:val="24"/>
          <w:lang w:val="pl-PL"/>
        </w:rPr>
        <w:t xml:space="preserve"> 2020–2025 – </w:t>
      </w:r>
      <w:proofErr w:type="spellStart"/>
      <w:r w:rsidRPr="00B462B5">
        <w:rPr>
          <w:sz w:val="24"/>
          <w:lang w:val="pl-PL"/>
        </w:rPr>
        <w:t>Implementation</w:t>
      </w:r>
      <w:proofErr w:type="spellEnd"/>
      <w:r w:rsidRPr="00B462B5">
        <w:rPr>
          <w:sz w:val="24"/>
          <w:lang w:val="pl-PL"/>
        </w:rPr>
        <w:t xml:space="preserve"> </w:t>
      </w:r>
      <w:proofErr w:type="spellStart"/>
      <w:r w:rsidRPr="00B462B5">
        <w:rPr>
          <w:sz w:val="24"/>
          <w:lang w:val="pl-PL"/>
        </w:rPr>
        <w:t>overview</w:t>
      </w:r>
      <w:proofErr w:type="spellEnd"/>
      <w:r w:rsidRPr="00B462B5">
        <w:rPr>
          <w:sz w:val="24"/>
          <w:lang w:val="pl-PL"/>
        </w:rPr>
        <w:t>” [Przegląd wdrażania strategii na rzecz równości osób LGBTIQ na lata 2020–2025], Parlament Europejski, Dyrekcja Generalna ds. Analiz Parlamentarnych, 2023.</w:t>
      </w:r>
    </w:p>
  </w:footnote>
  <w:footnote w:id="8">
    <w:p w:rsidR="005F07E1" w:rsidRPr="0040329B" w:rsidRDefault="005F07E1" w:rsidP="005F07E1">
      <w:pPr>
        <w:pStyle w:val="FootnoteText"/>
        <w:ind w:left="567" w:hanging="567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 w:rsidRPr="0040329B">
        <w:rPr>
          <w:lang w:val="pl-PL"/>
        </w:rPr>
        <w:t xml:space="preserve"> </w:t>
      </w:r>
      <w:r w:rsidRPr="00DE211E">
        <w:rPr>
          <w:lang w:val="pl-PL"/>
        </w:rPr>
        <w:tab/>
      </w:r>
      <w:r w:rsidRPr="0040329B">
        <w:rPr>
          <w:sz w:val="24"/>
          <w:szCs w:val="24"/>
          <w:lang w:val="pl-PL"/>
        </w:rPr>
        <w:t>Dz.U. L, 2024/442 z 5.2.2024, ELI: http://data.europa.eu/eli/dec_impl/2024/442/oj.</w:t>
      </w:r>
    </w:p>
  </w:footnote>
  <w:footnote w:id="9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Wniosek Komisji z 7 grudnia 2022 r. dotyczący dyrektywy Parlamentu Europejskiego i Rady w sprawie norm dotyczących organów ds. równości w dziedzinie równego traktowania i równości szans kobiet i mężczyzn w zakresie zatrudnienia i pracy oraz uchylającej art. 20 dyrektywy 2006/54/WE i art. 11 dyrektywy 2010/41/UE (COM(2022)0688).</w:t>
      </w:r>
    </w:p>
  </w:footnote>
  <w:footnote w:id="10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Dyrektywa Rady 2000/78/WE z 27 listopada 2000 r. ustanawiająca ogólne warunki ramowe równego traktowania w zakresie zatrudnienia i pracy, Dz.U. L 303 z 2.12.2000, s. 16.</w:t>
      </w:r>
    </w:p>
  </w:footnote>
  <w:footnote w:id="11">
    <w:p w:rsidR="00DE211E" w:rsidRPr="005F07E1" w:rsidRDefault="00DE211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5F07E1">
        <w:rPr>
          <w:lang w:val="pl-PL"/>
        </w:rPr>
        <w:t xml:space="preserve"> </w:t>
      </w:r>
      <w:r>
        <w:rPr>
          <w:lang w:val="pl-PL"/>
        </w:rPr>
        <w:tab/>
      </w:r>
      <w:r w:rsidRPr="005F07E1">
        <w:rPr>
          <w:sz w:val="24"/>
          <w:szCs w:val="24"/>
          <w:lang w:val="pl-PL"/>
        </w:rPr>
        <w:t>Rozporządzenie Parlamentu Europejskiego i Rady (UE) 2019/788 z dnia 17 kwietnia 2019 r. w sprawie europejskiej inicjatywy obywatelskiej (Dz.U. L 130 z 17.5.2019, s. 55).</w:t>
      </w:r>
    </w:p>
  </w:footnote>
  <w:footnote w:id="12">
    <w:p w:rsidR="00A47510" w:rsidRPr="00B462B5" w:rsidRDefault="00A47510" w:rsidP="00B462B5">
      <w:pPr>
        <w:pStyle w:val="FootnoteText"/>
        <w:ind w:left="567" w:hanging="567"/>
        <w:rPr>
          <w:sz w:val="24"/>
          <w:lang w:val="pl-PL"/>
        </w:rPr>
      </w:pPr>
      <w:r w:rsidRPr="00B462B5">
        <w:rPr>
          <w:rStyle w:val="FootnoteReference"/>
          <w:sz w:val="24"/>
          <w:lang w:val="pl-PL"/>
        </w:rPr>
        <w:footnoteRef/>
      </w:r>
      <w:r w:rsidR="00B462B5" w:rsidRPr="00B462B5">
        <w:rPr>
          <w:sz w:val="24"/>
          <w:lang w:val="pl-PL"/>
        </w:rPr>
        <w:t xml:space="preserve"> </w:t>
      </w:r>
      <w:r w:rsidR="00B462B5" w:rsidRPr="00B462B5">
        <w:rPr>
          <w:sz w:val="24"/>
          <w:lang w:val="pl-PL"/>
        </w:rPr>
        <w:tab/>
      </w:r>
      <w:r w:rsidRPr="00B462B5">
        <w:rPr>
          <w:sz w:val="24"/>
          <w:lang w:val="pl-PL"/>
        </w:rPr>
        <w:t>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</w:t>
      </w:r>
      <w:r w:rsidR="00AD7A3D">
        <w:rPr>
          <w:sz w:val="24"/>
          <w:lang w:val="pl-PL"/>
        </w:rPr>
        <w:t>ia Granicami i Polityki Wizowej</w:t>
      </w:r>
      <w:r w:rsidRPr="00B462B5">
        <w:rPr>
          <w:sz w:val="24"/>
          <w:lang w:val="pl-PL"/>
        </w:rPr>
        <w:t xml:space="preserve"> </w:t>
      </w:r>
      <w:r w:rsidR="00AD7A3D">
        <w:rPr>
          <w:sz w:val="24"/>
          <w:lang w:val="pl-PL"/>
        </w:rPr>
        <w:t>(</w:t>
      </w:r>
      <w:r w:rsidRPr="00B462B5">
        <w:rPr>
          <w:sz w:val="24"/>
          <w:lang w:val="pl-PL"/>
        </w:rPr>
        <w:t>Dz.U. L 231 z 30.6.2021, s. 159</w:t>
      </w:r>
      <w:r w:rsidR="00AD7A3D">
        <w:rPr>
          <w:sz w:val="24"/>
          <w:lang w:val="pl-PL"/>
        </w:rPr>
        <w:t>)</w:t>
      </w:r>
      <w:r w:rsidRPr="00B462B5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62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62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62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0/2024"/>
    <w:docVar w:name="dvlangue" w:val="PL"/>
    <w:docVar w:name="dvnumam" w:val="0"/>
    <w:docVar w:name="dvpe" w:val="756.097"/>
    <w:docVar w:name="dvrapporteur" w:val="Sprawozdawca: "/>
    <w:docVar w:name="dvtitre" w:val="Rezolucja Parlamentu Europejskiego z dnia  2024 r. w sprawie realizacji unijnej strategii na rzecz równości osób LGBTIQ na lata 2020–2025(2023/2082(INI))"/>
  </w:docVars>
  <w:rsids>
    <w:rsidRoot w:val="00FD260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7E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91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510"/>
    <w:rsid w:val="00A70A41"/>
    <w:rsid w:val="00A778C7"/>
    <w:rsid w:val="00AB441E"/>
    <w:rsid w:val="00AB6293"/>
    <w:rsid w:val="00AD7A3D"/>
    <w:rsid w:val="00AE0928"/>
    <w:rsid w:val="00AF3B82"/>
    <w:rsid w:val="00B12E95"/>
    <w:rsid w:val="00B22876"/>
    <w:rsid w:val="00B462B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11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99A9B5"/>
  <w15:chartTrackingRefBased/>
  <w15:docId w15:val="{0D92C4E7-A9AB-481D-85AA-349AB3EE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47510"/>
    <w:pPr>
      <w:spacing w:after="240"/>
      <w:ind w:left="567" w:hanging="567"/>
    </w:pPr>
  </w:style>
  <w:style w:type="paragraph" w:customStyle="1" w:styleId="EPComma">
    <w:name w:val="EPComma"/>
    <w:basedOn w:val="Normal"/>
    <w:rsid w:val="00A4751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B586B-9775-4C14-8BDE-BB5F1459A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4301</Words>
  <Characters>27972</Characters>
  <Application>Microsoft Office Word</Application>
  <DocSecurity>4</DocSecurity>
  <Lines>233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Lukas Lemcke</cp:lastModifiedBy>
  <cp:revision>2</cp:revision>
  <cp:lastPrinted>2004-11-19T15:42:00Z</cp:lastPrinted>
  <dcterms:created xsi:type="dcterms:W3CDTF">2024-06-14T09:08:00Z</dcterms:created>
  <dcterms:modified xsi:type="dcterms:W3CDTF">2024-06-14T09:08:00Z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A9-0030/2024</vt:lpwstr>
  </property>
  <property fmtid="{D5CDD505-2E9C-101B-9397-08002B2CF9AE}" pid="4" name="&lt;Type&gt;">
    <vt:lpwstr>RR</vt:lpwstr>
  </property>
</Properties>
</file>