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7D48" w14:paraId="075853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07804B" w14:textId="77777777" w:rsidR="00751A4A" w:rsidRPr="00337D48" w:rsidRDefault="00D8401C" w:rsidP="0010095E">
            <w:pPr>
              <w:pStyle w:val="EPName"/>
            </w:pPr>
            <w:r w:rsidRPr="00337D48">
              <w:t>Parlamento Europeu</w:t>
            </w:r>
          </w:p>
          <w:p w14:paraId="27D19118" w14:textId="77777777" w:rsidR="00751A4A" w:rsidRPr="00337D4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7D4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DB80303" w14:textId="77777777" w:rsidR="00751A4A" w:rsidRPr="00337D48" w:rsidRDefault="00187494" w:rsidP="0010095E">
            <w:pPr>
              <w:pStyle w:val="EPLogo"/>
            </w:pPr>
            <w:r w:rsidRPr="00337D48">
              <w:rPr>
                <w:noProof/>
                <w:lang w:val="en-GB" w:eastAsia="zh-TW"/>
              </w:rPr>
              <w:drawing>
                <wp:inline distT="0" distB="0" distL="0" distR="0" wp14:anchorId="2D402EE5" wp14:editId="1253CB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974ECF" w14:textId="77777777" w:rsidR="00D058B8" w:rsidRPr="00337D48" w:rsidRDefault="00D058B8" w:rsidP="004C5D52">
      <w:pPr>
        <w:pStyle w:val="LineTop"/>
      </w:pPr>
    </w:p>
    <w:p w14:paraId="61B73423" w14:textId="77777777" w:rsidR="00680577" w:rsidRPr="00337D48" w:rsidRDefault="00D8401C" w:rsidP="00680577">
      <w:pPr>
        <w:pStyle w:val="EPBodyTA1"/>
      </w:pPr>
      <w:r w:rsidRPr="00337D48">
        <w:t>TEXTOS APROVADOS</w:t>
      </w:r>
    </w:p>
    <w:p w14:paraId="4C5813DB" w14:textId="77777777" w:rsidR="00D058B8" w:rsidRPr="00337D48" w:rsidRDefault="00D058B8" w:rsidP="00D058B8">
      <w:pPr>
        <w:pStyle w:val="LineBottom"/>
      </w:pPr>
    </w:p>
    <w:p w14:paraId="69FE9D09" w14:textId="77777777" w:rsidR="00D8401C" w:rsidRPr="00337D48" w:rsidRDefault="00D8401C" w:rsidP="00D8401C">
      <w:pPr>
        <w:pStyle w:val="ATHeading1"/>
      </w:pPr>
      <w:bookmarkStart w:id="0" w:name="TANumber"/>
      <w:r w:rsidRPr="00337D48">
        <w:t>P9_TA(2024)</w:t>
      </w:r>
      <w:bookmarkEnd w:id="0"/>
      <w:r w:rsidR="00737F24" w:rsidRPr="00337D48">
        <w:t>0076</w:t>
      </w:r>
    </w:p>
    <w:p w14:paraId="67DB525C" w14:textId="77777777" w:rsidR="00D8401C" w:rsidRPr="00337D48" w:rsidRDefault="00D8401C" w:rsidP="00D8401C">
      <w:pPr>
        <w:pStyle w:val="ATHeading2"/>
      </w:pPr>
      <w:bookmarkStart w:id="1" w:name="title"/>
      <w:r w:rsidRPr="00337D48">
        <w:t>Relatório de execução sobre a Estratégia da UE para a Igualdade de Tratamento das Pessoas LGBTIQ 2020-2025</w:t>
      </w:r>
      <w:bookmarkEnd w:id="1"/>
    </w:p>
    <w:p w14:paraId="63F3896F" w14:textId="77777777" w:rsidR="00D8401C" w:rsidRPr="00337D48" w:rsidRDefault="00D8401C" w:rsidP="00D8401C">
      <w:pPr>
        <w:rPr>
          <w:i/>
          <w:vanish/>
        </w:rPr>
      </w:pPr>
      <w:r w:rsidRPr="00337D48">
        <w:rPr>
          <w:i/>
        </w:rPr>
        <w:fldChar w:fldCharType="begin"/>
      </w:r>
      <w:r w:rsidRPr="00337D48">
        <w:rPr>
          <w:i/>
        </w:rPr>
        <w:instrText xml:space="preserve"> TC"(</w:instrText>
      </w:r>
      <w:bookmarkStart w:id="2" w:name="DocNumber"/>
      <w:r w:rsidRPr="00337D48">
        <w:rPr>
          <w:i/>
        </w:rPr>
        <w:instrText>A9-0030/2024</w:instrText>
      </w:r>
      <w:bookmarkEnd w:id="2"/>
      <w:r w:rsidRPr="00337D48">
        <w:rPr>
          <w:i/>
        </w:rPr>
        <w:instrText xml:space="preserve"> - Relator: José Gusmão)"\l3 \n&gt; \* MERGEFORMAT </w:instrText>
      </w:r>
      <w:r w:rsidRPr="00337D48">
        <w:rPr>
          <w:i/>
        </w:rPr>
        <w:fldChar w:fldCharType="end"/>
      </w:r>
    </w:p>
    <w:p w14:paraId="10EC4463" w14:textId="77777777" w:rsidR="00D8401C" w:rsidRPr="00337D48" w:rsidRDefault="00D8401C" w:rsidP="00D8401C">
      <w:pPr>
        <w:rPr>
          <w:vanish/>
        </w:rPr>
      </w:pPr>
      <w:bookmarkStart w:id="3" w:name="Commission"/>
      <w:r w:rsidRPr="00337D48">
        <w:rPr>
          <w:vanish/>
        </w:rPr>
        <w:t>Comissão das Liberdades Cívicas, da Justiça e dos Assuntos Internos</w:t>
      </w:r>
      <w:bookmarkEnd w:id="3"/>
    </w:p>
    <w:p w14:paraId="5308545E" w14:textId="77777777" w:rsidR="00D8401C" w:rsidRPr="00337D48" w:rsidRDefault="00D8401C" w:rsidP="00D8401C">
      <w:pPr>
        <w:rPr>
          <w:vanish/>
        </w:rPr>
      </w:pPr>
      <w:bookmarkStart w:id="4" w:name="PE"/>
      <w:r w:rsidRPr="00337D48">
        <w:rPr>
          <w:vanish/>
        </w:rPr>
        <w:t>PE756.097</w:t>
      </w:r>
      <w:bookmarkEnd w:id="4"/>
    </w:p>
    <w:p w14:paraId="01998227" w14:textId="77777777" w:rsidR="00D8401C" w:rsidRPr="00337D48" w:rsidRDefault="00D8401C" w:rsidP="00D8401C">
      <w:pPr>
        <w:pStyle w:val="ATHeading3"/>
      </w:pPr>
      <w:bookmarkStart w:id="5" w:name="Sujet"/>
      <w:r w:rsidRPr="00337D48">
        <w:t xml:space="preserve">Resolução do Parlamento Europeu, de </w:t>
      </w:r>
      <w:r w:rsidR="00453EE8" w:rsidRPr="00337D48">
        <w:t xml:space="preserve">8 </w:t>
      </w:r>
      <w:r w:rsidRPr="00337D48">
        <w:t xml:space="preserve">de </w:t>
      </w:r>
      <w:r w:rsidR="00453EE8" w:rsidRPr="00337D48">
        <w:t xml:space="preserve">fevereiro </w:t>
      </w:r>
      <w:r w:rsidRPr="00337D48">
        <w:t>de 2024, sobre a execução da Estratégia da UE para a igualdade de tratamento das pessoas LBGTIQ 2020-2025</w:t>
      </w:r>
      <w:bookmarkEnd w:id="5"/>
      <w:r w:rsidRPr="00337D48">
        <w:t xml:space="preserve"> </w:t>
      </w:r>
      <w:bookmarkStart w:id="6" w:name="References"/>
      <w:r w:rsidRPr="00337D48">
        <w:t>(2023/2082(INI))</w:t>
      </w:r>
      <w:bookmarkEnd w:id="6"/>
    </w:p>
    <w:p w14:paraId="7922CA23" w14:textId="77777777" w:rsidR="00012693" w:rsidRPr="00337D48" w:rsidRDefault="00012693" w:rsidP="00012693">
      <w:pPr>
        <w:pStyle w:val="EPComma"/>
      </w:pPr>
      <w:bookmarkStart w:id="7" w:name="TextBodyBegin"/>
      <w:bookmarkEnd w:id="7"/>
      <w:r w:rsidRPr="00337D48">
        <w:rPr>
          <w:i/>
        </w:rPr>
        <w:t>O Parlamento Europeu</w:t>
      </w:r>
      <w:r w:rsidRPr="00337D48">
        <w:t>,</w:t>
      </w:r>
    </w:p>
    <w:p w14:paraId="46B194DB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Carta dos Direitos Fundamentais da União Europeia,</w:t>
      </w:r>
    </w:p>
    <w:p w14:paraId="25A86968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o artigo 2.º do Tratado da União Europeia (TUE),</w:t>
      </w:r>
    </w:p>
    <w:p w14:paraId="48E07813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Convenção Europeia para a Proteção dos Direitos do Homem (CEDH) e a jurisprudência conexa do Tribunal Europeu dos Direitos do Homem (TEDH),</w:t>
      </w:r>
    </w:p>
    <w:p w14:paraId="666B3AB4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jurisprudência do Tribunal de Justiça da União Europeia (TJUE),</w:t>
      </w:r>
    </w:p>
    <w:p w14:paraId="3AB8085F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o acórdão do TJUE, de 5 de junho de 2018, no processo C</w:t>
      </w:r>
      <w:r w:rsidRPr="00337D48">
        <w:noBreakHyphen/>
        <w:t>673/16,</w:t>
      </w:r>
    </w:p>
    <w:p w14:paraId="4125FD74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Declaração Universal dos Direitos Humanos,</w:t>
      </w:r>
    </w:p>
    <w:p w14:paraId="697915EB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Convenção do Conselho da Europa para a Prevenção e o Combate à Violência contra as Mulheres e a Violência Doméstica (Convenção de Istambul), que foi ratificada pela União Europeia em 28 de junho de 2023,</w:t>
      </w:r>
    </w:p>
    <w:p w14:paraId="654ABCD9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Convenção das Nações Unidas sobre os Direitos da Criança, a Convenção das Nações Unidas sobre a Eliminação de Todas as Formas de Discriminação contra as Mulheres, a Convenção das Nações Unidas sobre a Eliminação da Discriminação Racial e a Convenção das Nações Unidas sobre os Direitos das Pessoas com Deficiência,</w:t>
      </w:r>
    </w:p>
    <w:p w14:paraId="7F3BC0EC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os princípios de Yogyakarta e a aplicação do direito internacional em matéria de direitos humanos em relação à orientação sexual, à identidade de género, à expressão de género e às características sexuais,</w:t>
      </w:r>
    </w:p>
    <w:p w14:paraId="326513BF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 xml:space="preserve">Tendo em conta a comunicação da Comissão, de 12 de novembro de 2020, intitulada </w:t>
      </w:r>
      <w:r w:rsidRPr="00337D48">
        <w:lastRenderedPageBreak/>
        <w:t>«União da Igualdade: Estratégia para a igualdade de tratamento das pessoas LGBTIQ 2020</w:t>
      </w:r>
      <w:r w:rsidRPr="00337D48">
        <w:noBreakHyphen/>
        <w:t>2025» (COM(2020)0698),</w:t>
      </w:r>
    </w:p>
    <w:p w14:paraId="6AB36385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sua resolução, de 14 de setembro de 2021, sobre os direitos das pessoas LGBTIQ na UE</w:t>
      </w:r>
      <w:r w:rsidRPr="00337D48">
        <w:rPr>
          <w:rStyle w:val="FootnoteReference"/>
        </w:rPr>
        <w:footnoteReference w:id="1"/>
      </w:r>
      <w:r w:rsidRPr="00337D48">
        <w:t>,</w:t>
      </w:r>
    </w:p>
    <w:p w14:paraId="7EFDDD0C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o relatório intercalar da Comissão sobre a execução da Estratégia para a Igualdade de Tratamento das Pessoas LGBTIQ 2020</w:t>
      </w:r>
      <w:r w:rsidRPr="00337D48">
        <w:noBreakHyphen/>
        <w:t>2025;</w:t>
      </w:r>
    </w:p>
    <w:p w14:paraId="6C161F9A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sua resolução, de 11 de março de 2021, sobre a proclamação da UE como zona de liberdade para as pessoas LGBTIQ</w:t>
      </w:r>
      <w:r w:rsidRPr="00337D48">
        <w:rPr>
          <w:rStyle w:val="FootnoteReference"/>
        </w:rPr>
        <w:footnoteReference w:id="2"/>
      </w:r>
      <w:r w:rsidRPr="00337D48">
        <w:t>,</w:t>
      </w:r>
    </w:p>
    <w:p w14:paraId="27C735BB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sua resolução, de 17 de setembro de 2020, sobre a proposta de decisão do Conselho relativa à verificação da existência de um risco manifesto de violação grave, pela República da Polónia, do Estado de direito</w:t>
      </w:r>
      <w:r w:rsidRPr="00337D48">
        <w:rPr>
          <w:rStyle w:val="FootnoteReference"/>
        </w:rPr>
        <w:footnoteReference w:id="3"/>
      </w:r>
      <w:r w:rsidRPr="00337D48">
        <w:t>,</w:t>
      </w:r>
    </w:p>
    <w:p w14:paraId="2065183C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sua resolução, de 8 de julho de 2021, sobre as violações do direito da UE e dos direitos dos cidadãos LGBTIQ na Hungria em resultado das alterações legislativas introduzidas pelo Parlamento húngaro</w:t>
      </w:r>
      <w:r w:rsidRPr="00337D48">
        <w:rPr>
          <w:rStyle w:val="FootnoteReference"/>
        </w:rPr>
        <w:footnoteReference w:id="4"/>
      </w:r>
      <w:r w:rsidRPr="00337D48">
        <w:t>,</w:t>
      </w:r>
    </w:p>
    <w:p w14:paraId="615F6C58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sua resolução, de 20 de outubro de 2022, sobre o aumento dos crimes de ódio contra pessoas LGBTIQ+ em toda a Europa à luz do recente assassínio homofóbico na Eslováquia</w:t>
      </w:r>
      <w:r w:rsidRPr="00337D48">
        <w:rPr>
          <w:rStyle w:val="FootnoteReference"/>
        </w:rPr>
        <w:footnoteReference w:id="5"/>
      </w:r>
      <w:r w:rsidRPr="00337D48">
        <w:t xml:space="preserve">, </w:t>
      </w:r>
    </w:p>
    <w:p w14:paraId="24CC4ECD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sua resolução, de 29 de abril de 2023, sobre a descriminalização universal da homossexualidade à luz dos recentes acontecimentos no Uganda</w:t>
      </w:r>
      <w:r w:rsidRPr="00337D48">
        <w:rPr>
          <w:rStyle w:val="FootnoteReference"/>
        </w:rPr>
        <w:footnoteReference w:id="6"/>
      </w:r>
      <w:r w:rsidRPr="00337D48">
        <w:t xml:space="preserve">, </w:t>
      </w:r>
    </w:p>
    <w:p w14:paraId="4CF7D85A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 proposta, apresentada em 7 de dezembro de 2022, de regulamento do Conselho relativo à competência, à lei aplicável, ao reconhecimento das decisões e à aceitação dos atos autênticos em matéria de filiação e à criação de um certificado europeu de filiação (COM(2022)0695),</w:t>
      </w:r>
    </w:p>
    <w:p w14:paraId="5B33D248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o estudo da Direção</w:t>
      </w:r>
      <w:r w:rsidRPr="00337D48">
        <w:noBreakHyphen/>
        <w:t>Geral dos Serviços de Estudos do Parlamento Europeu, de dezembro de 2023, intitulado «The LGBTIQ Equality Strategy 2020</w:t>
      </w:r>
      <w:r w:rsidRPr="00337D48">
        <w:noBreakHyphen/>
        <w:t>2025 – Implementation overview» [Estratégia para a igualdade de tratamento das pessoas LGBTIQ 2020</w:t>
      </w:r>
      <w:r w:rsidRPr="00337D48">
        <w:noBreakHyphen/>
        <w:t>2025 – Panorama geral da execução]</w:t>
      </w:r>
      <w:r w:rsidRPr="00337D48">
        <w:rPr>
          <w:rStyle w:val="FootnoteReference"/>
        </w:rPr>
        <w:footnoteReference w:id="7"/>
      </w:r>
      <w:r w:rsidRPr="00337D48">
        <w:t>,</w:t>
      </w:r>
    </w:p>
    <w:p w14:paraId="6E16E8F9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as orientações da UE para as estratégias e os planos de ação para reforçar a igualdade das pessoas LGBTIQ, elaboradas pela Comissão em 2022,</w:t>
      </w:r>
    </w:p>
    <w:p w14:paraId="7FF489F8" w14:textId="77777777" w:rsidR="00D91976" w:rsidRPr="00337D48" w:rsidRDefault="00D91976" w:rsidP="00012693">
      <w:pPr>
        <w:pStyle w:val="NormalHanging12a"/>
      </w:pPr>
      <w:r w:rsidRPr="00337D48">
        <w:t>–</w:t>
      </w:r>
      <w:r w:rsidRPr="00337D48">
        <w:tab/>
        <w:t xml:space="preserve">Tendo em conta a Decisão de Execução (UE) 2024/442 da Comissão, de 24 de janeiro de 2024, relativa ao pedido de registo, nos termos do Regulamento (UE) 2019/788 do </w:t>
      </w:r>
      <w:r w:rsidRPr="00337D48">
        <w:lastRenderedPageBreak/>
        <w:t>Parlamento Europeu e do Conselho, da iniciativa de cidadania europeia intitulada Proibição das práticas de conversão na União Europeia</w:t>
      </w:r>
      <w:r w:rsidRPr="00337D48">
        <w:rPr>
          <w:rStyle w:val="FootnoteReference"/>
        </w:rPr>
        <w:footnoteReference w:id="8"/>
      </w:r>
      <w:r w:rsidRPr="00337D48">
        <w:t>,</w:t>
      </w:r>
    </w:p>
    <w:p w14:paraId="635DF67D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o artigo 54.º do seu Regimento, bem como o artigo 1.º, n.º 1, alínea e), e o anexo 3 da Decisão da Conferência dos Presidentes, de 12 de dezembro de 2002, sobre o processo de autorização para elaborar relatórios de iniciativa,</w:t>
      </w:r>
    </w:p>
    <w:p w14:paraId="26C5FBF1" w14:textId="77777777" w:rsidR="00012693" w:rsidRPr="00337D48" w:rsidRDefault="00012693" w:rsidP="00012693">
      <w:pPr>
        <w:pStyle w:val="NormalHanging12a"/>
      </w:pPr>
      <w:r w:rsidRPr="00337D48">
        <w:t>–</w:t>
      </w:r>
      <w:r w:rsidRPr="00337D48">
        <w:tab/>
        <w:t>Tendo em conta o relatório da Comissão das Liberdades Cívicas, da Justiça e dos Assuntos Internos (A9</w:t>
      </w:r>
      <w:r w:rsidRPr="00337D48">
        <w:noBreakHyphen/>
        <w:t>0030/2024),</w:t>
      </w:r>
    </w:p>
    <w:p w14:paraId="145F20EC" w14:textId="77777777" w:rsidR="00012693" w:rsidRPr="00337D48" w:rsidRDefault="00012693" w:rsidP="00012693">
      <w:pPr>
        <w:pStyle w:val="NormalHanging12a"/>
      </w:pPr>
      <w:r w:rsidRPr="00337D48">
        <w:t>A.</w:t>
      </w:r>
      <w:r w:rsidRPr="00337D48">
        <w:tab/>
        <w:t>Considerando que os direitos LGBTIQ+ são direitos fundamentais e que o equilíbrio dos poderes no tocante ao Estado de direito e à democracia são fundamentais para a proteção dos direitos das pessoas LGBTIQ</w:t>
      </w:r>
      <w:r w:rsidR="00453EE8" w:rsidRPr="00337D48">
        <w:t>; considerando que</w:t>
      </w:r>
      <w:r w:rsidRPr="00337D48">
        <w:t xml:space="preserve"> a segurança e a dignidade das pessoas LGBTIQ+ são a segurança e a dignidade de todos nós;</w:t>
      </w:r>
    </w:p>
    <w:p w14:paraId="207EC571" w14:textId="77777777" w:rsidR="00012693" w:rsidRPr="00337D48" w:rsidRDefault="00012693" w:rsidP="00012693">
      <w:pPr>
        <w:pStyle w:val="NormalHanging12a"/>
      </w:pPr>
      <w:r w:rsidRPr="00337D48">
        <w:t>B.</w:t>
      </w:r>
      <w:r w:rsidRPr="00337D48">
        <w:tab/>
        <w:t>Considerando que o direito à igualdade de tratamento e à não discriminação é um direito fundamental consagrado nos Tratados e na Carta e deve ser plenamente respeitado;</w:t>
      </w:r>
    </w:p>
    <w:p w14:paraId="3A69535F" w14:textId="77777777" w:rsidR="00012693" w:rsidRPr="00337D48" w:rsidRDefault="00012693" w:rsidP="00012693">
      <w:pPr>
        <w:pStyle w:val="NormalHanging12a"/>
      </w:pPr>
      <w:r w:rsidRPr="00337D48">
        <w:t>C.</w:t>
      </w:r>
      <w:r w:rsidRPr="00337D48">
        <w:tab/>
        <w:t>Considerando que a igualdade e a proteção das minorias figuram entre os valores da UE consagrados no artigo 2.º do TUE;</w:t>
      </w:r>
    </w:p>
    <w:p w14:paraId="75B03CC0" w14:textId="77777777" w:rsidR="00012693" w:rsidRPr="00337D48" w:rsidRDefault="00012693" w:rsidP="00012693">
      <w:pPr>
        <w:spacing w:after="240"/>
        <w:ind w:left="567" w:hanging="567"/>
      </w:pPr>
      <w:r w:rsidRPr="00337D48">
        <w:t>D.</w:t>
      </w:r>
      <w:r w:rsidRPr="00337D48">
        <w:tab/>
        <w:t>Considerando que o artigo 21.º do Tratado sobre o Funcionamento da União Europeia (TFUE) estipula que qualquer cidadão da União goza do direito de circular e permanecer livremente no território dos Estados</w:t>
      </w:r>
      <w:r w:rsidRPr="00337D48">
        <w:noBreakHyphen/>
        <w:t>Membros;</w:t>
      </w:r>
    </w:p>
    <w:p w14:paraId="05177868" w14:textId="77777777" w:rsidR="00012693" w:rsidRPr="00337D48" w:rsidRDefault="00012693" w:rsidP="00012693">
      <w:pPr>
        <w:pStyle w:val="NormalHanging12a"/>
      </w:pPr>
      <w:r w:rsidRPr="00337D48">
        <w:t>E.</w:t>
      </w:r>
      <w:r w:rsidRPr="00337D48">
        <w:tab/>
        <w:t>Considerando que todos os Estados</w:t>
      </w:r>
      <w:r w:rsidRPr="00337D48">
        <w:noBreakHyphen/>
        <w:t>Membros assumiram, ao abrigo do direito internacional e dos Tratados da UE, a obrigação e o dever de respeitar, garantir, salvaguardar e observar os direitos fundamentais;</w:t>
      </w:r>
    </w:p>
    <w:p w14:paraId="7072DB8F" w14:textId="77777777" w:rsidR="00012693" w:rsidRPr="00337D48" w:rsidRDefault="00012693" w:rsidP="00012693">
      <w:pPr>
        <w:pStyle w:val="NormalHanging12a"/>
      </w:pPr>
      <w:r w:rsidRPr="00337D48">
        <w:t>F.</w:t>
      </w:r>
      <w:r w:rsidRPr="00337D48">
        <w:tab/>
        <w:t>Considerando que foram realizados progressos em matéria de proteção e promoção dos direitos das pessoas LGBTIQ+ em alguns Estados</w:t>
      </w:r>
      <w:r w:rsidRPr="00337D48">
        <w:noBreakHyphen/>
        <w:t>Membros;</w:t>
      </w:r>
    </w:p>
    <w:p w14:paraId="015DFC7B" w14:textId="77777777" w:rsidR="00012693" w:rsidRPr="00337D48" w:rsidRDefault="00012693" w:rsidP="00012693">
      <w:pPr>
        <w:pStyle w:val="NormalHanging12a"/>
      </w:pPr>
      <w:r w:rsidRPr="00337D48">
        <w:t>G.</w:t>
      </w:r>
      <w:r w:rsidRPr="00337D48">
        <w:tab/>
        <w:t>Considerando que a discriminação com base na orientação sexual, identidade e expressão de género, real ou aparente, e nas características sexuais (SOGIESC) persiste em toda a UE;</w:t>
      </w:r>
    </w:p>
    <w:p w14:paraId="0DABB428" w14:textId="77777777" w:rsidR="00012693" w:rsidRPr="00337D48" w:rsidRDefault="00012693" w:rsidP="00012693">
      <w:pPr>
        <w:pStyle w:val="NormalHanging12a"/>
      </w:pPr>
      <w:r w:rsidRPr="00337D48">
        <w:t>H.</w:t>
      </w:r>
      <w:r w:rsidRPr="00337D48">
        <w:tab/>
        <w:t>Considerando que a evolução da situação em alguns Estados</w:t>
      </w:r>
      <w:r w:rsidRPr="00337D48">
        <w:noBreakHyphen/>
        <w:t>Membros demonstrou que os progressos em matéria de direitos das pessoas LGBTIQ+ não podem ser considerados um dado adquirido;</w:t>
      </w:r>
    </w:p>
    <w:p w14:paraId="0F2B223A" w14:textId="77777777" w:rsidR="00012693" w:rsidRPr="00337D48" w:rsidRDefault="00012693" w:rsidP="00012693">
      <w:pPr>
        <w:pStyle w:val="NormalHanging12a"/>
      </w:pPr>
      <w:r w:rsidRPr="00337D48">
        <w:t>I.</w:t>
      </w:r>
      <w:r w:rsidRPr="00337D48">
        <w:tab/>
        <w:t>Considerando que, em 2022, a Comissão Europeia, juntamente com o Parlamento e quinze Estados</w:t>
      </w:r>
      <w:r w:rsidRPr="00337D48">
        <w:noBreakHyphen/>
        <w:t>Membros, interpôs uma ação contra a Hungria junto do TJUE por violações dos direitos das pessoas LGBTIQ;</w:t>
      </w:r>
    </w:p>
    <w:p w14:paraId="04CCB2D3" w14:textId="77777777" w:rsidR="00012693" w:rsidRPr="00337D48" w:rsidRDefault="00012693" w:rsidP="00012693">
      <w:pPr>
        <w:pStyle w:val="NormalHanging12a"/>
      </w:pPr>
      <w:r w:rsidRPr="00337D48">
        <w:t>J.</w:t>
      </w:r>
      <w:r w:rsidRPr="00337D48">
        <w:tab/>
        <w:t>Considerando que a Letónia deverá juntar</w:t>
      </w:r>
      <w:r w:rsidRPr="00337D48">
        <w:noBreakHyphen/>
        <w:t>se ao subgrupo para a igualdade de tratamento das pessoas LGBTIQ, criado no âmbito do Grupo de Alto Nível sobre a Não Discriminação, Igualdade e Diversidade – enquanto último Estado</w:t>
      </w:r>
      <w:r w:rsidRPr="00337D48">
        <w:noBreakHyphen/>
        <w:t>Membro a fazê</w:t>
      </w:r>
      <w:r w:rsidRPr="00337D48">
        <w:noBreakHyphen/>
        <w:t xml:space="preserve">lo depois de o Chipre ter manifestado recentemente o seu interesse –, com o objetivo de reforçar a aplicação da estratégia para as pessoas LGBTIQ em todos os </w:t>
      </w:r>
      <w:r w:rsidRPr="00337D48">
        <w:lastRenderedPageBreak/>
        <w:t>Estados</w:t>
      </w:r>
      <w:r w:rsidRPr="00337D48">
        <w:noBreakHyphen/>
        <w:t xml:space="preserve">Membros; </w:t>
      </w:r>
    </w:p>
    <w:p w14:paraId="3BF4F6C5" w14:textId="77777777" w:rsidR="00012693" w:rsidRPr="00337D48" w:rsidRDefault="00012693" w:rsidP="00012693">
      <w:pPr>
        <w:pStyle w:val="NormalHanging12a"/>
      </w:pPr>
      <w:r w:rsidRPr="00337D48">
        <w:t>K.</w:t>
      </w:r>
      <w:r w:rsidRPr="00337D48">
        <w:tab/>
        <w:t>Considerando que o Parlamento condenou, nos termos mais veementes possíveis, leis, políticas e práticas discriminatórias contra as pessoas LGBTIQ+, como a «Lei contra a Homossexualidade» no Uganda;</w:t>
      </w:r>
    </w:p>
    <w:p w14:paraId="3FABC8E8" w14:textId="77777777" w:rsidR="00012693" w:rsidRPr="00337D48" w:rsidRDefault="00012693" w:rsidP="00012693">
      <w:pPr>
        <w:pStyle w:val="NormalHanging12a"/>
      </w:pPr>
      <w:r w:rsidRPr="00337D48">
        <w:t>L.</w:t>
      </w:r>
      <w:r w:rsidRPr="00337D48">
        <w:tab/>
        <w:t>Considerando que, em 30 de novembro de 2023, o Supremo Tribunal da Rússia proibiu o «movimento internacional LGBT», declarando</w:t>
      </w:r>
      <w:r w:rsidRPr="00337D48">
        <w:noBreakHyphen/>
        <w:t>o uma organização extremista</w:t>
      </w:r>
      <w:r w:rsidR="00453EE8" w:rsidRPr="00337D48">
        <w:t>; considerando que</w:t>
      </w:r>
      <w:r w:rsidRPr="00337D48">
        <w:t xml:space="preserve"> esta decisão constitui um ataque grave contra as pessoas LGBTIQ+ e os defensores dos direitos humanos na Rússia e terá um grave impacto na sua situação</w:t>
      </w:r>
      <w:r w:rsidR="00453EE8" w:rsidRPr="00337D48">
        <w:t>; considerando que</w:t>
      </w:r>
      <w:r w:rsidRPr="00337D48">
        <w:t xml:space="preserve"> as pessoas LGBTIQ+ na China sofreram um aumento do assédio e da censura, incluindo em linha;</w:t>
      </w:r>
    </w:p>
    <w:p w14:paraId="3C474CA4" w14:textId="77777777" w:rsidR="00012693" w:rsidRPr="00337D48" w:rsidRDefault="00012693" w:rsidP="00012693">
      <w:pPr>
        <w:pStyle w:val="NormalHanging12a"/>
      </w:pPr>
      <w:r w:rsidRPr="00337D48">
        <w:t>M.</w:t>
      </w:r>
      <w:r w:rsidRPr="00337D48">
        <w:tab/>
        <w:t>Considerando que a análise anual de 2023 da Associação Internacional de Lésbicas, Gay, Bissexuais, Transsexuais e Intersexuais (ILGA) da Europa registou os números mais elevados, em 12 anos, de atos de violência contra as pessoas LGBTIQ+;</w:t>
      </w:r>
    </w:p>
    <w:p w14:paraId="1653F9AF" w14:textId="77777777" w:rsidR="00012693" w:rsidRPr="00337D48" w:rsidRDefault="00012693" w:rsidP="00012693">
      <w:pPr>
        <w:pStyle w:val="NormalHanging12a"/>
      </w:pPr>
      <w:r w:rsidRPr="00337D48">
        <w:t>N.</w:t>
      </w:r>
      <w:r w:rsidRPr="00337D48">
        <w:tab/>
        <w:t>Considerando que o aumento da retórica contra os direitos, nomeadamente por políticos eleitos, contribuiu para criar um ambiente hostil às pessoas LGBTIQ+ e aquelas que defendem os direitos das pessoas LGBTIQ+;</w:t>
      </w:r>
    </w:p>
    <w:p w14:paraId="2E9E7AB4" w14:textId="77777777" w:rsidR="00012693" w:rsidRPr="00337D48" w:rsidRDefault="00012693" w:rsidP="00012693">
      <w:pPr>
        <w:pStyle w:val="NormalHanging12a"/>
      </w:pPr>
      <w:r w:rsidRPr="00337D48">
        <w:t>O.</w:t>
      </w:r>
      <w:r w:rsidRPr="00337D48">
        <w:tab/>
        <w:t>Considerando que a construção de sociedades seguras, livres e inclusivas para as pessoas LGBTIQ+ implica abordar manifestações múltiplas e interseccionais de discriminação, exclusão e violência;</w:t>
      </w:r>
    </w:p>
    <w:p w14:paraId="10D613D9" w14:textId="77777777" w:rsidR="00012693" w:rsidRPr="00337D48" w:rsidRDefault="00012693" w:rsidP="00012693">
      <w:pPr>
        <w:pStyle w:val="NormalHanging12a"/>
      </w:pPr>
      <w:r w:rsidRPr="00337D48">
        <w:t>P.</w:t>
      </w:r>
      <w:r w:rsidRPr="00337D48">
        <w:tab/>
        <w:t>Considerando que, em todo o mundo, as pessoas LGBTIQ+ são vítimas de discriminação e de violência;</w:t>
      </w:r>
    </w:p>
    <w:p w14:paraId="7FC4381B" w14:textId="77777777" w:rsidR="00012693" w:rsidRPr="00337D48" w:rsidRDefault="00012693" w:rsidP="00012693">
      <w:pPr>
        <w:pStyle w:val="NormalHanging12a"/>
      </w:pPr>
      <w:r w:rsidRPr="00337D48">
        <w:t>Q.</w:t>
      </w:r>
      <w:r w:rsidRPr="00337D48">
        <w:tab/>
        <w:t>Considerando que a União Europeia assumiu compromissos no sentido de promover e proteger os direitos das pessoas LGBTIQ+ em todo o mundo;</w:t>
      </w:r>
    </w:p>
    <w:p w14:paraId="25A96091" w14:textId="77777777" w:rsidR="00012693" w:rsidRPr="00337D48" w:rsidRDefault="00012693" w:rsidP="00012693">
      <w:pPr>
        <w:pStyle w:val="NormalHanging12a"/>
      </w:pPr>
      <w:r w:rsidRPr="00337D48">
        <w:t>R.</w:t>
      </w:r>
      <w:r w:rsidRPr="00337D48">
        <w:tab/>
        <w:t>Considerando que todas as formas e manifestações de ódio e intolerância, nomeadamente o discurso de ódio e os crimes de ódio, são incompatíveis com os valores da UE da dignidade humana, da liberdade, da democracia, da igualdade, do Estado de direito e do respeito pelos direitos humanos, consagrados no artigo 2.º do TUE;</w:t>
      </w:r>
    </w:p>
    <w:p w14:paraId="6DEA5EC8" w14:textId="77777777" w:rsidR="00012693" w:rsidRPr="00337D48" w:rsidRDefault="00012693" w:rsidP="00012693">
      <w:pPr>
        <w:pStyle w:val="NormalHanging12a"/>
      </w:pPr>
      <w:r w:rsidRPr="00337D48">
        <w:t>S.</w:t>
      </w:r>
      <w:r w:rsidRPr="00337D48">
        <w:tab/>
        <w:t>Considerando que as chamadas «práticas de conversão» podem assentar em diferentes métodos, como eletrochoques, a administração de hormonas ou ritos de exorcismo, que constituem práticas de tortura; e considerando que se estima que 2 % das pessoas LGBTIQ+ na UE foram realmente submetidas a práticas de conversão e que a conversão foi oferecida a 5 % destas pessoas, embora os números reais possam ser muito mais elevados;</w:t>
      </w:r>
    </w:p>
    <w:p w14:paraId="53432321" w14:textId="0606913E" w:rsidR="00D91976" w:rsidRPr="00337D48" w:rsidRDefault="00D91976" w:rsidP="00012693">
      <w:pPr>
        <w:pStyle w:val="NormalHanging12a"/>
      </w:pPr>
      <w:r w:rsidRPr="00337D48">
        <w:t>T.</w:t>
      </w:r>
      <w:r w:rsidRPr="00337D48">
        <w:tab/>
      </w:r>
      <w:r w:rsidR="00C17C7F" w:rsidRPr="00337D48">
        <w:t>Considerando que a iniciativa de cidadania europeia (ICE), intitulada «Proibição das práticas de conversão na União Europeia», foi apresentada à Comissão em 27 de novembro de 2023; considerando que a iniciativa insta a UE a agir para propor um ato jurídico vinculativo que proíba as práticas de conversão que visam os cidadãos LGBTIQ+ na União Europeia; considerando que a Comissão registou integralmente esta ICE em 21 de janeiro de 2024;</w:t>
      </w:r>
    </w:p>
    <w:p w14:paraId="51A78839" w14:textId="77777777" w:rsidR="00012693" w:rsidRPr="00337D48" w:rsidRDefault="00012693" w:rsidP="00012693">
      <w:pPr>
        <w:pStyle w:val="NormalHanging12a"/>
        <w:rPr>
          <w:b/>
          <w:i/>
        </w:rPr>
      </w:pPr>
      <w:r w:rsidRPr="00337D48">
        <w:rPr>
          <w:b/>
          <w:i/>
        </w:rPr>
        <w:t>Conclusões principais</w:t>
      </w:r>
    </w:p>
    <w:p w14:paraId="2321C761" w14:textId="77777777" w:rsidR="00012693" w:rsidRPr="00337D48" w:rsidRDefault="00012693" w:rsidP="00012693">
      <w:pPr>
        <w:pStyle w:val="NormalHanging12a"/>
      </w:pPr>
      <w:r w:rsidRPr="00337D48">
        <w:lastRenderedPageBreak/>
        <w:t>1.</w:t>
      </w:r>
      <w:r w:rsidRPr="00337D48">
        <w:tab/>
        <w:t>Congratula</w:t>
      </w:r>
      <w:r w:rsidRPr="00337D48">
        <w:noBreakHyphen/>
        <w:t>se com a estratégia da Comissão para a igualdade de tratamento das pessoas LGBTIQ 2020</w:t>
      </w:r>
      <w:r w:rsidRPr="00337D48">
        <w:noBreakHyphen/>
        <w:t>2025, adotada pela Comissão Europeia em 12 de novembro de 2020 (COM(2020)0698), assim como com o seu recente relatório intercalar sobre a execução da estratégia; regista o compromisso da Comissão Europeia no sentido de apoiar os Estados</w:t>
      </w:r>
      <w:r w:rsidRPr="00337D48">
        <w:noBreakHyphen/>
        <w:t>Membros na execução da estratégia e manifesta a sua profunda preocupação com as disparidades em termos de abertura à estratégia entre os Estados</w:t>
      </w:r>
      <w:r w:rsidRPr="00337D48">
        <w:noBreakHyphen/>
        <w:t>Membros; congratula</w:t>
      </w:r>
      <w:r w:rsidRPr="00337D48">
        <w:noBreakHyphen/>
        <w:t>se com os esforços envidados pela Comissão Europeia para promover a igualdade das pessoas LGBTIQ+ em todos os domínios incluídos na estratégia; lamenta que, até à data, determinadas ações</w:t>
      </w:r>
      <w:r w:rsidRPr="00337D48">
        <w:noBreakHyphen/>
        <w:t>chave inicialmente previstas pela Comissão não tenham sido executadas;</w:t>
      </w:r>
    </w:p>
    <w:p w14:paraId="61EA9174" w14:textId="77777777" w:rsidR="00012693" w:rsidRPr="00337D48" w:rsidRDefault="00012693" w:rsidP="00012693">
      <w:pPr>
        <w:pStyle w:val="NormalHanging12a"/>
      </w:pPr>
      <w:r w:rsidRPr="00337D48">
        <w:t>2.</w:t>
      </w:r>
      <w:r w:rsidRPr="00337D48">
        <w:tab/>
        <w:t>Reconhece os progressos registados na execução da estratégia para a igualdade de tratamento das pessoas LGBTIQ 2020</w:t>
      </w:r>
      <w:r w:rsidRPr="00337D48">
        <w:noBreakHyphen/>
        <w:t>2025, salientando ao mesmo tempo que a verdadeira igualdade para as pessoas LGBTIQ+ na UE ainda está longe da realidade atual; manifesta a sua preocupação relativamente à discriminação e à violência de que são vítimas as pessoas LGBTIQ+ na UE e às suas consequências no que toca ao pleno gozo de vidas livres e dignas;</w:t>
      </w:r>
    </w:p>
    <w:p w14:paraId="7EDAF856" w14:textId="77777777" w:rsidR="00012693" w:rsidRPr="00337D48" w:rsidRDefault="00012693" w:rsidP="00012693">
      <w:pPr>
        <w:pStyle w:val="NormalHanging12a"/>
      </w:pPr>
      <w:r w:rsidRPr="00337D48">
        <w:t>3.</w:t>
      </w:r>
      <w:r w:rsidRPr="00337D48">
        <w:tab/>
        <w:t>Lamenta que a diretiva horizontal de luta contra a discriminação esteja bloqueada no Conselho desde 2008; considera que qualquer atualização desta proposta por parte da Comissão tem de se basear na posição do Parlamento, abordar a discriminação interseccional e proibir explicitamente a discriminação com base em qualquer combinação dos motivos enumerados na Carta; lamenta que o Conselho tenha ignorado estes pedidos e insta o Conselho a integrá</w:t>
      </w:r>
      <w:r w:rsidRPr="00337D48">
        <w:noBreakHyphen/>
        <w:t>los no seu mandato e a adotar todas as medidas adequadas para combater a discriminação na UE;</w:t>
      </w:r>
    </w:p>
    <w:p w14:paraId="3175FC58" w14:textId="77777777" w:rsidR="00012693" w:rsidRPr="00337D48" w:rsidRDefault="00012693" w:rsidP="00012693">
      <w:pPr>
        <w:pStyle w:val="NormalHanging12a"/>
      </w:pPr>
      <w:r w:rsidRPr="00337D48">
        <w:t>4.</w:t>
      </w:r>
      <w:r w:rsidRPr="00337D48">
        <w:tab/>
        <w:t>Apela à inclusão de todos os motivos associados à orientação sexual, à identidade de género, à expressão de género e a características sexuais na legislação da UE contra a discriminação, com base numa interpretação ampla dos motivos associados à orientação sexual e ao sexo e no princípio da igualdade entre homens e mulheres consagrado nos Tratados; observa que tal garantirá a segurança jurídica e a abrangência da proteção das pessoas LGBTIQ+;</w:t>
      </w:r>
    </w:p>
    <w:p w14:paraId="165E949D" w14:textId="583042C3" w:rsidR="00012693" w:rsidRPr="00337D48" w:rsidRDefault="00012693" w:rsidP="00012693">
      <w:pPr>
        <w:pStyle w:val="NormalHanging12a"/>
      </w:pPr>
      <w:r w:rsidRPr="00337D48">
        <w:t>5.</w:t>
      </w:r>
      <w:r w:rsidRPr="00337D48">
        <w:tab/>
        <w:t>Sublinha que as pessoas LGBTIQ+ são desproporcionadamente afetadas pela situação de sem</w:t>
      </w:r>
      <w:r w:rsidRPr="00337D48">
        <w:noBreakHyphen/>
        <w:t>abrigo, pela pobreza e pela exclusão socioeconómica; manifesta preocupação com os efeitos da pandemia de COVID</w:t>
      </w:r>
      <w:r w:rsidRPr="00337D48">
        <w:noBreakHyphen/>
        <w:t>19</w:t>
      </w:r>
      <w:r w:rsidR="00991565" w:rsidRPr="00337D48">
        <w:t xml:space="preserve"> e</w:t>
      </w:r>
      <w:r w:rsidRPr="00337D48">
        <w:t xml:space="preserve"> do custo de vida e da crise da habitação na vida das pessoas LGBTIQ+; reitera que a habitação é um direito fundamental;</w:t>
      </w:r>
    </w:p>
    <w:p w14:paraId="4577F9F1" w14:textId="77777777" w:rsidR="00012693" w:rsidRPr="00337D48" w:rsidRDefault="00012693" w:rsidP="00012693">
      <w:pPr>
        <w:pStyle w:val="NormalHanging12a"/>
      </w:pPr>
      <w:r w:rsidRPr="00337D48">
        <w:t>6.</w:t>
      </w:r>
      <w:r w:rsidRPr="00337D48">
        <w:tab/>
        <w:t>Lamenta que, apesar da legislação de a UE proibir a discriminação com base na orientação sexual no emprego e na atividade profissional, as pessoas LGBTIQ+ continuem a enfrentar obstáculos no acesso ao trabalho, nomeadamente a empregos dignos; defende que os direitos LGBTIQ+ são direitos dos trabalhadores;</w:t>
      </w:r>
    </w:p>
    <w:p w14:paraId="26BC6127" w14:textId="7B8E5811" w:rsidR="00012693" w:rsidRPr="00337D48" w:rsidRDefault="00012693" w:rsidP="00012693">
      <w:pPr>
        <w:pStyle w:val="NormalHanging12a"/>
      </w:pPr>
      <w:r w:rsidRPr="00337D48">
        <w:t>7.</w:t>
      </w:r>
      <w:r w:rsidRPr="00337D48">
        <w:tab/>
      </w:r>
      <w:r w:rsidR="00991565" w:rsidRPr="00337D48">
        <w:t>Frisa que a discriminação em razão da orientação sexual, da identidade de género, da expressão de género e do sexo, reais ou aparentes, continua a ter um impacto significativo na saúde física, mental e sexual das pessoas LGBTIQ+ e no seu bem estar; lamenta que as pessoas LGBTIQ+ continuem a ser discriminadas no acesso aos cuidados de saúde; sublinha que o acesso aos cuidados de saúde deve ser oferecido enquanto serviço público universal, gratuito e acessível em tempo útil</w:t>
      </w:r>
      <w:r w:rsidRPr="00337D48">
        <w:t>;</w:t>
      </w:r>
    </w:p>
    <w:p w14:paraId="23E7DD67" w14:textId="77777777" w:rsidR="00012693" w:rsidRPr="00337D48" w:rsidRDefault="00012693" w:rsidP="00012693">
      <w:pPr>
        <w:pStyle w:val="NormalHanging12a"/>
      </w:pPr>
      <w:r w:rsidRPr="00337D48">
        <w:t>8.</w:t>
      </w:r>
      <w:r w:rsidRPr="00337D48">
        <w:tab/>
        <w:t>Salienta a necessidade de uma educação inclusiva e segura para as pessoas LGBTIQ+ em todos os Estados</w:t>
      </w:r>
      <w:r w:rsidRPr="00337D48">
        <w:noBreakHyphen/>
        <w:t xml:space="preserve">Membros, em especial para os jovens LGBTIQ+; </w:t>
      </w:r>
    </w:p>
    <w:p w14:paraId="11256FCB" w14:textId="77777777" w:rsidR="00012693" w:rsidRPr="00337D48" w:rsidRDefault="00012693" w:rsidP="00012693">
      <w:pPr>
        <w:pStyle w:val="NormalHanging12a"/>
      </w:pPr>
      <w:r w:rsidRPr="00337D48">
        <w:lastRenderedPageBreak/>
        <w:t>9.</w:t>
      </w:r>
      <w:r w:rsidRPr="00337D48">
        <w:tab/>
        <w:t>Deplora que as pessoas LGBTIQ+ continuem a ser discriminadas em alguns Estados</w:t>
      </w:r>
      <w:r w:rsidRPr="00337D48">
        <w:noBreakHyphen/>
        <w:t>Membros no que diz respeito ao acesso à proteção social, à segurança social, ao fornecimento de bens e a outros setores ou serviços;</w:t>
      </w:r>
    </w:p>
    <w:p w14:paraId="643E7B23" w14:textId="77777777" w:rsidR="00012693" w:rsidRPr="00337D48" w:rsidRDefault="00012693" w:rsidP="00012693">
      <w:pPr>
        <w:pStyle w:val="NormalHanging12a"/>
      </w:pPr>
      <w:r w:rsidRPr="00337D48">
        <w:t>10.</w:t>
      </w:r>
      <w:r w:rsidRPr="00337D48">
        <w:tab/>
        <w:t>Lamenta que as pessoas LGBTIQ+ de idade mais avançada sejam particularmente afetadas pela falta de direitos das pessoas LGBTIQ+, agravando ainda mais o sentimento de isolamento social e os obstáculos ao acesso a serviços essenciais; frisa que a população LGBTIQ+ idosa é frequentemente negligenciada na conceção de políticas e projetos públicos, incluindo os adaptados às pessoas LGBTIQ+; sublinha que a população LGBTIQ+ idosa é desproporcionadamente afetada pela pobreza e pela falta de acesso a uma habitação condigna e a redes de cuidados adequadas; realça que uma zona de liberdade europeia para as pessoas LGBTIQ não pode deixar ninguém para trás;</w:t>
      </w:r>
    </w:p>
    <w:p w14:paraId="4C06D6FD" w14:textId="77777777" w:rsidR="00012693" w:rsidRPr="00337D48" w:rsidRDefault="00012693" w:rsidP="00012693">
      <w:pPr>
        <w:pStyle w:val="NormalHanging12a"/>
      </w:pPr>
      <w:r w:rsidRPr="00337D48">
        <w:t>11.</w:t>
      </w:r>
      <w:r w:rsidRPr="00337D48">
        <w:tab/>
        <w:t>Salienta que os serviços de prestação de cuidados às pessoas LGBTIQ+ têm de assegurar sempre a dignidade, a independência, a autonomia, o bem</w:t>
      </w:r>
      <w:r w:rsidRPr="00337D48">
        <w:noBreakHyphen/>
        <w:t>estar e a participação na vida social das pessoas que os recebem, incluindo a possibilidade de prestação de cuidados domiciliários e de cuidados de proximidade;</w:t>
      </w:r>
    </w:p>
    <w:p w14:paraId="3D72899E" w14:textId="77777777" w:rsidR="00012693" w:rsidRPr="00337D48" w:rsidRDefault="00012693" w:rsidP="00012693">
      <w:pPr>
        <w:pStyle w:val="NormalHanging12a"/>
      </w:pPr>
      <w:r w:rsidRPr="00337D48">
        <w:t>12.</w:t>
      </w:r>
      <w:r w:rsidRPr="00337D48">
        <w:tab/>
        <w:t xml:space="preserve">Observa que, nas regiões rurais, periféricas e ultraperiféricas, as pessoas LGBTIQ+ enfrentam desafios e obstáculos específicos no acesso a serviços essenciais; </w:t>
      </w:r>
    </w:p>
    <w:p w14:paraId="6E1646D7" w14:textId="77777777" w:rsidR="00012693" w:rsidRPr="00337D48" w:rsidRDefault="00012693" w:rsidP="00012693">
      <w:pPr>
        <w:pStyle w:val="NormalHanging12a"/>
      </w:pPr>
      <w:r w:rsidRPr="00337D48">
        <w:t>13.</w:t>
      </w:r>
      <w:r w:rsidRPr="00337D48">
        <w:tab/>
        <w:t>Manifesta a sua profunda preocupação com as pessoas LGBTIQ+ que necessitam de exercer o seu direito de requerer asilo na União Europeia; manifesta preocupação pelo facto de as pessoas transexuais e intersexuais enfrentarem ainda mais obstáculos no processo de pedido de asilo; sublinha a importância de a situação das pessoas LGBTIQ+ ser tida em conta na conceção da política de asilo e de migração da União;</w:t>
      </w:r>
    </w:p>
    <w:p w14:paraId="67A89B24" w14:textId="77777777" w:rsidR="00012693" w:rsidRPr="00337D48" w:rsidRDefault="00012693" w:rsidP="00012693">
      <w:pPr>
        <w:pStyle w:val="NormalHanging12a"/>
      </w:pPr>
      <w:r w:rsidRPr="00337D48">
        <w:t>14.</w:t>
      </w:r>
      <w:r w:rsidRPr="00337D48">
        <w:tab/>
        <w:t>Manifesta a sua profunda preocupação relativamente o aumento do discurso de ódio, dos crimes de ódio e da violência contra as pessoas LGBTIQ +, nomeadamente nas plataformas em linha, onde tal pode conduzir a uma violação dos direitos à privacidade dos telespetadores de conteúdos LGBTIQ +; recorda a necessidade de políticas públicas preventivas e de proteção relativamente ao discurso de ódio motivado por preconceitos, aos crimes de ódio e à violência contra as pessoas LGBTIQ+; reconhece que existe uma baixa taxa de denúncia de casos de discurso de ódio e de crimes contra pessoas LGBTIQ+, devido à falta de confiança nas autoridades públicas para combater esses crimes;</w:t>
      </w:r>
    </w:p>
    <w:p w14:paraId="4A54A9CA" w14:textId="77777777" w:rsidR="00012693" w:rsidRPr="00337D48" w:rsidRDefault="00012693" w:rsidP="00012693">
      <w:pPr>
        <w:pStyle w:val="NormalHanging12a"/>
      </w:pPr>
      <w:r w:rsidRPr="00337D48">
        <w:t>15.</w:t>
      </w:r>
      <w:r w:rsidRPr="00337D48">
        <w:tab/>
        <w:t>Condena o facto de a ascensão das forças políticas de extrema</w:t>
      </w:r>
      <w:r w:rsidRPr="00337D48">
        <w:noBreakHyphen/>
        <w:t>direita ter suscitado um aumento da estigmatização, do assédio, da violência e da perseguição das pessoas LGBTIQ+ e das organizações e dos ativistas da sociedade civil que defendem as pessoas LGBTIQ+; condena o crescente ostracismo a que a comunidade LGBTIQ+ é sujeita e a designação nociva da promoção dos direitos LGBTIQ+ como uma «ideologia»;</w:t>
      </w:r>
    </w:p>
    <w:p w14:paraId="2D0291EF" w14:textId="77777777" w:rsidR="00012693" w:rsidRPr="00337D48" w:rsidRDefault="00012693" w:rsidP="00012693">
      <w:pPr>
        <w:pStyle w:val="NormalHanging12a"/>
      </w:pPr>
      <w:r w:rsidRPr="00337D48">
        <w:t>16.</w:t>
      </w:r>
      <w:r w:rsidRPr="00337D48">
        <w:tab/>
        <w:t>Frisa a necessidade de a UE abordar a situação das pessoas LGBTIQ+ nas negociações formais com os países candidatos e ajudar todos os países do alargamento, bem como os países da Parceria Oriental, a colmatarem lacunas legislativas e a garantirem os direitos fundamentais das pessoas LGBTIQ+;</w:t>
      </w:r>
    </w:p>
    <w:p w14:paraId="56A558B6" w14:textId="77777777" w:rsidR="00012693" w:rsidRPr="00337D48" w:rsidRDefault="00012693" w:rsidP="00012693">
      <w:pPr>
        <w:pStyle w:val="NormalHanging12a"/>
      </w:pPr>
      <w:r w:rsidRPr="00337D48">
        <w:t>17.</w:t>
      </w:r>
      <w:r w:rsidRPr="00337D48">
        <w:tab/>
        <w:t>Insiste em que a UE tem de adotar uma abordagem comum para o reconhecimento jurídico dos casamentos e das parcerias entre pessoas do mesmo sexo, bem como dos pais arco</w:t>
      </w:r>
      <w:r w:rsidRPr="00337D48">
        <w:noBreakHyphen/>
        <w:t xml:space="preserve">íris, incluindo os pais transexuais, assim como o reconhecimento jurídico do </w:t>
      </w:r>
      <w:r w:rsidRPr="00337D48">
        <w:lastRenderedPageBreak/>
        <w:t>género, a fim de assegurar a defesa do interesse superior das crianças, em conformidade com a jurisprudência do TJUE e do TEDH;</w:t>
      </w:r>
    </w:p>
    <w:p w14:paraId="2049249F" w14:textId="77777777" w:rsidR="00012693" w:rsidRPr="00337D48" w:rsidRDefault="00012693" w:rsidP="00012693">
      <w:pPr>
        <w:pStyle w:val="NormalHanging12a"/>
      </w:pPr>
      <w:r w:rsidRPr="00337D48">
        <w:t>18.</w:t>
      </w:r>
      <w:r w:rsidRPr="00337D48">
        <w:tab/>
        <w:t>Destaca os desafios enfrentados pelas pessoas transexuais, não binárias e intersexuais na UE, nomeadamente no que diz respeito ao seu estatuto socioeconómico e sociodemográfico; realça que a ausência de procedimentos de reconhecimento jurídico do género nos Estados</w:t>
      </w:r>
      <w:r w:rsidRPr="00337D48">
        <w:noBreakHyphen/>
        <w:t>Membros ou os obstáculos ao acesso aos referidos procedimentos violam os direitos e prejudicam as aspirações das pessoas transexuais, não binárias e intersexuais em toda a União;</w:t>
      </w:r>
    </w:p>
    <w:p w14:paraId="310EADD2" w14:textId="77777777" w:rsidR="00012693" w:rsidRPr="00337D48" w:rsidRDefault="00012693" w:rsidP="00012693">
      <w:pPr>
        <w:pStyle w:val="NormalHanging12a"/>
      </w:pPr>
      <w:r w:rsidRPr="00337D48">
        <w:t>19.</w:t>
      </w:r>
      <w:r w:rsidRPr="00337D48">
        <w:tab/>
        <w:t>Insiste em que as famílias arco</w:t>
      </w:r>
      <w:r w:rsidRPr="00337D48">
        <w:noBreakHyphen/>
        <w:t>íris têm o direito a circular livremente na UE e que as crianças de famílias arco</w:t>
      </w:r>
      <w:r w:rsidRPr="00337D48">
        <w:noBreakHyphen/>
        <w:t>íris não devem ser discriminadas na aquisição da cidadania da UE;</w:t>
      </w:r>
    </w:p>
    <w:p w14:paraId="1B2F24C3" w14:textId="77777777" w:rsidR="00012693" w:rsidRPr="00337D48" w:rsidRDefault="00012693" w:rsidP="00012693">
      <w:pPr>
        <w:pStyle w:val="NormalHanging12a"/>
      </w:pPr>
      <w:r w:rsidRPr="00337D48">
        <w:t>20.</w:t>
      </w:r>
      <w:r w:rsidRPr="00337D48">
        <w:tab/>
        <w:t xml:space="preserve">Manifesta a sua preocupação com o reconhecimento facial e a definição de perfis, que podem criar maiores riscos para as pessoas LGBTIQ+, em particular para as pessoas transexuais, não binárias e intersexuais; </w:t>
      </w:r>
    </w:p>
    <w:p w14:paraId="7AA20DA6" w14:textId="77777777" w:rsidR="00012693" w:rsidRPr="00337D48" w:rsidRDefault="00012693" w:rsidP="00012693">
      <w:pPr>
        <w:pStyle w:val="NormalHanging12a"/>
      </w:pPr>
      <w:r w:rsidRPr="00337D48">
        <w:t>21.</w:t>
      </w:r>
      <w:r w:rsidRPr="00337D48">
        <w:tab/>
        <w:t>Lamenta a falta de uma visão coerente do financiamento da UE para a igualdade de tratamento das pessoas LGBTIQ+ no âmbito dos diferentes programas de apoio à estratégia;</w:t>
      </w:r>
    </w:p>
    <w:p w14:paraId="35F29E14" w14:textId="77777777" w:rsidR="00012693" w:rsidRPr="00337D48" w:rsidRDefault="00012693" w:rsidP="00012693">
      <w:pPr>
        <w:pStyle w:val="NormalHanging12a"/>
      </w:pPr>
      <w:r w:rsidRPr="00337D48">
        <w:t>22.</w:t>
      </w:r>
      <w:r w:rsidRPr="00337D48">
        <w:tab/>
        <w:t>Salienta a urgência de a Comissão assegurar o acesso ao financiamento das organizações da sociedade civil (OSC) que trabalham em prol dos direitos humanos das pessoas LGBTIQ+ na União e em países terceiros; observa que o financiamento adequado e flexível das OSC que defendem os direitos das pessoas LGBTIQ+ é uma condição essencial para a proteção e a promoção dos direitos LGBTIQ+, na União Europeia e em países terceiros;</w:t>
      </w:r>
    </w:p>
    <w:p w14:paraId="37A73A03" w14:textId="77777777" w:rsidR="00012693" w:rsidRPr="00337D48" w:rsidRDefault="00012693" w:rsidP="00012693">
      <w:pPr>
        <w:pStyle w:val="NormalHanging12a"/>
      </w:pPr>
      <w:r w:rsidRPr="00337D48">
        <w:t>23.</w:t>
      </w:r>
      <w:r w:rsidRPr="00337D48">
        <w:tab/>
        <w:t>Congratula</w:t>
      </w:r>
      <w:r w:rsidRPr="00337D48">
        <w:noBreakHyphen/>
        <w:t>se com as iniciativas da UE destinadas a proteger os defensores dos direitos humanos das pessoas LGBTIQ+ e a facilitar o seu trabalho de defesa dos direitos fundamentais; salienta a necessidade de a UE continuar a combater a estigmatização, a intimidação e o assédio dos defensores dos direitos humanos das pessoas LGBTIQ+ em todo o mundo; regozija</w:t>
      </w:r>
      <w:r w:rsidRPr="00337D48">
        <w:noBreakHyphen/>
        <w:t>se com o apoio da Comissão aos ativistas LGBTIQ+ na Ucrânia, especialmente através da modalidade de «adjudicação direta» desde o início da invasão russa e da guerra de agressão contra a Ucrânia;</w:t>
      </w:r>
    </w:p>
    <w:p w14:paraId="25694947" w14:textId="77777777" w:rsidR="00012693" w:rsidRPr="00337D48" w:rsidRDefault="00012693" w:rsidP="00012693">
      <w:pPr>
        <w:pStyle w:val="NormalHanging12a"/>
      </w:pPr>
      <w:r w:rsidRPr="00337D48">
        <w:t>24.</w:t>
      </w:r>
      <w:r w:rsidRPr="00337D48">
        <w:tab/>
        <w:t>Recorda que a ajuda humanitária europeia deve ter em conta o género, a idade, a proteção e as pessoas LGBTIQ+, tendo simultaneamente em conta a interseccionalidade enquanto princípio transversal e estar em consonância com os princípios humanitários;</w:t>
      </w:r>
    </w:p>
    <w:p w14:paraId="532CE782" w14:textId="77777777" w:rsidR="00012693" w:rsidRPr="00337D48" w:rsidRDefault="00012693" w:rsidP="00012693">
      <w:pPr>
        <w:pStyle w:val="NormalHanging12a"/>
      </w:pPr>
      <w:r w:rsidRPr="00337D48">
        <w:t>25.</w:t>
      </w:r>
      <w:r w:rsidRPr="00337D48">
        <w:tab/>
        <w:t>Sublinha que a UE não deve deixar ninguém para trás na proteção dos direitos fundamentais;</w:t>
      </w:r>
    </w:p>
    <w:p w14:paraId="7CBA4156" w14:textId="77777777" w:rsidR="00012693" w:rsidRPr="00337D48" w:rsidRDefault="00012693" w:rsidP="00012693">
      <w:pPr>
        <w:pStyle w:val="NormalHanging12a"/>
      </w:pPr>
      <w:r w:rsidRPr="00337D48">
        <w:rPr>
          <w:b/>
          <w:i/>
        </w:rPr>
        <w:t>Recomendações</w:t>
      </w:r>
    </w:p>
    <w:p w14:paraId="10697BA7" w14:textId="77777777" w:rsidR="00012693" w:rsidRPr="00337D48" w:rsidRDefault="00012693" w:rsidP="00012693">
      <w:pPr>
        <w:pStyle w:val="NormalHanging12a"/>
      </w:pPr>
      <w:r w:rsidRPr="00337D48">
        <w:t>26.</w:t>
      </w:r>
      <w:r w:rsidRPr="00337D48">
        <w:tab/>
        <w:t>Insta a UE e os Estados</w:t>
      </w:r>
      <w:r w:rsidRPr="00337D48">
        <w:noBreakHyphen/>
        <w:t>Membros a assegurarem uma verdadeira integração dos direitos LGBTIQ+ em todas as políticas da UE; apela a políticas que abranjam os motivos de discriminação múltipla e interseccional que se podem basear, entre outros, na classe, idade, raça, religião, orientação sexual real ou aparente, identidade de género, expressão de género e em características sexuais ou na deficiência; solicita que as políticas tenham em conta os contextos particulares das regiões rurais, periféricas e ultraperiféricas;</w:t>
      </w:r>
    </w:p>
    <w:p w14:paraId="39B96F70" w14:textId="77777777" w:rsidR="00012693" w:rsidRPr="00337D48" w:rsidRDefault="00012693" w:rsidP="00012693">
      <w:pPr>
        <w:pStyle w:val="NormalHanging12a"/>
      </w:pPr>
      <w:r w:rsidRPr="00337D48">
        <w:lastRenderedPageBreak/>
        <w:t>27.</w:t>
      </w:r>
      <w:r w:rsidRPr="00337D48">
        <w:tab/>
        <w:t>Exorta a UE e os Estados</w:t>
      </w:r>
      <w:r w:rsidRPr="00337D48">
        <w:noBreakHyphen/>
        <w:t>Membros a incluírem os elementos SOGIESC nos motivos tidos em conta na legislação da UE contra a discriminação, em conformidade com o mandato do Parlamento sobre a proposta de diretiva relativa às normas aplicáveis aos organismos de promoção da igualdade</w:t>
      </w:r>
      <w:r w:rsidRPr="00337D48">
        <w:rPr>
          <w:rStyle w:val="FootnoteReference"/>
        </w:rPr>
        <w:footnoteReference w:id="9"/>
      </w:r>
      <w:r w:rsidRPr="00337D48">
        <w:t>;</w:t>
      </w:r>
    </w:p>
    <w:p w14:paraId="19F4F741" w14:textId="77777777" w:rsidR="00012693" w:rsidRPr="00337D48" w:rsidRDefault="00012693" w:rsidP="00012693">
      <w:pPr>
        <w:spacing w:after="240"/>
        <w:ind w:left="567" w:hanging="567"/>
      </w:pPr>
      <w:r w:rsidRPr="00337D48">
        <w:t>28.</w:t>
      </w:r>
      <w:r w:rsidRPr="00337D48">
        <w:tab/>
        <w:t>Insta a UE e os Estados</w:t>
      </w:r>
      <w:r w:rsidRPr="00337D48">
        <w:noBreakHyphen/>
        <w:t>Membros a implicarem as pessoas LGBTIQ+ na elaboração de políticas, designadamente na conceção e execução das políticas socioeconómicas, de habitação e de educação; exorta os Estados</w:t>
      </w:r>
      <w:r w:rsidRPr="00337D48">
        <w:noBreakHyphen/>
        <w:t>Membros a fazerem face à crise do custo de vida e da habitação, nomeadamente através da definição de medidas específicas para as pessoas LGBTIQ+;</w:t>
      </w:r>
    </w:p>
    <w:p w14:paraId="65BE2ABD" w14:textId="77777777" w:rsidR="00012693" w:rsidRPr="00337D48" w:rsidRDefault="00012693" w:rsidP="00012693">
      <w:pPr>
        <w:pStyle w:val="NormalHanging12a"/>
      </w:pPr>
      <w:r w:rsidRPr="00337D48">
        <w:t>29.</w:t>
      </w:r>
      <w:r w:rsidRPr="00337D48">
        <w:tab/>
        <w:t>Solicita aos Estados</w:t>
      </w:r>
      <w:r w:rsidRPr="00337D48">
        <w:noBreakHyphen/>
        <w:t>Membros que apliquem a diretiva relativa à igualdade de tratamento no emprego e na atividade profissional;</w:t>
      </w:r>
    </w:p>
    <w:p w14:paraId="4B7A825B" w14:textId="77777777" w:rsidR="00012693" w:rsidRPr="00337D48" w:rsidRDefault="00012693" w:rsidP="00012693">
      <w:pPr>
        <w:pStyle w:val="NormalHanging12a"/>
      </w:pPr>
      <w:r w:rsidRPr="00337D48">
        <w:t>30.</w:t>
      </w:r>
      <w:r w:rsidRPr="00337D48">
        <w:tab/>
        <w:t>Congratula</w:t>
      </w:r>
      <w:r w:rsidRPr="00337D48">
        <w:noBreakHyphen/>
        <w:t>se com a proposta da Comissão de um regulamento relativo à competência, à lei aplicável, ao reconhecimento das decisões e à aceitação de atos autênticos em matéria de filiação e à criação de um certificado europeu de filiação para proteger os direitos de todas as crianças, assegurando que os seus laços parentais, em particular no caso de homoparentalidade, estabelecidos num Estado</w:t>
      </w:r>
      <w:r w:rsidRPr="00337D48">
        <w:noBreakHyphen/>
        <w:t>Membro, sejam reconhecidos em todos os Estados</w:t>
      </w:r>
      <w:r w:rsidRPr="00337D48">
        <w:noBreakHyphen/>
        <w:t>Membros da UE; solicita à Comissão que explore o potencial de outras bases jurídicas dos Tratados, nomeadamente os artigos 19.º e 21.º do TFUE, a fim de assegurar que os casamentos, as parcerias, filiação e a vida familiar das pessoas LGBTIQ+ sejam plena e incondicionalmente reconhecidos por todos os Estados</w:t>
      </w:r>
      <w:r w:rsidRPr="00337D48">
        <w:noBreakHyphen/>
        <w:t xml:space="preserve">Membros, sem discriminação e sem obstáculos à livre circulação; </w:t>
      </w:r>
    </w:p>
    <w:p w14:paraId="35E7B3E7" w14:textId="77777777" w:rsidR="00012693" w:rsidRPr="00337D48" w:rsidRDefault="00012693" w:rsidP="00012693">
      <w:pPr>
        <w:pStyle w:val="NormalHanging12a"/>
      </w:pPr>
      <w:r w:rsidRPr="00337D48">
        <w:t>31.</w:t>
      </w:r>
      <w:r w:rsidRPr="00337D48">
        <w:tab/>
        <w:t>Congratula</w:t>
      </w:r>
      <w:r w:rsidRPr="00337D48">
        <w:noBreakHyphen/>
        <w:t>se com a decisão da Comissão, de 15 de julho de 2021, de intentar ações judiciais contra Estados</w:t>
      </w:r>
      <w:r w:rsidRPr="00337D48">
        <w:noBreakHyphen/>
        <w:t>Membros por violações dos direitos fundamentais das pessoas LGBTIQ+; exorta a Comissão a acompanhar de perto a aplicação do direito da UE nos Estados</w:t>
      </w:r>
      <w:r w:rsidRPr="00337D48">
        <w:noBreakHyphen/>
        <w:t xml:space="preserve">Membros e a instaurar processos por infração nos casos em que os direitos fundamentais das pessoas LGBTIQ+ tenham sido violados, fundamentando a sua ação base no artigo 2.º do TUE, na Carta dos Direitos Fundamentais ou no direito derivado, se for caso disso; insta a Comissão a recorrer sistematicamente a procedimentos acelerados e a pedidos de medidas provisórias perante o TJUE; </w:t>
      </w:r>
    </w:p>
    <w:p w14:paraId="14ED6C67" w14:textId="77777777" w:rsidR="00012693" w:rsidRPr="00337D48" w:rsidRDefault="00012693" w:rsidP="00012693">
      <w:pPr>
        <w:pStyle w:val="NormalHanging12a"/>
      </w:pPr>
      <w:r w:rsidRPr="00337D48">
        <w:t>32.</w:t>
      </w:r>
      <w:r w:rsidRPr="00337D48">
        <w:tab/>
        <w:t>Solicita à Comissão que assegure que os Estados</w:t>
      </w:r>
      <w:r w:rsidRPr="00337D48">
        <w:noBreakHyphen/>
        <w:t>Membros respeitem os acórdãos do TJUE e do TEDH, abordando os casos de incumprimento recorrendo às ações previstas no artigo 260.º, n.º 2, do TFUE, e no Regulamento relativo à condicionalidade do Estado de direito, em particular no que respeita a pessoas LGBTIQ+ e a famílias arco</w:t>
      </w:r>
      <w:r w:rsidRPr="00337D48">
        <w:noBreakHyphen/>
        <w:t>íris que atravessam as fronteiras na UE;</w:t>
      </w:r>
    </w:p>
    <w:p w14:paraId="736469D5" w14:textId="77777777" w:rsidR="00012693" w:rsidRPr="00337D48" w:rsidRDefault="00012693" w:rsidP="00012693">
      <w:pPr>
        <w:pStyle w:val="NormalHanging12a"/>
      </w:pPr>
      <w:r w:rsidRPr="00337D48">
        <w:t>33.</w:t>
      </w:r>
      <w:r w:rsidRPr="00337D48">
        <w:tab/>
        <w:t>Insta todos os Estados</w:t>
      </w:r>
      <w:r w:rsidRPr="00337D48">
        <w:noBreakHyphen/>
        <w:t>Membros a respeitarem as orientações para as estratégias e os planos de ação para reforçar a igualdade das pessoas LGBTIQ</w:t>
      </w:r>
      <w:r w:rsidRPr="00337D48">
        <w:rPr>
          <w:rStyle w:val="FootnoteReference"/>
        </w:rPr>
        <w:footnoteReference w:id="10"/>
      </w:r>
      <w:r w:rsidRPr="00337D48">
        <w:t xml:space="preserve">, tal como elaboradas </w:t>
      </w:r>
      <w:r w:rsidRPr="00337D48">
        <w:lastRenderedPageBreak/>
        <w:t>pelo subgrupo para a igualdade de tratamento das pessoas LGBTIQ;</w:t>
      </w:r>
    </w:p>
    <w:p w14:paraId="6E3CF5FB" w14:textId="77777777" w:rsidR="00012693" w:rsidRPr="00337D48" w:rsidRDefault="00012693" w:rsidP="00012693">
      <w:pPr>
        <w:pStyle w:val="NormalHanging12a"/>
      </w:pPr>
      <w:r w:rsidRPr="00337D48">
        <w:t>34.</w:t>
      </w:r>
      <w:r w:rsidRPr="00337D48">
        <w:tab/>
        <w:t>Solicita aos Estados</w:t>
      </w:r>
      <w:r w:rsidRPr="00337D48">
        <w:noBreakHyphen/>
        <w:t>Membros que alarguem a cobertura de todos os serviços de saúde, permitindo que as pessoas LGBTIQ+ procurem cuidados específicos, incluindo no domínio da saúde e das tecnologias sexuais e reprodutivas; insta a Comissão e os Estados</w:t>
      </w:r>
      <w:r w:rsidRPr="00337D48">
        <w:noBreakHyphen/>
        <w:t>Membros a adotarem medidas para combater a discriminação das pessoas LGBTIQ+ no setor da saúde;</w:t>
      </w:r>
    </w:p>
    <w:p w14:paraId="33B583B6" w14:textId="77777777" w:rsidR="00012693" w:rsidRPr="00337D48" w:rsidRDefault="00012693" w:rsidP="00012693">
      <w:pPr>
        <w:pStyle w:val="NormalHanging12a"/>
        <w:rPr>
          <w:rFonts w:eastAsiaTheme="minorHAnsi"/>
        </w:rPr>
      </w:pPr>
      <w:r w:rsidRPr="00337D48">
        <w:t>35.</w:t>
      </w:r>
      <w:r w:rsidRPr="00337D48">
        <w:tab/>
        <w:t>Exorta os Estados</w:t>
      </w:r>
      <w:r w:rsidRPr="00337D48">
        <w:noBreakHyphen/>
        <w:t>Membros a proporcionarem maior financiamento para a prestação de serviços às vítimas de violência baseada no género e a apoiarem as vítimas LGBTIQ+, em particular as mulheres LGBTIQ+, na resposta às suas necessidades e experiências específicas;</w:t>
      </w:r>
    </w:p>
    <w:p w14:paraId="558ABBC0" w14:textId="77777777" w:rsidR="00012693" w:rsidRPr="00337D48" w:rsidRDefault="00012693" w:rsidP="00012693">
      <w:pPr>
        <w:pStyle w:val="NormalHanging12a"/>
      </w:pPr>
      <w:r w:rsidRPr="00337D48">
        <w:t>36.</w:t>
      </w:r>
      <w:r w:rsidRPr="00337D48">
        <w:tab/>
        <w:t>Recorda a necessidade de assegurar que as tecnologias de reconhecimento facial e de definição de perfis sejam norteadas pelos princípios da transparência, explicabilidade, equidade e responsabilização, a fim de fazer face aos preconceitos e riscos criados para as pessoas LGBTIQ+;</w:t>
      </w:r>
    </w:p>
    <w:p w14:paraId="46519E66" w14:textId="77777777" w:rsidR="00012693" w:rsidRPr="00337D48" w:rsidRDefault="00012693" w:rsidP="00012693">
      <w:pPr>
        <w:pStyle w:val="NormalHanging12a"/>
      </w:pPr>
      <w:r w:rsidRPr="00337D48">
        <w:t>37.</w:t>
      </w:r>
      <w:r w:rsidRPr="00337D48">
        <w:tab/>
        <w:t>Insta a UE a conceder acesso ao asilo às pessoas LGBTIQ+, incluindo as provenientes dos países terceiros classificados como países seguros;</w:t>
      </w:r>
    </w:p>
    <w:p w14:paraId="44368D3D" w14:textId="77777777" w:rsidR="00012693" w:rsidRPr="00337D48" w:rsidRDefault="00012693" w:rsidP="00012693">
      <w:pPr>
        <w:pStyle w:val="NormalHanging12a"/>
      </w:pPr>
      <w:r w:rsidRPr="00337D48">
        <w:t>38.</w:t>
      </w:r>
      <w:r w:rsidRPr="00337D48">
        <w:tab/>
        <w:t xml:space="preserve">Insta a Comissão a assegurar o apoio à igualdade de tratamento das pessoas LGBTIQ+ em ações integradas no âmbito do Fundo para o Asilo, a Migração e a Integração, tal como anunciado na Estratégia para a igualdade de tratamento das pessoas LBGTIQ </w:t>
      </w:r>
      <w:r w:rsidR="005E4915" w:rsidRPr="00337D48">
        <w:t>2020-</w:t>
      </w:r>
      <w:r w:rsidRPr="00337D48">
        <w:t>2025, e a incluir esse apoio no Programa de Trabalho para 2023</w:t>
      </w:r>
      <w:r w:rsidRPr="00337D48">
        <w:noBreakHyphen/>
        <w:t>2025;</w:t>
      </w:r>
    </w:p>
    <w:p w14:paraId="7BD5435C" w14:textId="77777777" w:rsidR="00012693" w:rsidRPr="00337D48" w:rsidRDefault="00012693" w:rsidP="00012693">
      <w:pPr>
        <w:pStyle w:val="NormalHanging12a"/>
      </w:pPr>
      <w:r w:rsidRPr="00337D48">
        <w:t>39.</w:t>
      </w:r>
      <w:r w:rsidRPr="00337D48">
        <w:tab/>
        <w:t>Insta a Agência da União Europeia para o Asilo (EUAA) a finalizar rapidamente as suas orientações práticas sobre os requerentes com SOGIESC e a que os Estados</w:t>
      </w:r>
      <w:r w:rsidRPr="00337D48">
        <w:noBreakHyphen/>
        <w:t>Membros respeitem essas orientações;</w:t>
      </w:r>
    </w:p>
    <w:p w14:paraId="3F861755" w14:textId="77777777" w:rsidR="00012693" w:rsidRPr="00337D48" w:rsidRDefault="00012693" w:rsidP="00012693">
      <w:pPr>
        <w:pStyle w:val="NormalHanging12a"/>
      </w:pPr>
      <w:r w:rsidRPr="00337D48">
        <w:t>40.</w:t>
      </w:r>
      <w:r w:rsidRPr="00337D48">
        <w:tab/>
        <w:t>Exorta a Comissão a acompanhar os impactos e a financiar as organizações da sociedade civil e projetos académicos que investigam o movimento anti</w:t>
      </w:r>
      <w:r w:rsidRPr="00337D48">
        <w:noBreakHyphen/>
        <w:t>género, a fim de o abordar de forma mais eficaz;</w:t>
      </w:r>
    </w:p>
    <w:p w14:paraId="1639FBE9" w14:textId="77777777" w:rsidR="00012693" w:rsidRPr="00337D48" w:rsidRDefault="00012693" w:rsidP="00012693">
      <w:pPr>
        <w:pStyle w:val="NormalHanging12a"/>
      </w:pPr>
      <w:r w:rsidRPr="00337D48">
        <w:t>41.</w:t>
      </w:r>
      <w:r w:rsidRPr="00337D48">
        <w:tab/>
        <w:t>Insta a Comissão e os Estados</w:t>
      </w:r>
      <w:r w:rsidRPr="00337D48">
        <w:noBreakHyphen/>
        <w:t>Membros a basearem</w:t>
      </w:r>
      <w:r w:rsidRPr="00337D48">
        <w:noBreakHyphen/>
        <w:t>se nos conhecimentos empíricos e sistemáticos adquiridos pelas organizações da sociedade civil e pelos investigadores académicos aquando da conceção de políticas e programas de apoio às pessoas LGBTIQ+ na Europa e em todo o mundo;</w:t>
      </w:r>
    </w:p>
    <w:p w14:paraId="4981DFED" w14:textId="77777777" w:rsidR="00012693" w:rsidRPr="00337D48" w:rsidRDefault="00012693" w:rsidP="00012693">
      <w:pPr>
        <w:pStyle w:val="NormalHanging12a"/>
      </w:pPr>
      <w:r w:rsidRPr="00337D48">
        <w:t>42.</w:t>
      </w:r>
      <w:r w:rsidRPr="00337D48">
        <w:tab/>
        <w:t>Exorta a União e os Estados</w:t>
      </w:r>
      <w:r w:rsidRPr="00337D48">
        <w:noBreakHyphen/>
        <w:t>Membros a reconhecerem a orientação sexual real ou aparente, a identidade de género, a expressão de género e as características sexuais, como fontes de preconceito; solicita à Comissão e aos Estados</w:t>
      </w:r>
      <w:r w:rsidRPr="00337D48">
        <w:noBreakHyphen/>
        <w:t>Membros que combatam o discurso de ódio, os crimes de ódio e a violência motivados pelo preconceito relacionado com elementos SOGIESC, incluindo em linha; congratula</w:t>
      </w:r>
      <w:r w:rsidRPr="00337D48">
        <w:noBreakHyphen/>
        <w:t>se com a iniciativa da Comissão de alargar a lista de crimes da UE constante do artigo 83.º, n.º 1, do TFUE ao discurso de ódio e aos crimes de ódio, o que permitiria estabelecer regras mínimas relativas à definição de infrações penais e sanções aplicáveis em todos os Estados</w:t>
      </w:r>
      <w:r w:rsidRPr="00337D48">
        <w:noBreakHyphen/>
        <w:t xml:space="preserve">Membros da UE; salienta a necessidade de assegurar uma resposta vigorosa do direito penal da UE ao discurso de ódio e aos crimes de ódio; lamenta profundamente que tenham decorrido quase dois anos desde a publicação da comunicação da Comissão e que o Conselho não tenha realizado progressos nesta matéria, embora tenha conseguido alargar com rapidez a lista de crimes da UE para outros fins; deplora esta </w:t>
      </w:r>
      <w:r w:rsidRPr="00337D48">
        <w:lastRenderedPageBreak/>
        <w:t>inércia perante o aumento do discurso de ódio e dos crimes de ódio; reitera o seu apelo ao Conselho para que trabalhe diligentemente rumo a um consenso, para que a Comissão possa dar início à segunda fase do procedimento;</w:t>
      </w:r>
    </w:p>
    <w:p w14:paraId="16786F7A" w14:textId="77777777" w:rsidR="00012693" w:rsidRPr="00337D48" w:rsidRDefault="00012693" w:rsidP="00012693">
      <w:pPr>
        <w:pStyle w:val="NormalHanging12a"/>
        <w:rPr>
          <w:rFonts w:eastAsiaTheme="minorHAnsi"/>
        </w:rPr>
      </w:pPr>
      <w:r w:rsidRPr="00337D48">
        <w:t>43.</w:t>
      </w:r>
      <w:r w:rsidRPr="00337D48">
        <w:tab/>
        <w:t>Exorta a Comissão a levar a cabo um programa de trabalho para reforçar a sensibilização e incentivar a denúncia de crimes de ódio motivados pelo preconceito relacionado com elementos SOGIESC; exorta a Comissão e os Estados</w:t>
      </w:r>
      <w:r w:rsidRPr="00337D48">
        <w:noBreakHyphen/>
        <w:t>Membros a assegurarem que os agentes das forças policiais e judiciais recebam formação sobre questões LGBTIQ+, a fim de melhor apoiar as pessoas LGBTIQ+ e de investigar e julgar adequadamente os casos de crimes de ódio.</w:t>
      </w:r>
    </w:p>
    <w:p w14:paraId="25594FC6" w14:textId="77777777" w:rsidR="00012693" w:rsidRPr="00337D48" w:rsidRDefault="00012693" w:rsidP="00012693">
      <w:pPr>
        <w:pStyle w:val="NormalHanging12a"/>
      </w:pPr>
      <w:r w:rsidRPr="00337D48">
        <w:t>44.</w:t>
      </w:r>
      <w:r w:rsidRPr="00337D48">
        <w:tab/>
        <w:t>Insta a Comissão a estudar o quadro jurídico da UE e as possíveis vias que podem ser seguidas para combater e proibir as práticas de conversão a nível da UE e a incentivar os Estados</w:t>
      </w:r>
      <w:r w:rsidRPr="00337D48">
        <w:noBreakHyphen/>
        <w:t>Membros a proibirem as «práticas de conversão» com base nos SOGIESC;</w:t>
      </w:r>
    </w:p>
    <w:p w14:paraId="6E561819" w14:textId="77777777" w:rsidR="00D91976" w:rsidRPr="00337D48" w:rsidRDefault="00D91976" w:rsidP="00012693">
      <w:pPr>
        <w:pStyle w:val="NormalHanging12a"/>
      </w:pPr>
      <w:r w:rsidRPr="00337D48">
        <w:t>45.</w:t>
      </w:r>
      <w:r w:rsidRPr="00337D48">
        <w:tab/>
        <w:t>Congratula-se, como primeiro passo, com o registo formal pela Comissão da ICE intitulada «Proibição de práticas de conversão na União Europeia», uma vez que tal constitui um reconhecimento dos fundamentos jurídicos, a nível europeu, para agir nesta matéria; manifesta o seu apoio a esta ICE; insta a Comissão a dar seguimento à iniciativa e a propor atos jurídicos com base nos Tratados e no Regulamento ICE</w:t>
      </w:r>
      <w:r w:rsidRPr="00337D48">
        <w:rPr>
          <w:rStyle w:val="FootnoteReference"/>
        </w:rPr>
        <w:footnoteReference w:id="11"/>
      </w:r>
      <w:r w:rsidRPr="00337D48">
        <w:t>;</w:t>
      </w:r>
    </w:p>
    <w:p w14:paraId="77E7679F" w14:textId="12D5BFC0" w:rsidR="00012693" w:rsidRPr="00337D48" w:rsidRDefault="00706137" w:rsidP="00012693">
      <w:pPr>
        <w:pStyle w:val="NormalHanging12a"/>
      </w:pPr>
      <w:r w:rsidRPr="00337D48">
        <w:t>46</w:t>
      </w:r>
      <w:r w:rsidR="00012693" w:rsidRPr="00337D48">
        <w:t>.</w:t>
      </w:r>
      <w:r w:rsidR="00012693" w:rsidRPr="00337D48">
        <w:tab/>
        <w:t>Apela à proibição da mutilação genital, em particular da mutilação genital intersexual e da mutilação genital feminina;</w:t>
      </w:r>
    </w:p>
    <w:p w14:paraId="037F3860" w14:textId="2D29D123" w:rsidR="00012693" w:rsidRPr="00337D48" w:rsidRDefault="00706137" w:rsidP="00012693">
      <w:pPr>
        <w:pStyle w:val="NormalHanging12a"/>
      </w:pPr>
      <w:r w:rsidRPr="00337D48">
        <w:t>47</w:t>
      </w:r>
      <w:r w:rsidR="00012693" w:rsidRPr="00337D48">
        <w:t>.</w:t>
      </w:r>
      <w:r w:rsidR="00012693" w:rsidRPr="00337D48">
        <w:tab/>
        <w:t>Insta os Estados</w:t>
      </w:r>
      <w:r w:rsidR="00012693" w:rsidRPr="00337D48">
        <w:noBreakHyphen/>
        <w:t>Membros a prosseguirem o intercâmbio de boas práticas em matéria de salvaguarda dos direitos fundamentais das crianças intersexuais;</w:t>
      </w:r>
    </w:p>
    <w:p w14:paraId="42A266DC" w14:textId="384901E2" w:rsidR="00012693" w:rsidRPr="00337D48" w:rsidRDefault="00706137" w:rsidP="00012693">
      <w:pPr>
        <w:pStyle w:val="NormalHanging12a"/>
      </w:pPr>
      <w:r w:rsidRPr="00337D48">
        <w:t>48</w:t>
      </w:r>
      <w:r w:rsidR="00012693" w:rsidRPr="00337D48">
        <w:t>.</w:t>
      </w:r>
      <w:r w:rsidR="00012693" w:rsidRPr="00337D48">
        <w:tab/>
        <w:t>Apela à proibição dos abortos forçados e das esterilizações forçadas; sublinha a importância do direito à autodeterminação, da autonomia e da saúde física e mental das pessoas LGBTIQ+; sublinha que a posição do Parlamento sobre a proposta de diretiva relativa ao combate à violência contra as mulheres e à violência doméstica inclui acrescentar a mutilação genital feminina, a mutilação genital intersexo e a esterilização forçada à lista de crimes da UE;</w:t>
      </w:r>
    </w:p>
    <w:p w14:paraId="6B50D14C" w14:textId="63DA1098" w:rsidR="00012693" w:rsidRPr="00337D48" w:rsidRDefault="00706137" w:rsidP="00012693">
      <w:pPr>
        <w:pStyle w:val="NormalHanging12a"/>
      </w:pPr>
      <w:r w:rsidRPr="00337D48">
        <w:t>49</w:t>
      </w:r>
      <w:r w:rsidR="00012693" w:rsidRPr="00337D48">
        <w:t>.</w:t>
      </w:r>
      <w:r w:rsidR="00012693" w:rsidRPr="00337D48">
        <w:tab/>
        <w:t>Exorta os Estados</w:t>
      </w:r>
      <w:r w:rsidR="00012693" w:rsidRPr="00337D48">
        <w:noBreakHyphen/>
        <w:t xml:space="preserve">Membros a reconhecerem o casamento e a parentalidade de casais do mesmo género para efeitos do exercício dos direitos decorrentes do direito da UE, tal como exigido pelo TJUE; </w:t>
      </w:r>
    </w:p>
    <w:p w14:paraId="167A4679" w14:textId="3FBB7AB9" w:rsidR="00012693" w:rsidRPr="00337D48" w:rsidRDefault="00706137" w:rsidP="00012693">
      <w:pPr>
        <w:pStyle w:val="NormalHanging12a"/>
      </w:pPr>
      <w:r w:rsidRPr="00337D48">
        <w:t>50</w:t>
      </w:r>
      <w:r w:rsidR="00012693" w:rsidRPr="00337D48">
        <w:t>.</w:t>
      </w:r>
      <w:r w:rsidR="00012693" w:rsidRPr="00337D48">
        <w:tab/>
        <w:t>Insta os Estados</w:t>
      </w:r>
      <w:r w:rsidR="00012693" w:rsidRPr="00337D48">
        <w:noBreakHyphen/>
        <w:t>Membros a criarem legislação e procedimentos legais acessíveis em matéria de reconhecimento do género, com o apoio da Comissão;</w:t>
      </w:r>
    </w:p>
    <w:p w14:paraId="6BEE5F27" w14:textId="165FED71" w:rsidR="00012693" w:rsidRPr="00337D48" w:rsidRDefault="00706137" w:rsidP="00012693">
      <w:pPr>
        <w:pStyle w:val="NormalHanging12a"/>
      </w:pPr>
      <w:r w:rsidRPr="00337D48">
        <w:t>51</w:t>
      </w:r>
      <w:r w:rsidR="00012693" w:rsidRPr="00337D48">
        <w:t>.</w:t>
      </w:r>
      <w:r w:rsidR="00012693" w:rsidRPr="00337D48">
        <w:tab/>
        <w:t>Exorta a Comissão e os Estados</w:t>
      </w:r>
      <w:r w:rsidR="00012693" w:rsidRPr="00337D48">
        <w:noBreakHyphen/>
        <w:t>Membros a promoverem ambientes seguros e inclusivos na educação, na cultura, no desporto e noutros setores;</w:t>
      </w:r>
    </w:p>
    <w:p w14:paraId="32C55B26" w14:textId="7924C08B" w:rsidR="00012693" w:rsidRPr="00337D48" w:rsidRDefault="00706137" w:rsidP="00012693">
      <w:pPr>
        <w:pStyle w:val="NormalHanging12a"/>
      </w:pPr>
      <w:r w:rsidRPr="00337D48">
        <w:t>52</w:t>
      </w:r>
      <w:r w:rsidR="00012693" w:rsidRPr="00337D48">
        <w:t>.</w:t>
      </w:r>
      <w:r w:rsidR="00012693" w:rsidRPr="00337D48">
        <w:tab/>
        <w:t>Insta os Estados</w:t>
      </w:r>
      <w:r w:rsidR="00012693" w:rsidRPr="00337D48">
        <w:noBreakHyphen/>
        <w:t>Membros a tomarem medidas adicionais para garantir a igualdade de direitos das pessoas LGBTIQ+ com deficiência, através de proteções explícitas contra a discriminação com base na orientação sexual e na identidade de género, necessárias em todos os domínios da vida, incluindo o emprego, a habitação, a educação, os alojamentos públicos e o crédito;</w:t>
      </w:r>
    </w:p>
    <w:p w14:paraId="58467D92" w14:textId="11FB930E" w:rsidR="00012693" w:rsidRPr="00337D48" w:rsidRDefault="00706137" w:rsidP="00012693">
      <w:pPr>
        <w:pStyle w:val="NormalHanging12a"/>
      </w:pPr>
      <w:r w:rsidRPr="00337D48">
        <w:lastRenderedPageBreak/>
        <w:t>53</w:t>
      </w:r>
      <w:r w:rsidR="00012693" w:rsidRPr="00337D48">
        <w:t>.</w:t>
      </w:r>
      <w:r w:rsidR="00012693" w:rsidRPr="00337D48">
        <w:tab/>
        <w:t>Exorta os Estados</w:t>
      </w:r>
      <w:r w:rsidR="00012693" w:rsidRPr="00337D48">
        <w:noBreakHyphen/>
        <w:t xml:space="preserve">Membros a aplicarem as recomendações do Conselho sobre percursos para o sucesso escolar e, em especial, a incluírem medidas contra a discriminação das pessoas LGBTIQ+, nomeadamente dos jovens LGBTIQ+, a fim de garantir uma educação segura e inclusiva; </w:t>
      </w:r>
    </w:p>
    <w:p w14:paraId="234C2FCB" w14:textId="7B452B9E" w:rsidR="00012693" w:rsidRPr="00337D48" w:rsidRDefault="00706137" w:rsidP="00012693">
      <w:pPr>
        <w:pStyle w:val="NormalHanging12a"/>
      </w:pPr>
      <w:r w:rsidRPr="00337D48">
        <w:t>54</w:t>
      </w:r>
      <w:r w:rsidR="00012693" w:rsidRPr="00337D48">
        <w:t>.</w:t>
      </w:r>
      <w:r w:rsidR="00012693" w:rsidRPr="00337D48">
        <w:tab/>
        <w:t>Insta a Comissão e os Estados</w:t>
      </w:r>
      <w:r w:rsidR="00012693" w:rsidRPr="00337D48">
        <w:noBreakHyphen/>
        <w:t xml:space="preserve">Membros a intensificarem as medidas destinadas a lutar contra a intimidação e o assédio de crianças e jovens LGBTIQ+ nas escolas e a sensibilizarem para estes casos; sublinha que estas situações contribuem para a exclusão social; </w:t>
      </w:r>
    </w:p>
    <w:p w14:paraId="3CD24BD9" w14:textId="27A73AB2" w:rsidR="00012693" w:rsidRPr="00337D48" w:rsidRDefault="00706137" w:rsidP="00012693">
      <w:pPr>
        <w:pStyle w:val="NormalHanging12a"/>
      </w:pPr>
      <w:r w:rsidRPr="00337D48">
        <w:t>55</w:t>
      </w:r>
      <w:r w:rsidR="00012693" w:rsidRPr="00337D48">
        <w:t>.</w:t>
      </w:r>
      <w:r w:rsidR="00012693" w:rsidRPr="00337D48">
        <w:tab/>
        <w:t>Exorta a Comissão a alargar o financiamento do programa Erasmus+ no âmbito do tema «Promover a igualdade de tratamento das pessoas LGBT+» através de esforços de comunicação ativa, em cooperação com as autoridades nacionais;</w:t>
      </w:r>
    </w:p>
    <w:p w14:paraId="6AB49A26" w14:textId="55838086" w:rsidR="00012693" w:rsidRPr="00337D48" w:rsidRDefault="00706137" w:rsidP="00012693">
      <w:pPr>
        <w:pStyle w:val="NormalHanging12a"/>
      </w:pPr>
      <w:r w:rsidRPr="00337D48">
        <w:t>56</w:t>
      </w:r>
      <w:r w:rsidR="00012693" w:rsidRPr="00337D48">
        <w:t>.</w:t>
      </w:r>
      <w:r w:rsidR="00012693" w:rsidRPr="00337D48">
        <w:tab/>
        <w:t>Insta a UE a dar o exemplo e a assumir um papel de liderança na promoção dos direitos LGBTIQ+ em todo o mundo, em consonância com as suas orientações em matéria de direitos humanos sobre a não discriminação na ação externa;</w:t>
      </w:r>
    </w:p>
    <w:p w14:paraId="2D8A873C" w14:textId="30E687EC" w:rsidR="00012693" w:rsidRPr="00337D48" w:rsidRDefault="00706137" w:rsidP="00012693">
      <w:pPr>
        <w:pStyle w:val="NormalHanging12a"/>
      </w:pPr>
      <w:r w:rsidRPr="00337D48">
        <w:t>57</w:t>
      </w:r>
      <w:r w:rsidR="00012693" w:rsidRPr="00337D48">
        <w:t>.</w:t>
      </w:r>
      <w:r w:rsidR="00012693" w:rsidRPr="00337D48">
        <w:tab/>
        <w:t>Exorta a Comissão a nomear um Representante Especial para a Igualdade de Tratamento das Pessoas LGBTIQ+ no Serviço Europeu para a Ação Externa, a fim de assegurar uma aplicação horizontal da estratégia para a igualdade de tratamento das pessoas LGBTIQ 2020</w:t>
      </w:r>
      <w:r w:rsidR="00012693" w:rsidRPr="00337D48">
        <w:noBreakHyphen/>
        <w:t>2025 no estrangeiro;</w:t>
      </w:r>
    </w:p>
    <w:p w14:paraId="3672E40F" w14:textId="16F92A26" w:rsidR="00012693" w:rsidRPr="00337D48" w:rsidRDefault="00706137" w:rsidP="00012693">
      <w:pPr>
        <w:pStyle w:val="NormalHanging12a"/>
      </w:pPr>
      <w:r w:rsidRPr="00337D48">
        <w:t>58</w:t>
      </w:r>
      <w:r w:rsidR="00012693" w:rsidRPr="00337D48">
        <w:t>.</w:t>
      </w:r>
      <w:r w:rsidR="00012693" w:rsidRPr="00337D48">
        <w:tab/>
        <w:t>Manifesta a sua preocupação com a situação dos direitos das pessoas LGBTIQ+ em todo o mundo; insta a Comissão e o Serviço Europeu para a Ação Externa (SEAE) a utilizarem a política de desenvolvimento como instrumento para aplicar reformas nos países em desenvolvimento, para fazer face ao retrocesso no reconhecimento e na proteção destes direitos e para garantir os direitos das pessoas LGBTIQ+;</w:t>
      </w:r>
    </w:p>
    <w:p w14:paraId="70A3F66D" w14:textId="6FD2BD3B" w:rsidR="00012693" w:rsidRPr="00337D48" w:rsidRDefault="00706137" w:rsidP="00012693">
      <w:pPr>
        <w:pStyle w:val="NormalHanging12a"/>
      </w:pPr>
      <w:r w:rsidRPr="00337D48">
        <w:t>59</w:t>
      </w:r>
      <w:r w:rsidR="00012693" w:rsidRPr="00337D48">
        <w:t>.</w:t>
      </w:r>
      <w:r w:rsidR="00012693" w:rsidRPr="00337D48">
        <w:tab/>
        <w:t>Exorta a Comissão a assegurar que as pessoas LGBTIQ+ recebam apoio ao abrigo de instrumentos orçamentais e de financiamento, bem como de programas mais vastos de ajuda ao desenvolvimento;</w:t>
      </w:r>
    </w:p>
    <w:p w14:paraId="5D31B1C7" w14:textId="02B280F1" w:rsidR="00012693" w:rsidRPr="00337D48" w:rsidRDefault="00706137" w:rsidP="00012693">
      <w:pPr>
        <w:pStyle w:val="NormalHanging12a"/>
      </w:pPr>
      <w:r w:rsidRPr="00337D48">
        <w:t>60</w:t>
      </w:r>
      <w:r w:rsidR="00012693" w:rsidRPr="00337D48">
        <w:t>.</w:t>
      </w:r>
      <w:r w:rsidR="00012693" w:rsidRPr="00337D48">
        <w:tab/>
        <w:t>Insta a Comissão a apoiar os países candidatos e potenciais países candidatos na aplicação da legislação da UE, nomeadamente no domínio dos direitos das pessoas LGBTIQ+, e a acompanhar os seus progressos;</w:t>
      </w:r>
    </w:p>
    <w:p w14:paraId="567DF4A3" w14:textId="15093E72" w:rsidR="00012693" w:rsidRPr="00337D48" w:rsidRDefault="00706137" w:rsidP="00012693">
      <w:pPr>
        <w:pStyle w:val="NormalHanging12a"/>
      </w:pPr>
      <w:r w:rsidRPr="00337D48">
        <w:t>61</w:t>
      </w:r>
      <w:r w:rsidR="00012693" w:rsidRPr="00337D48">
        <w:t>.</w:t>
      </w:r>
      <w:r w:rsidR="00012693" w:rsidRPr="00337D48">
        <w:tab/>
        <w:t>Solicita à Comissão que continue a reforçar as possibilidades de reafetar subvenções e a disponibilizar financiamento flexível, permitindo que os pequenos grupos de base e outros intervenientes da sociedade civil que trabalham na promoção dos direitos das pessoas LGBTIQ+ tenham acesso a esse financiamento, na União e em países terceiros, em conformidade com a legislação da UE;</w:t>
      </w:r>
    </w:p>
    <w:p w14:paraId="391EE6C9" w14:textId="1EAD6B4B" w:rsidR="00012693" w:rsidRPr="00337D48" w:rsidRDefault="00706137" w:rsidP="00012693">
      <w:pPr>
        <w:pStyle w:val="NormalHanging12a"/>
      </w:pPr>
      <w:r w:rsidRPr="00337D48">
        <w:t>62</w:t>
      </w:r>
      <w:r w:rsidR="00012693" w:rsidRPr="00337D48">
        <w:t>.</w:t>
      </w:r>
      <w:r w:rsidR="00012693" w:rsidRPr="00337D48">
        <w:tab/>
        <w:t>Insta a Comissão a melhorar ainda mais a sua comunicação sobre as oportunidades de financiamento para promover a igualdade de tratamento das pessoas LGBTIQ+, em particular nos Estados</w:t>
      </w:r>
      <w:r w:rsidR="00012693" w:rsidRPr="00337D48">
        <w:noBreakHyphen/>
        <w:t xml:space="preserve">Membros em que a igualdade de tratamento </w:t>
      </w:r>
      <w:r w:rsidR="00453EE8" w:rsidRPr="00337D48">
        <w:t>tem vindo a sofrer retrocessos;</w:t>
      </w:r>
    </w:p>
    <w:p w14:paraId="71887120" w14:textId="7DF9D87C" w:rsidR="00012693" w:rsidRPr="00337D48" w:rsidRDefault="00706137" w:rsidP="00012693">
      <w:pPr>
        <w:pStyle w:val="NormalHanging12a"/>
      </w:pPr>
      <w:r w:rsidRPr="00337D48">
        <w:t>63</w:t>
      </w:r>
      <w:r w:rsidR="00012693" w:rsidRPr="00337D48">
        <w:t>.</w:t>
      </w:r>
      <w:r w:rsidR="00012693" w:rsidRPr="00337D48">
        <w:tab/>
        <w:t>Exorta a Comissão a assegurar que os Estados</w:t>
      </w:r>
      <w:r w:rsidR="00012693" w:rsidRPr="00337D48">
        <w:noBreakHyphen/>
        <w:t xml:space="preserve">Membros giram os fundos da UE em conformidade com a Carta, incluindo o direito à não discriminação, tal como exigido por uma «condição habilitadora» horizontal, ao abrigo do Regulamento Disposições </w:t>
      </w:r>
      <w:r w:rsidR="00012693" w:rsidRPr="00337D48">
        <w:lastRenderedPageBreak/>
        <w:t>Comuns</w:t>
      </w:r>
      <w:r w:rsidR="00012693" w:rsidRPr="00337D48">
        <w:rPr>
          <w:rStyle w:val="FootnoteReference"/>
        </w:rPr>
        <w:footnoteReference w:id="12"/>
      </w:r>
      <w:r w:rsidR="00012693" w:rsidRPr="00337D48">
        <w:t xml:space="preserve"> (RDC); salienta que nenhuma despesa pode ser reembolsada pela Comissão enquanto não estiverem preenchidas as condições habilitadoras aplicáveis;</w:t>
      </w:r>
    </w:p>
    <w:p w14:paraId="1A68DD1A" w14:textId="74F30EBF" w:rsidR="00012693" w:rsidRPr="00337D48" w:rsidRDefault="00706137" w:rsidP="00012693">
      <w:pPr>
        <w:pStyle w:val="NormalHanging12a"/>
      </w:pPr>
      <w:r w:rsidRPr="00337D48">
        <w:t>64</w:t>
      </w:r>
      <w:r w:rsidR="00012693" w:rsidRPr="00337D48">
        <w:t>.</w:t>
      </w:r>
      <w:r w:rsidR="00012693" w:rsidRPr="00337D48">
        <w:tab/>
        <w:t>Apela a que a UE continue a combater a estigmatização e o assédio dos defensores dos direitos humanos das pessoas LGBTIQ+ e a proteger os defensores dos direitos humanos em países terceiros; insta a UE a alargar esse mecanismo aos defensores dos direitos humanos na UE, permitindo proteger os defensores dos direitos humanos das pessoas LGBTIQ+ nos Estados</w:t>
      </w:r>
      <w:r w:rsidR="00012693" w:rsidRPr="00337D48">
        <w:noBreakHyphen/>
        <w:t>Membros;</w:t>
      </w:r>
    </w:p>
    <w:p w14:paraId="43F6E751" w14:textId="2B899F69" w:rsidR="00012693" w:rsidRPr="00337D48" w:rsidRDefault="00706137" w:rsidP="00012693">
      <w:pPr>
        <w:pStyle w:val="NormalHanging12a"/>
      </w:pPr>
      <w:r w:rsidRPr="00337D48">
        <w:t>65</w:t>
      </w:r>
      <w:r w:rsidR="00012693" w:rsidRPr="00337D48">
        <w:t>.</w:t>
      </w:r>
      <w:r w:rsidR="00012693" w:rsidRPr="00337D48">
        <w:tab/>
        <w:t>Exorta a UE a alargar essas medidas de proteção aos defensores dos direitos humanos nos Estados</w:t>
      </w:r>
      <w:r w:rsidR="00012693" w:rsidRPr="00337D48">
        <w:noBreakHyphen/>
        <w:t>Membros da UE;</w:t>
      </w:r>
    </w:p>
    <w:p w14:paraId="7214E318" w14:textId="59B559E2" w:rsidR="00012693" w:rsidRPr="00337D48" w:rsidRDefault="00706137" w:rsidP="00012693">
      <w:pPr>
        <w:pStyle w:val="NormalHanging12a"/>
      </w:pPr>
      <w:r w:rsidRPr="00337D48">
        <w:t>66</w:t>
      </w:r>
      <w:r w:rsidR="00012693" w:rsidRPr="00337D48">
        <w:t>.</w:t>
      </w:r>
      <w:r w:rsidR="00012693" w:rsidRPr="00337D48">
        <w:tab/>
        <w:t>Insta a Comissão a intensificar a recolha de dados sobre a discriminação com base nos SOGIESC, a utilizar esses dados na elaboração de políticas públicas inclusivas adaptadas às pessoas LGBTIQ+ e a apoiar os Estados</w:t>
      </w:r>
      <w:r w:rsidR="00012693" w:rsidRPr="00337D48">
        <w:noBreakHyphen/>
        <w:t>Membros na utilização dos referidos dados;</w:t>
      </w:r>
    </w:p>
    <w:p w14:paraId="2658F34D" w14:textId="1D460BAB" w:rsidR="00012693" w:rsidRPr="00337D48" w:rsidRDefault="00706137" w:rsidP="00012693">
      <w:pPr>
        <w:pStyle w:val="NormalHanging12a"/>
      </w:pPr>
      <w:r w:rsidRPr="00337D48">
        <w:t>67</w:t>
      </w:r>
      <w:r w:rsidR="00012693" w:rsidRPr="00337D48">
        <w:t>.</w:t>
      </w:r>
      <w:r w:rsidR="00012693" w:rsidRPr="00337D48">
        <w:tab/>
        <w:t>Exorta todos os Estados</w:t>
      </w:r>
      <w:r w:rsidR="00012693" w:rsidRPr="00337D48">
        <w:noBreakHyphen/>
        <w:t>Membros a autoavaliarem os seus progressos na execução da estratégia LGBTIQ e a partilharem os seus resultados com a Comissão e o Parlamento;</w:t>
      </w:r>
    </w:p>
    <w:p w14:paraId="3D7A93E2" w14:textId="233A6D6C" w:rsidR="00012693" w:rsidRPr="00337D48" w:rsidRDefault="00706137" w:rsidP="00012693">
      <w:pPr>
        <w:pStyle w:val="NormalHanging12a"/>
      </w:pPr>
      <w:r w:rsidRPr="00337D48">
        <w:t>68</w:t>
      </w:r>
      <w:r w:rsidR="00012693" w:rsidRPr="00337D48">
        <w:t>.</w:t>
      </w:r>
      <w:r w:rsidR="00012693" w:rsidRPr="00337D48">
        <w:tab/>
        <w:t>Insta todos os Estados</w:t>
      </w:r>
      <w:r w:rsidR="00012693" w:rsidRPr="00337D48">
        <w:noBreakHyphen/>
        <w:t>Membros a adotarem planos de ação e estratégias nacionais para as pessoas LGBTIQ+ até 2025;</w:t>
      </w:r>
    </w:p>
    <w:p w14:paraId="228826CF" w14:textId="13849AF5" w:rsidR="00012693" w:rsidRPr="00337D48" w:rsidRDefault="00706137" w:rsidP="00012693">
      <w:pPr>
        <w:pStyle w:val="NormalHanging12a"/>
      </w:pPr>
      <w:r w:rsidRPr="00337D48">
        <w:t>69</w:t>
      </w:r>
      <w:r w:rsidR="00012693" w:rsidRPr="00337D48">
        <w:t>.</w:t>
      </w:r>
      <w:r w:rsidR="00012693" w:rsidRPr="00337D48">
        <w:tab/>
        <w:t>Apela a que a Comissão elabore uma nova Estratégia para a igualdade de tratamento das pessoas LGBTIQ+ para 2025</w:t>
      </w:r>
      <w:r w:rsidR="00012693" w:rsidRPr="00337D48">
        <w:noBreakHyphen/>
        <w:t>2030, com base em compromissos firmes, refletindo a Carta, os apelos e as expectativas do Parlamento, das OSC e das pessoas LGBTIQ+, na Europa e em todo o mundo; solicita à Comissão que comunique um prazo para a próxima estratégia para a igualdade de tratamento das pessoas LGBTIQ+, antes das eleições de 2024 para o Parlamento Europeu;</w:t>
      </w:r>
    </w:p>
    <w:p w14:paraId="5C45A7A4" w14:textId="613970DC" w:rsidR="00012693" w:rsidRPr="00337D48" w:rsidRDefault="00706137" w:rsidP="00012693">
      <w:pPr>
        <w:pStyle w:val="NormalHanging12a"/>
      </w:pPr>
      <w:r w:rsidRPr="00337D48">
        <w:t>70</w:t>
      </w:r>
      <w:r w:rsidR="00012693" w:rsidRPr="00337D48">
        <w:t>.</w:t>
      </w:r>
      <w:r w:rsidR="00012693" w:rsidRPr="00337D48">
        <w:tab/>
        <w:t>Solicita à Comissão que assegure que a próxima estratégia para a igualdade de tratamento das pessoas LGBTIQ+ seja impulsionada por um instrumento mais sólido, acompanhado de um plano de execução norteado por metas, de uma estrutura de integração sólida que garanta que os direitos das pessoas LGBTIQ+ sejam integrados em todas as políticas da UE, incluindo todos os motivos associados à orientação sexual, identidade de género, expressão de género e características sexuais, assim como da afetação de recursos, e que inclua um calendário e marcos, assegurando os processos de acompanhamento, avaliação, responsabilização e aprendizagem, incluindo a consulta das organizações LGBTIQ+; insta ainda a Comissão a prestar especial atenção aos grupos em situações vulneráveis, como as crianças e os jovens LGBTIQ+;</w:t>
      </w:r>
    </w:p>
    <w:p w14:paraId="773D339D" w14:textId="73AB892D" w:rsidR="00012693" w:rsidRPr="00337D48" w:rsidRDefault="00706137" w:rsidP="00012693">
      <w:pPr>
        <w:pStyle w:val="NormalHanging12a"/>
      </w:pPr>
      <w:r w:rsidRPr="00337D48">
        <w:t>71</w:t>
      </w:r>
      <w:r w:rsidR="00012693" w:rsidRPr="00337D48">
        <w:t>.</w:t>
      </w:r>
      <w:r w:rsidR="00012693" w:rsidRPr="00337D48">
        <w:tab/>
        <w:t>Insta a Comissão a garantir, no quadro do próximo mandato, a existência de uma pasta de comissário para a Igualdade e a Diversidade;</w:t>
      </w:r>
    </w:p>
    <w:p w14:paraId="01F2039A" w14:textId="16BA7AB6" w:rsidR="00012693" w:rsidRPr="00337D48" w:rsidRDefault="00706137" w:rsidP="00012693">
      <w:pPr>
        <w:pStyle w:val="NormalHanging12a"/>
      </w:pPr>
      <w:r w:rsidRPr="00337D48">
        <w:lastRenderedPageBreak/>
        <w:t>72</w:t>
      </w:r>
      <w:r w:rsidR="00012693" w:rsidRPr="00337D48">
        <w:t>.</w:t>
      </w:r>
      <w:r w:rsidR="00012693" w:rsidRPr="00337D48">
        <w:tab/>
        <w:t>Incentiva a criação do cargo de coordenador para os direitos das pessoas LGBTIQ+ na Comissão Europeia;</w:t>
      </w:r>
    </w:p>
    <w:p w14:paraId="3C80DE46" w14:textId="77777777" w:rsidR="005E4915" w:rsidRPr="00337D48" w:rsidRDefault="005E4915" w:rsidP="005E4915">
      <w:pPr>
        <w:pStyle w:val="NormalHanging12a"/>
        <w:widowControl/>
        <w:ind w:left="0" w:firstLine="0"/>
        <w:jc w:val="center"/>
      </w:pPr>
      <w:r w:rsidRPr="00337D48">
        <w:t>°</w:t>
      </w:r>
    </w:p>
    <w:p w14:paraId="4AF34212" w14:textId="77777777" w:rsidR="00706137" w:rsidRPr="00337D48" w:rsidRDefault="005E4915" w:rsidP="00337D48">
      <w:pPr>
        <w:pStyle w:val="NormalHanging12a"/>
        <w:jc w:val="center"/>
      </w:pPr>
      <w:r w:rsidRPr="00337D48">
        <w:t>°     °</w:t>
      </w:r>
    </w:p>
    <w:p w14:paraId="36DBE72B" w14:textId="0B02593C" w:rsidR="00012693" w:rsidRPr="00337D48" w:rsidRDefault="00012693" w:rsidP="00012693">
      <w:pPr>
        <w:pStyle w:val="NormalHanging12a"/>
      </w:pPr>
      <w:r w:rsidRPr="00337D48">
        <w:t>7</w:t>
      </w:r>
      <w:r w:rsidR="00706137" w:rsidRPr="00337D48">
        <w:t>3</w:t>
      </w:r>
      <w:r w:rsidRPr="00337D48">
        <w:t>.</w:t>
      </w:r>
      <w:r w:rsidRPr="00337D48">
        <w:tab/>
        <w:t>Encarrega a sua Presidente de transmitir a presente resolução ao Conselho e à Comissão, aos governos e parlamentos nacionais dos Estados</w:t>
      </w:r>
      <w:r w:rsidRPr="00337D48">
        <w:noBreakHyphen/>
        <w:t>Membros e dos países candidatos à adesão, bem como aos parlamentos subnacionais e aos órgãos de poder local dos Estados</w:t>
      </w:r>
      <w:r w:rsidRPr="00337D48">
        <w:noBreakHyphen/>
        <w:t>Membros e dos países candidatos.</w:t>
      </w:r>
    </w:p>
    <w:sectPr w:rsidR="00012693" w:rsidRPr="00337D48" w:rsidSect="0066480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6FDF4" w14:textId="77777777" w:rsidR="00D8401C" w:rsidRPr="00664806" w:rsidRDefault="00D8401C">
      <w:r w:rsidRPr="00664806">
        <w:separator/>
      </w:r>
    </w:p>
  </w:endnote>
  <w:endnote w:type="continuationSeparator" w:id="0">
    <w:p w14:paraId="6B5DA2A0" w14:textId="77777777" w:rsidR="00D8401C" w:rsidRPr="00664806" w:rsidRDefault="00D8401C">
      <w:r w:rsidRPr="006648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541A4" w14:textId="77777777" w:rsidR="00D8401C" w:rsidRPr="00664806" w:rsidRDefault="00D8401C">
      <w:r w:rsidRPr="00664806">
        <w:separator/>
      </w:r>
    </w:p>
  </w:footnote>
  <w:footnote w:type="continuationSeparator" w:id="0">
    <w:p w14:paraId="4E9682C0" w14:textId="77777777" w:rsidR="00D8401C" w:rsidRPr="00664806" w:rsidRDefault="00D8401C">
      <w:r w:rsidRPr="00664806">
        <w:continuationSeparator/>
      </w:r>
    </w:p>
  </w:footnote>
  <w:footnote w:id="1">
    <w:p w14:paraId="157F88FB" w14:textId="77777777" w:rsidR="00012693" w:rsidRPr="00FD6F5D" w:rsidRDefault="00012693" w:rsidP="00D91976">
      <w:pPr>
        <w:pStyle w:val="FootnoteText"/>
        <w:ind w:left="567" w:hanging="567"/>
        <w:rPr>
          <w:sz w:val="24"/>
          <w:szCs w:val="24"/>
          <w:lang w:val="pt-PT"/>
        </w:rPr>
      </w:pPr>
      <w:r w:rsidRPr="00D91976">
        <w:rPr>
          <w:rStyle w:val="FootnoteReference"/>
          <w:sz w:val="24"/>
          <w:szCs w:val="24"/>
          <w:lang w:val="pt-PT"/>
        </w:rPr>
        <w:footnoteRef/>
      </w:r>
      <w:r w:rsidR="00664806" w:rsidRPr="00FD6F5D">
        <w:rPr>
          <w:sz w:val="24"/>
          <w:szCs w:val="24"/>
          <w:lang w:val="pt-PT"/>
        </w:rPr>
        <w:t xml:space="preserve"> </w:t>
      </w:r>
      <w:r w:rsidR="00664806" w:rsidRPr="00FD6F5D">
        <w:rPr>
          <w:sz w:val="24"/>
          <w:szCs w:val="24"/>
          <w:lang w:val="pt-PT"/>
        </w:rPr>
        <w:tab/>
      </w:r>
      <w:r w:rsidRPr="00FD6F5D">
        <w:rPr>
          <w:sz w:val="24"/>
          <w:szCs w:val="24"/>
          <w:lang w:val="pt-PT"/>
        </w:rPr>
        <w:t>JO C 117 de 11.3.2022, p. 2.</w:t>
      </w:r>
    </w:p>
  </w:footnote>
  <w:footnote w:id="2">
    <w:p w14:paraId="58B6BE5A" w14:textId="5AE1F1DC" w:rsidR="00012693" w:rsidRPr="00FD6F5D" w:rsidRDefault="00012693" w:rsidP="00D91976">
      <w:pPr>
        <w:pStyle w:val="FootnoteText"/>
        <w:ind w:left="567" w:hanging="567"/>
        <w:rPr>
          <w:sz w:val="24"/>
          <w:szCs w:val="24"/>
          <w:lang w:val="pt-PT"/>
        </w:rPr>
      </w:pPr>
      <w:r w:rsidRPr="00D91976">
        <w:rPr>
          <w:rStyle w:val="FootnoteReference"/>
          <w:sz w:val="24"/>
          <w:szCs w:val="24"/>
          <w:lang w:val="pt-PT"/>
        </w:rPr>
        <w:footnoteRef/>
      </w:r>
      <w:r w:rsidR="00664806" w:rsidRPr="00FD6F5D">
        <w:rPr>
          <w:sz w:val="24"/>
          <w:szCs w:val="24"/>
          <w:lang w:val="pt-PT"/>
        </w:rPr>
        <w:t xml:space="preserve"> </w:t>
      </w:r>
      <w:r w:rsidR="00664806" w:rsidRPr="00FD6F5D">
        <w:rPr>
          <w:sz w:val="24"/>
          <w:szCs w:val="24"/>
          <w:lang w:val="pt-PT"/>
        </w:rPr>
        <w:tab/>
      </w:r>
      <w:r w:rsidR="00FD6F5D">
        <w:rPr>
          <w:sz w:val="24"/>
          <w:szCs w:val="24"/>
          <w:lang w:val="pt-PT"/>
        </w:rPr>
        <w:t>JO C 474 de 24.11.2021, p.</w:t>
      </w:r>
      <w:bookmarkStart w:id="8" w:name="_GoBack"/>
      <w:bookmarkEnd w:id="8"/>
      <w:r w:rsidRPr="00FD6F5D">
        <w:rPr>
          <w:sz w:val="24"/>
          <w:szCs w:val="24"/>
          <w:lang w:val="pt-PT"/>
        </w:rPr>
        <w:t xml:space="preserve"> 140.</w:t>
      </w:r>
    </w:p>
  </w:footnote>
  <w:footnote w:id="3">
    <w:p w14:paraId="75B1733C" w14:textId="77777777" w:rsidR="00012693" w:rsidRPr="00D91976" w:rsidRDefault="00012693" w:rsidP="00D91976">
      <w:pPr>
        <w:pStyle w:val="FootnoteText"/>
        <w:ind w:left="567" w:hanging="567"/>
        <w:rPr>
          <w:sz w:val="24"/>
          <w:szCs w:val="24"/>
          <w:lang w:val="pt-PT"/>
        </w:rPr>
      </w:pPr>
      <w:r w:rsidRPr="00D91976">
        <w:rPr>
          <w:rStyle w:val="FootnoteReference"/>
          <w:sz w:val="24"/>
          <w:szCs w:val="24"/>
          <w:lang w:val="pt-PT"/>
        </w:rPr>
        <w:footnoteRef/>
      </w:r>
      <w:r w:rsidR="00664806" w:rsidRPr="00D91976">
        <w:rPr>
          <w:sz w:val="24"/>
          <w:szCs w:val="24"/>
          <w:lang w:val="pt-PT"/>
        </w:rPr>
        <w:t xml:space="preserve"> </w:t>
      </w:r>
      <w:r w:rsidR="00664806" w:rsidRPr="00D91976">
        <w:rPr>
          <w:sz w:val="24"/>
          <w:szCs w:val="24"/>
          <w:lang w:val="pt-PT"/>
        </w:rPr>
        <w:tab/>
      </w:r>
      <w:r w:rsidRPr="00D91976">
        <w:rPr>
          <w:sz w:val="24"/>
          <w:szCs w:val="24"/>
          <w:lang w:val="pt-PT"/>
        </w:rPr>
        <w:t xml:space="preserve">Textos </w:t>
      </w:r>
      <w:r w:rsidR="00453EE8" w:rsidRPr="00D91976">
        <w:rPr>
          <w:sz w:val="24"/>
          <w:szCs w:val="24"/>
          <w:lang w:val="pt-PT"/>
        </w:rPr>
        <w:t>Aprovados</w:t>
      </w:r>
      <w:r w:rsidRPr="00D91976">
        <w:rPr>
          <w:sz w:val="24"/>
          <w:szCs w:val="24"/>
          <w:lang w:val="pt-PT"/>
        </w:rPr>
        <w:t>, P9_TA(2020)0225.</w:t>
      </w:r>
    </w:p>
  </w:footnote>
  <w:footnote w:id="4">
    <w:p w14:paraId="339EBE42" w14:textId="77777777" w:rsidR="00012693" w:rsidRPr="00D91976" w:rsidRDefault="00012693" w:rsidP="00D91976">
      <w:pPr>
        <w:pStyle w:val="FootnoteText"/>
        <w:ind w:left="567" w:hanging="567"/>
        <w:rPr>
          <w:sz w:val="24"/>
          <w:szCs w:val="24"/>
          <w:lang w:val="pt-PT"/>
        </w:rPr>
      </w:pPr>
      <w:r w:rsidRPr="00D91976">
        <w:rPr>
          <w:rStyle w:val="FootnoteReference"/>
          <w:sz w:val="24"/>
          <w:szCs w:val="24"/>
          <w:lang w:val="pt-PT"/>
        </w:rPr>
        <w:footnoteRef/>
      </w:r>
      <w:r w:rsidR="00664806" w:rsidRPr="00D91976">
        <w:rPr>
          <w:sz w:val="24"/>
          <w:szCs w:val="24"/>
          <w:lang w:val="pt-PT"/>
        </w:rPr>
        <w:t xml:space="preserve"> </w:t>
      </w:r>
      <w:r w:rsidR="00664806" w:rsidRPr="00D91976">
        <w:rPr>
          <w:sz w:val="24"/>
          <w:szCs w:val="24"/>
          <w:lang w:val="pt-PT"/>
        </w:rPr>
        <w:tab/>
      </w:r>
      <w:r w:rsidRPr="00D91976">
        <w:rPr>
          <w:sz w:val="24"/>
          <w:szCs w:val="24"/>
          <w:lang w:val="pt-PT"/>
        </w:rPr>
        <w:t xml:space="preserve">Textos </w:t>
      </w:r>
      <w:r w:rsidR="00453EE8" w:rsidRPr="00D91976">
        <w:rPr>
          <w:sz w:val="24"/>
          <w:szCs w:val="24"/>
          <w:lang w:val="pt-PT"/>
        </w:rPr>
        <w:t>Aprovados</w:t>
      </w:r>
      <w:r w:rsidRPr="00D91976">
        <w:rPr>
          <w:sz w:val="24"/>
          <w:szCs w:val="24"/>
          <w:lang w:val="pt-PT"/>
        </w:rPr>
        <w:t>, P9_TA(2021)0362.</w:t>
      </w:r>
    </w:p>
  </w:footnote>
  <w:footnote w:id="5">
    <w:p w14:paraId="6BF5AE62" w14:textId="77777777" w:rsidR="00012693" w:rsidRPr="00D91976" w:rsidRDefault="00012693" w:rsidP="00D91976">
      <w:pPr>
        <w:pStyle w:val="FootnoteText"/>
        <w:ind w:left="567" w:hanging="567"/>
        <w:rPr>
          <w:sz w:val="24"/>
          <w:szCs w:val="24"/>
          <w:lang w:val="pt-PT"/>
        </w:rPr>
      </w:pPr>
      <w:r w:rsidRPr="00D91976">
        <w:rPr>
          <w:rStyle w:val="FootnoteReference"/>
          <w:sz w:val="24"/>
          <w:szCs w:val="24"/>
          <w:lang w:val="pt-PT"/>
        </w:rPr>
        <w:footnoteRef/>
      </w:r>
      <w:r w:rsidR="00664806" w:rsidRPr="00D91976">
        <w:rPr>
          <w:sz w:val="24"/>
          <w:szCs w:val="24"/>
          <w:lang w:val="pt-PT"/>
        </w:rPr>
        <w:t xml:space="preserve"> </w:t>
      </w:r>
      <w:r w:rsidR="00664806" w:rsidRPr="00D91976">
        <w:rPr>
          <w:sz w:val="24"/>
          <w:szCs w:val="24"/>
          <w:lang w:val="pt-PT"/>
        </w:rPr>
        <w:tab/>
      </w:r>
      <w:r w:rsidRPr="00D91976">
        <w:rPr>
          <w:sz w:val="24"/>
          <w:szCs w:val="24"/>
          <w:lang w:val="pt-PT"/>
        </w:rPr>
        <w:t xml:space="preserve">Textos </w:t>
      </w:r>
      <w:r w:rsidR="00453EE8" w:rsidRPr="00D91976">
        <w:rPr>
          <w:sz w:val="24"/>
          <w:szCs w:val="24"/>
          <w:lang w:val="pt-PT"/>
        </w:rPr>
        <w:t>Aprovados</w:t>
      </w:r>
      <w:r w:rsidRPr="00D91976">
        <w:rPr>
          <w:sz w:val="24"/>
          <w:szCs w:val="24"/>
          <w:lang w:val="pt-PT"/>
        </w:rPr>
        <w:t>, P9_TA(2022)0372.</w:t>
      </w:r>
    </w:p>
  </w:footnote>
  <w:footnote w:id="6">
    <w:p w14:paraId="4B2FDF96" w14:textId="77777777" w:rsidR="00012693" w:rsidRPr="00D91976" w:rsidRDefault="00012693" w:rsidP="00D91976">
      <w:pPr>
        <w:pStyle w:val="FootnoteText"/>
        <w:ind w:left="567" w:hanging="567"/>
        <w:rPr>
          <w:sz w:val="24"/>
          <w:szCs w:val="24"/>
          <w:lang w:val="pt-PT"/>
        </w:rPr>
      </w:pPr>
      <w:r w:rsidRPr="00D91976">
        <w:rPr>
          <w:rStyle w:val="FootnoteReference"/>
          <w:sz w:val="24"/>
          <w:szCs w:val="24"/>
          <w:lang w:val="pt-PT"/>
        </w:rPr>
        <w:footnoteRef/>
      </w:r>
      <w:r w:rsidR="00664806" w:rsidRPr="00D91976">
        <w:rPr>
          <w:sz w:val="24"/>
          <w:szCs w:val="24"/>
          <w:lang w:val="pt-PT"/>
        </w:rPr>
        <w:t xml:space="preserve"> </w:t>
      </w:r>
      <w:r w:rsidR="00664806" w:rsidRPr="00D91976">
        <w:rPr>
          <w:sz w:val="24"/>
          <w:szCs w:val="24"/>
          <w:lang w:val="pt-PT"/>
        </w:rPr>
        <w:tab/>
      </w:r>
      <w:r w:rsidRPr="00D91976">
        <w:rPr>
          <w:sz w:val="24"/>
          <w:szCs w:val="24"/>
          <w:lang w:val="pt-PT"/>
        </w:rPr>
        <w:t xml:space="preserve">Textos </w:t>
      </w:r>
      <w:r w:rsidR="00453EE8" w:rsidRPr="00D91976">
        <w:rPr>
          <w:sz w:val="24"/>
          <w:szCs w:val="24"/>
          <w:lang w:val="pt-PT"/>
        </w:rPr>
        <w:t>Aprovados</w:t>
      </w:r>
      <w:r w:rsidRPr="00D91976">
        <w:rPr>
          <w:sz w:val="24"/>
          <w:szCs w:val="24"/>
          <w:lang w:val="pt-PT"/>
        </w:rPr>
        <w:t>, P9_TA(2023)0120.</w:t>
      </w:r>
    </w:p>
  </w:footnote>
  <w:footnote w:id="7">
    <w:p w14:paraId="06A14C3F" w14:textId="77777777" w:rsidR="00012693" w:rsidRPr="00D91976" w:rsidRDefault="00012693" w:rsidP="00D91976">
      <w:pPr>
        <w:pStyle w:val="FootnoteText"/>
        <w:ind w:left="567" w:hanging="567"/>
        <w:rPr>
          <w:sz w:val="24"/>
          <w:szCs w:val="24"/>
          <w:lang w:val="pt-PT"/>
        </w:rPr>
      </w:pPr>
      <w:r w:rsidRPr="00D91976">
        <w:rPr>
          <w:rStyle w:val="FootnoteReference"/>
          <w:sz w:val="24"/>
          <w:szCs w:val="24"/>
          <w:lang w:val="pt-PT"/>
        </w:rPr>
        <w:footnoteRef/>
      </w:r>
      <w:r w:rsidR="00664806" w:rsidRPr="00D91976">
        <w:rPr>
          <w:sz w:val="24"/>
          <w:szCs w:val="24"/>
          <w:lang w:val="pt-PT"/>
        </w:rPr>
        <w:t xml:space="preserve"> </w:t>
      </w:r>
      <w:r w:rsidR="00664806" w:rsidRPr="00D91976">
        <w:rPr>
          <w:sz w:val="24"/>
          <w:szCs w:val="24"/>
          <w:lang w:val="pt-PT"/>
        </w:rPr>
        <w:tab/>
      </w:r>
      <w:r w:rsidRPr="00D91976">
        <w:rPr>
          <w:sz w:val="24"/>
          <w:szCs w:val="24"/>
          <w:lang w:val="pt-PT"/>
        </w:rPr>
        <w:t>Estudo – «The LGBTIQ+ Equality Strategy 2020</w:t>
      </w:r>
      <w:r w:rsidRPr="00D91976">
        <w:rPr>
          <w:sz w:val="24"/>
          <w:szCs w:val="24"/>
          <w:lang w:val="pt-PT"/>
        </w:rPr>
        <w:noBreakHyphen/>
        <w:t>2025 – Implementation overview» [Estratégia para a igualdade de tratamento das pessoas LGBTIQ 2020</w:t>
      </w:r>
      <w:r w:rsidRPr="00D91976">
        <w:rPr>
          <w:sz w:val="24"/>
          <w:szCs w:val="24"/>
          <w:lang w:val="pt-PT"/>
        </w:rPr>
        <w:noBreakHyphen/>
        <w:t>2025 – Panorama geral da execução], Parlamento Europeu, Direção</w:t>
      </w:r>
      <w:r w:rsidRPr="00D91976">
        <w:rPr>
          <w:sz w:val="24"/>
          <w:szCs w:val="24"/>
          <w:lang w:val="pt-PT"/>
        </w:rPr>
        <w:noBreakHyphen/>
        <w:t>Geral dos Serviços de Estudos do Parlamento Europeu, 2023.</w:t>
      </w:r>
    </w:p>
  </w:footnote>
  <w:footnote w:id="8">
    <w:p w14:paraId="74F6BCB0" w14:textId="77777777" w:rsidR="00D91976" w:rsidRPr="00337D48" w:rsidRDefault="00D91976" w:rsidP="00337D48">
      <w:pPr>
        <w:pStyle w:val="FootnoteText"/>
        <w:ind w:left="567" w:hanging="567"/>
        <w:rPr>
          <w:sz w:val="24"/>
          <w:szCs w:val="24"/>
          <w:lang w:val="fi-FI"/>
        </w:rPr>
      </w:pPr>
      <w:r w:rsidRPr="00337D48">
        <w:rPr>
          <w:rStyle w:val="FootnoteReference"/>
          <w:sz w:val="24"/>
          <w:szCs w:val="24"/>
        </w:rPr>
        <w:footnoteRef/>
      </w:r>
      <w:r w:rsidRPr="00337D48">
        <w:rPr>
          <w:sz w:val="24"/>
          <w:szCs w:val="24"/>
          <w:lang w:val="fi-FI"/>
        </w:rPr>
        <w:t xml:space="preserve"> </w:t>
      </w:r>
      <w:r w:rsidRPr="00337D48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JO</w:t>
      </w:r>
      <w:r w:rsidRPr="00706137">
        <w:rPr>
          <w:sz w:val="24"/>
          <w:szCs w:val="24"/>
          <w:lang w:val="fi-FI"/>
        </w:rPr>
        <w:t xml:space="preserve"> L, 2024/442, 5.</w:t>
      </w:r>
      <w:r w:rsidRPr="00337D48">
        <w:rPr>
          <w:sz w:val="24"/>
          <w:szCs w:val="24"/>
          <w:lang w:val="fi-FI"/>
        </w:rPr>
        <w:t xml:space="preserve">2.2024, ELI: </w:t>
      </w:r>
      <w:hyperlink r:id="rId1" w:history="1">
        <w:r w:rsidRPr="00337D48">
          <w:rPr>
            <w:rStyle w:val="Hyperlink"/>
            <w:sz w:val="24"/>
            <w:szCs w:val="24"/>
            <w:lang w:val="fi-FI"/>
          </w:rPr>
          <w:t>http://data.europa.eu/eli/dec_impl/2024/442/oj</w:t>
        </w:r>
      </w:hyperlink>
    </w:p>
  </w:footnote>
  <w:footnote w:id="9">
    <w:p w14:paraId="38B1A7CB" w14:textId="77777777" w:rsidR="00012693" w:rsidRPr="00337D48" w:rsidRDefault="00012693" w:rsidP="00706137">
      <w:pPr>
        <w:pStyle w:val="FootnoteText"/>
        <w:ind w:left="567" w:hanging="567"/>
        <w:rPr>
          <w:sz w:val="24"/>
          <w:szCs w:val="24"/>
          <w:lang w:val="pt-PT"/>
        </w:rPr>
      </w:pPr>
      <w:r w:rsidRPr="00706137">
        <w:rPr>
          <w:rStyle w:val="FootnoteReference"/>
          <w:sz w:val="24"/>
          <w:szCs w:val="24"/>
          <w:lang w:val="pt-PT"/>
        </w:rPr>
        <w:footnoteRef/>
      </w:r>
      <w:r w:rsidR="00664806" w:rsidRPr="00706137">
        <w:rPr>
          <w:sz w:val="24"/>
          <w:szCs w:val="24"/>
          <w:lang w:val="pt-PT"/>
        </w:rPr>
        <w:t xml:space="preserve"> </w:t>
      </w:r>
      <w:r w:rsidR="00664806" w:rsidRPr="00706137">
        <w:rPr>
          <w:sz w:val="24"/>
          <w:szCs w:val="24"/>
          <w:lang w:val="pt-PT"/>
        </w:rPr>
        <w:tab/>
      </w:r>
      <w:r w:rsidRPr="00706137">
        <w:rPr>
          <w:sz w:val="24"/>
          <w:szCs w:val="24"/>
          <w:lang w:val="pt-PT"/>
        </w:rPr>
        <w:t>Proposta da Comissão, de 7 de dezembro de 2022, de diretiva do Parlamento Europeu e do Conselho que estabelece as normas aplicáveis aos organismos de promoção da igualdade no que respeita à igualdade de tratamento e à igualdade de oportunidades entre homens e mulheres em domínios ligados ao emprego e à atividade profissional, e que suprime o artigo 20.º da Diretiva 2006/54/CE e o artigo 11.º da Diretiva 2010/41/UE (COM(2022)0688).</w:t>
      </w:r>
    </w:p>
  </w:footnote>
  <w:footnote w:id="10">
    <w:p w14:paraId="127EFA54" w14:textId="77777777" w:rsidR="00012693" w:rsidRPr="00706137" w:rsidRDefault="00012693" w:rsidP="00706137">
      <w:pPr>
        <w:pStyle w:val="FootnoteText"/>
        <w:ind w:left="567" w:hanging="567"/>
        <w:rPr>
          <w:sz w:val="24"/>
          <w:szCs w:val="24"/>
          <w:lang w:val="pt-PT"/>
        </w:rPr>
      </w:pPr>
      <w:r w:rsidRPr="00706137">
        <w:rPr>
          <w:rStyle w:val="FootnoteReference"/>
          <w:sz w:val="24"/>
          <w:szCs w:val="24"/>
          <w:lang w:val="pt-PT"/>
        </w:rPr>
        <w:footnoteRef/>
      </w:r>
      <w:r w:rsidR="00664806" w:rsidRPr="00706137">
        <w:rPr>
          <w:sz w:val="24"/>
          <w:szCs w:val="24"/>
          <w:lang w:val="pt-PT"/>
        </w:rPr>
        <w:t xml:space="preserve"> </w:t>
      </w:r>
      <w:r w:rsidR="00664806" w:rsidRPr="00706137">
        <w:rPr>
          <w:sz w:val="24"/>
          <w:szCs w:val="24"/>
          <w:lang w:val="pt-PT"/>
        </w:rPr>
        <w:tab/>
      </w:r>
      <w:r w:rsidRPr="00706137">
        <w:rPr>
          <w:sz w:val="24"/>
          <w:szCs w:val="24"/>
          <w:lang w:val="pt-PT"/>
        </w:rPr>
        <w:t>Diretiva 2000/78/CE do Conselho, de 27 de novembro de 2000, que estabelece um quadro geral de igualdade de tratamento no emprego e na atividade profissional (JO L 303 de 2.12.2000, p. 16).</w:t>
      </w:r>
    </w:p>
  </w:footnote>
  <w:footnote w:id="11">
    <w:p w14:paraId="2C562B5A" w14:textId="77777777" w:rsidR="00D91976" w:rsidRPr="00337D48" w:rsidRDefault="00D91976" w:rsidP="00337D48">
      <w:pPr>
        <w:pStyle w:val="FootnoteText"/>
        <w:ind w:left="567" w:hanging="567"/>
        <w:rPr>
          <w:sz w:val="24"/>
          <w:szCs w:val="24"/>
          <w:lang w:val="pt-PT"/>
        </w:rPr>
      </w:pPr>
      <w:r w:rsidRPr="00337D48">
        <w:rPr>
          <w:rStyle w:val="FootnoteReference"/>
          <w:sz w:val="24"/>
          <w:szCs w:val="24"/>
        </w:rPr>
        <w:footnoteRef/>
      </w:r>
      <w:r w:rsidRPr="00337D48">
        <w:rPr>
          <w:sz w:val="24"/>
          <w:szCs w:val="24"/>
          <w:lang w:val="pt-PT"/>
        </w:rPr>
        <w:t xml:space="preserve"> </w:t>
      </w:r>
      <w:r w:rsidRPr="00337D48">
        <w:rPr>
          <w:sz w:val="24"/>
          <w:szCs w:val="24"/>
          <w:lang w:val="pt-PT"/>
        </w:rPr>
        <w:tab/>
        <w:t>Regulamento (UE) 2019/788 do Parlamento Europeu e do Conselho, de 17 de abril de 2019, sobre a iniciativa de cidadania europeia (JO L 130 de 17.5.2019, p. 55).</w:t>
      </w:r>
    </w:p>
  </w:footnote>
  <w:footnote w:id="12">
    <w:p w14:paraId="00C9F670" w14:textId="77777777" w:rsidR="00012693" w:rsidRPr="00337D48" w:rsidRDefault="00012693" w:rsidP="00706137">
      <w:pPr>
        <w:pStyle w:val="FootnoteText"/>
        <w:ind w:left="567" w:hanging="567"/>
        <w:rPr>
          <w:sz w:val="24"/>
          <w:szCs w:val="24"/>
          <w:lang w:val="pt-PT"/>
        </w:rPr>
      </w:pPr>
      <w:r w:rsidRPr="00706137">
        <w:rPr>
          <w:rStyle w:val="FootnoteReference"/>
          <w:sz w:val="24"/>
          <w:szCs w:val="24"/>
          <w:lang w:val="pt-PT"/>
        </w:rPr>
        <w:footnoteRef/>
      </w:r>
      <w:r w:rsidR="00664806" w:rsidRPr="00706137">
        <w:rPr>
          <w:sz w:val="24"/>
          <w:szCs w:val="24"/>
          <w:lang w:val="pt-PT"/>
        </w:rPr>
        <w:t xml:space="preserve"> </w:t>
      </w:r>
      <w:r w:rsidR="00664806" w:rsidRPr="00706137">
        <w:rPr>
          <w:sz w:val="24"/>
          <w:szCs w:val="24"/>
          <w:lang w:val="pt-PT"/>
        </w:rPr>
        <w:tab/>
      </w:r>
      <w:r w:rsidRPr="00706137">
        <w:rPr>
          <w:sz w:val="24"/>
          <w:szCs w:val="24"/>
          <w:lang w:val="pt-PT"/>
        </w:rPr>
        <w:t>Regulamento (UE) 2021/1060</w:t>
      </w:r>
      <w:r w:rsidR="00737F24" w:rsidRPr="00706137">
        <w:rPr>
          <w:sz w:val="24"/>
          <w:szCs w:val="24"/>
          <w:lang w:val="pt-PT"/>
        </w:rPr>
        <w:t xml:space="preserve"> do Parlamento Europeu e do Conselho</w:t>
      </w:r>
      <w:r w:rsidRPr="00706137">
        <w:rPr>
          <w:sz w:val="24"/>
          <w:szCs w:val="24"/>
          <w:lang w:val="pt-PT"/>
        </w:rPr>
        <w:t xml:space="preserve">, de 24 de junho de 2021, que estabelece disposições comuns relativas ao Fundo Europeu de Desenvolvimento Regional, ao Fundo </w:t>
      </w:r>
      <w:r w:rsidRPr="00337D48">
        <w:rPr>
          <w:sz w:val="24"/>
          <w:szCs w:val="24"/>
          <w:lang w:val="pt-PT"/>
        </w:rPr>
        <w:t>Social Europeu Mais, ao Fundo de Coesão, ao Fundo para uma Transição Justa e ao Fundo Europeu dos Assuntos Marítimos, das Pescas e da Aquicultura e regras financeiras aplicáveis a esses fundos e ao Fundo para o Asilo, a Migração e a Integração, ao Fundo para a Segurança Interna e ao Instrumento de Apoio Financeiro à Gestão das Fronteiras e à Política de Vistos (JO L 231 de 30.6.2021, p. 159).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0/2024"/>
    <w:docVar w:name="dvlangue" w:val="PT"/>
    <w:docVar w:name="dvnumam" w:val="0"/>
    <w:docVar w:name="dvpe" w:val="756.097"/>
    <w:docVar w:name="dvrapporteur" w:val="Relator: "/>
    <w:docVar w:name="dvtitre" w:val="Resolução do Parlamento Europeu, de ... de ... de 2024,_x000d__x000a_ sobre a execução da Estratégia da UE para a igualdade de tratamento das pessoas LBGTIQ 2020-2025(2023/2082(INI))"/>
  </w:docVars>
  <w:rsids>
    <w:rsidRoot w:val="00D8401C"/>
    <w:rsid w:val="00002272"/>
    <w:rsid w:val="00012693"/>
    <w:rsid w:val="00064002"/>
    <w:rsid w:val="0006405A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7D48"/>
    <w:rsid w:val="00343214"/>
    <w:rsid w:val="00361C00"/>
    <w:rsid w:val="00395FA1"/>
    <w:rsid w:val="003E15D4"/>
    <w:rsid w:val="00411CCE"/>
    <w:rsid w:val="0041666E"/>
    <w:rsid w:val="00421060"/>
    <w:rsid w:val="00453EE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915"/>
    <w:rsid w:val="006037C0"/>
    <w:rsid w:val="006631B6"/>
    <w:rsid w:val="00664806"/>
    <w:rsid w:val="00680577"/>
    <w:rsid w:val="006F74FA"/>
    <w:rsid w:val="00706137"/>
    <w:rsid w:val="00731ADD"/>
    <w:rsid w:val="00734777"/>
    <w:rsid w:val="00737F2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56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C7F"/>
    <w:rsid w:val="00C23CD4"/>
    <w:rsid w:val="00C61C0C"/>
    <w:rsid w:val="00C941CB"/>
    <w:rsid w:val="00CC2357"/>
    <w:rsid w:val="00CF071A"/>
    <w:rsid w:val="00D058B8"/>
    <w:rsid w:val="00D56C11"/>
    <w:rsid w:val="00D834A0"/>
    <w:rsid w:val="00D8401C"/>
    <w:rsid w:val="00D872DF"/>
    <w:rsid w:val="00D91976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E2E71"/>
  <w15:chartTrackingRefBased/>
  <w15:docId w15:val="{DE87A652-C3C7-42FE-B98D-63ED65C2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12693"/>
    <w:pPr>
      <w:spacing w:after="240"/>
      <w:ind w:left="567" w:hanging="567"/>
    </w:pPr>
  </w:style>
  <w:style w:type="paragraph" w:customStyle="1" w:styleId="EPComma">
    <w:name w:val="EPComma"/>
    <w:basedOn w:val="Normal"/>
    <w:rsid w:val="00012693"/>
    <w:pPr>
      <w:spacing w:before="480" w:after="240"/>
    </w:pPr>
  </w:style>
  <w:style w:type="paragraph" w:styleId="BalloonText">
    <w:name w:val="Balloon Text"/>
    <w:basedOn w:val="Normal"/>
    <w:link w:val="BalloonTextChar"/>
    <w:rsid w:val="005E49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4915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D919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19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197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91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1976"/>
    <w:rPr>
      <w:b/>
      <w:bCs/>
      <w:lang w:val="pt-PT"/>
    </w:rPr>
  </w:style>
  <w:style w:type="character" w:styleId="Hyperlink">
    <w:name w:val="Hyperlink"/>
    <w:basedOn w:val="DefaultParagraphFont"/>
    <w:rsid w:val="00D9197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91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_impl/2024/44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6ACE7-BE26-428D-B506-AE16DD143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5119</Words>
  <Characters>29180</Characters>
  <Application>Microsoft Office Word</Application>
  <DocSecurity>4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Lukas Lemcke</cp:lastModifiedBy>
  <cp:revision>2</cp:revision>
  <cp:lastPrinted>2004-11-19T15:42:00Z</cp:lastPrinted>
  <dcterms:created xsi:type="dcterms:W3CDTF">2024-06-14T08:56:00Z</dcterms:created>
  <dcterms:modified xsi:type="dcterms:W3CDTF">2024-06-14T08:56:00Z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A9-0030/2024</vt:lpwstr>
  </property>
  <property fmtid="{D5CDD505-2E9C-101B-9397-08002B2CF9AE}" pid="4" name="&lt;Type&gt;">
    <vt:lpwstr>RR</vt:lpwstr>
  </property>
</Properties>
</file>