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242B" w14:paraId="6424CC97" w14:textId="77777777" w:rsidTr="0010095E">
        <w:trPr>
          <w:trHeight w:hRule="exact" w:val="1418"/>
        </w:trPr>
        <w:tc>
          <w:tcPr>
            <w:tcW w:w="6804" w:type="dxa"/>
            <w:shd w:val="clear" w:color="auto" w:fill="auto"/>
            <w:vAlign w:val="center"/>
          </w:tcPr>
          <w:p w14:paraId="4F97F0AC" w14:textId="77777777" w:rsidR="00751A4A" w:rsidRPr="0035242B" w:rsidRDefault="00DF35D6" w:rsidP="0010095E">
            <w:pPr>
              <w:pStyle w:val="EPName"/>
            </w:pPr>
            <w:r w:rsidRPr="0035242B">
              <w:t>Parlamentul European</w:t>
            </w:r>
          </w:p>
          <w:p w14:paraId="12F8D4BF" w14:textId="77777777" w:rsidR="00751A4A" w:rsidRPr="0035242B" w:rsidRDefault="00817416" w:rsidP="00756632">
            <w:pPr>
              <w:pStyle w:val="EPTerm"/>
              <w:rPr>
                <w:rStyle w:val="HideTWBExt"/>
                <w:noProof w:val="0"/>
                <w:vanish w:val="0"/>
                <w:color w:val="auto"/>
              </w:rPr>
            </w:pPr>
            <w:r w:rsidRPr="0035242B">
              <w:t>2019-2024</w:t>
            </w:r>
          </w:p>
        </w:tc>
        <w:tc>
          <w:tcPr>
            <w:tcW w:w="2268" w:type="dxa"/>
            <w:shd w:val="clear" w:color="auto" w:fill="auto"/>
          </w:tcPr>
          <w:p w14:paraId="6F066A31" w14:textId="77777777" w:rsidR="00751A4A" w:rsidRPr="0035242B" w:rsidRDefault="00187494" w:rsidP="0010095E">
            <w:pPr>
              <w:pStyle w:val="EPLogo"/>
            </w:pPr>
            <w:r w:rsidRPr="0035242B">
              <w:rPr>
                <w:noProof/>
                <w:lang w:val="en-GB" w:eastAsia="zh-TW"/>
              </w:rPr>
              <w:drawing>
                <wp:inline distT="0" distB="0" distL="0" distR="0" wp14:anchorId="1C31BD91" wp14:editId="3B4225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C9A12F" w14:textId="77777777" w:rsidR="00D058B8" w:rsidRPr="0035242B" w:rsidRDefault="00D058B8" w:rsidP="004C5D52">
      <w:pPr>
        <w:pStyle w:val="LineTop"/>
      </w:pPr>
    </w:p>
    <w:p w14:paraId="3C396A3B" w14:textId="77777777" w:rsidR="00680577" w:rsidRPr="0035242B" w:rsidRDefault="00DF35D6" w:rsidP="00680577">
      <w:pPr>
        <w:pStyle w:val="EPBodyTA1"/>
      </w:pPr>
      <w:r w:rsidRPr="0035242B">
        <w:t>TEXTE ADOPTATE</w:t>
      </w:r>
    </w:p>
    <w:p w14:paraId="01AD317A" w14:textId="77777777" w:rsidR="00D058B8" w:rsidRPr="0035242B" w:rsidRDefault="00D058B8" w:rsidP="00D058B8">
      <w:pPr>
        <w:pStyle w:val="LineBottom"/>
      </w:pPr>
    </w:p>
    <w:p w14:paraId="6C4FD934" w14:textId="77777777" w:rsidR="00DF35D6" w:rsidRPr="0035242B" w:rsidRDefault="00DF35D6" w:rsidP="00DF35D6">
      <w:pPr>
        <w:pStyle w:val="ATHeading1"/>
      </w:pPr>
      <w:bookmarkStart w:id="0" w:name="TANumber"/>
      <w:r w:rsidRPr="0035242B">
        <w:t>P9_TA(2024)</w:t>
      </w:r>
      <w:bookmarkEnd w:id="0"/>
      <w:r w:rsidR="00FC699F" w:rsidRPr="0035242B">
        <w:t>0076</w:t>
      </w:r>
    </w:p>
    <w:p w14:paraId="4E4C8F76" w14:textId="77777777" w:rsidR="00DF35D6" w:rsidRPr="0035242B" w:rsidRDefault="00C13713" w:rsidP="00DF35D6">
      <w:pPr>
        <w:pStyle w:val="ATHeading2"/>
      </w:pPr>
      <w:bookmarkStart w:id="1" w:name="title"/>
      <w:r w:rsidRPr="0035242B">
        <w:rPr>
          <w:bCs/>
        </w:rPr>
        <w:t>Raport referitor la punerea în aplicare a Strategiei UE privind egalitatea pentru persoanele LGBTIQ 2020-2025</w:t>
      </w:r>
      <w:bookmarkEnd w:id="1"/>
    </w:p>
    <w:p w14:paraId="6A287E1A" w14:textId="77777777" w:rsidR="00DF35D6" w:rsidRPr="0035242B" w:rsidRDefault="00DF35D6" w:rsidP="00DF35D6">
      <w:pPr>
        <w:rPr>
          <w:i/>
          <w:vanish/>
        </w:rPr>
      </w:pPr>
      <w:r w:rsidRPr="0035242B">
        <w:rPr>
          <w:i/>
        </w:rPr>
        <w:fldChar w:fldCharType="begin"/>
      </w:r>
      <w:r w:rsidRPr="0035242B">
        <w:rPr>
          <w:i/>
        </w:rPr>
        <w:instrText xml:space="preserve"> TC"(</w:instrText>
      </w:r>
      <w:bookmarkStart w:id="2" w:name="DocNumber"/>
      <w:r w:rsidRPr="0035242B">
        <w:rPr>
          <w:i/>
        </w:rPr>
        <w:instrText>A9-0030/2024</w:instrText>
      </w:r>
      <w:bookmarkEnd w:id="2"/>
      <w:r w:rsidRPr="0035242B">
        <w:rPr>
          <w:i/>
        </w:rPr>
        <w:instrText xml:space="preserve"> - Raportor: José </w:instrText>
      </w:r>
      <w:proofErr w:type="spellStart"/>
      <w:r w:rsidRPr="0035242B">
        <w:rPr>
          <w:i/>
        </w:rPr>
        <w:instrText>Gusmão</w:instrText>
      </w:r>
      <w:proofErr w:type="spellEnd"/>
      <w:r w:rsidRPr="0035242B">
        <w:rPr>
          <w:i/>
        </w:rPr>
        <w:instrText xml:space="preserve">)"\l3 \n&gt; \* MERGEFORMAT </w:instrText>
      </w:r>
      <w:r w:rsidRPr="0035242B">
        <w:rPr>
          <w:i/>
        </w:rPr>
        <w:fldChar w:fldCharType="end"/>
      </w:r>
    </w:p>
    <w:p w14:paraId="2E7A9C4A" w14:textId="77777777" w:rsidR="00DF35D6" w:rsidRPr="0035242B" w:rsidRDefault="00DF35D6" w:rsidP="00DF35D6">
      <w:pPr>
        <w:rPr>
          <w:vanish/>
        </w:rPr>
      </w:pPr>
      <w:bookmarkStart w:id="3" w:name="Commission"/>
      <w:r w:rsidRPr="0035242B">
        <w:rPr>
          <w:vanish/>
        </w:rPr>
        <w:t>Comisia pentru libertăți civile, justiție și afaceri interne</w:t>
      </w:r>
      <w:bookmarkEnd w:id="3"/>
    </w:p>
    <w:p w14:paraId="30CA8B7D" w14:textId="77777777" w:rsidR="00DF35D6" w:rsidRPr="0035242B" w:rsidRDefault="00DF35D6" w:rsidP="00DF35D6">
      <w:pPr>
        <w:rPr>
          <w:vanish/>
        </w:rPr>
      </w:pPr>
      <w:bookmarkStart w:id="4" w:name="PE"/>
      <w:r w:rsidRPr="0035242B">
        <w:rPr>
          <w:vanish/>
        </w:rPr>
        <w:t>PE756.097</w:t>
      </w:r>
      <w:bookmarkEnd w:id="4"/>
    </w:p>
    <w:p w14:paraId="6556149F" w14:textId="77777777" w:rsidR="00DF35D6" w:rsidRPr="0035242B" w:rsidRDefault="00DF35D6" w:rsidP="00DF35D6">
      <w:pPr>
        <w:pStyle w:val="ATHeading3"/>
      </w:pPr>
      <w:bookmarkStart w:id="5" w:name="Sujet"/>
      <w:r w:rsidRPr="0035242B">
        <w:t xml:space="preserve">Rezoluția Parlamentului European din </w:t>
      </w:r>
      <w:r w:rsidR="00C13713" w:rsidRPr="0035242B">
        <w:t>8 februarie</w:t>
      </w:r>
      <w:r w:rsidRPr="0035242B">
        <w:t xml:space="preserve"> 2024 referito</w:t>
      </w:r>
      <w:r w:rsidR="00C13713" w:rsidRPr="0035242B">
        <w:t>a</w:t>
      </w:r>
      <w:r w:rsidRPr="0035242B">
        <w:t>r</w:t>
      </w:r>
      <w:r w:rsidR="00C13713" w:rsidRPr="0035242B">
        <w:t>e</w:t>
      </w:r>
      <w:r w:rsidRPr="0035242B">
        <w:t xml:space="preserve"> la punerea în aplicare a Strategiei UE privind egalitatea persoanelor LGBTIQ 2020-2025</w:t>
      </w:r>
      <w:bookmarkEnd w:id="5"/>
      <w:r w:rsidRPr="0035242B">
        <w:t xml:space="preserve"> </w:t>
      </w:r>
      <w:bookmarkStart w:id="6" w:name="References"/>
      <w:r w:rsidRPr="0035242B">
        <w:t>(2023/2082(INI))</w:t>
      </w:r>
      <w:bookmarkEnd w:id="6"/>
    </w:p>
    <w:p w14:paraId="32620C47" w14:textId="77777777" w:rsidR="002F15F7" w:rsidRPr="0035242B" w:rsidRDefault="002F15F7" w:rsidP="002F15F7">
      <w:pPr>
        <w:pStyle w:val="EPComma"/>
      </w:pPr>
      <w:bookmarkStart w:id="7" w:name="TextBodyBegin"/>
      <w:bookmarkEnd w:id="7"/>
      <w:r w:rsidRPr="0035242B">
        <w:rPr>
          <w:i/>
          <w:iCs/>
        </w:rPr>
        <w:t>Parlamentul European</w:t>
      </w:r>
      <w:r w:rsidRPr="0035242B">
        <w:t>,</w:t>
      </w:r>
    </w:p>
    <w:p w14:paraId="767DC493" w14:textId="77777777" w:rsidR="002F15F7" w:rsidRPr="0035242B" w:rsidRDefault="002F15F7" w:rsidP="00C13713">
      <w:pPr>
        <w:pStyle w:val="NormalHanging12a"/>
        <w:widowControl/>
      </w:pPr>
      <w:r w:rsidRPr="0035242B">
        <w:t>–</w:t>
      </w:r>
      <w:r w:rsidRPr="0035242B">
        <w:tab/>
        <w:t>având în vedere Carta drepturilor fundamentale a Uniunii Europene,</w:t>
      </w:r>
    </w:p>
    <w:p w14:paraId="51EB31DD" w14:textId="77777777" w:rsidR="002F15F7" w:rsidRPr="0035242B" w:rsidRDefault="002F15F7" w:rsidP="00C13713">
      <w:pPr>
        <w:pStyle w:val="NormalHanging12a"/>
        <w:widowControl/>
      </w:pPr>
      <w:r w:rsidRPr="0035242B">
        <w:t>–</w:t>
      </w:r>
      <w:r w:rsidRPr="0035242B">
        <w:tab/>
        <w:t>având în vedere articolul 2 din Tratatul privind Uniunea Europeană (TUE),</w:t>
      </w:r>
    </w:p>
    <w:p w14:paraId="46E4CBDE" w14:textId="77777777" w:rsidR="002F15F7" w:rsidRPr="0035242B" w:rsidRDefault="002F15F7" w:rsidP="00C13713">
      <w:pPr>
        <w:pStyle w:val="NormalHanging12a"/>
        <w:widowControl/>
      </w:pPr>
      <w:r w:rsidRPr="0035242B">
        <w:t>–</w:t>
      </w:r>
      <w:r w:rsidRPr="0035242B">
        <w:tab/>
        <w:t>având în vedere Convenția europeană a drepturilor omului și jurisprudența aferentă a Curții Europene a Drepturilor Omului (CEDO),</w:t>
      </w:r>
    </w:p>
    <w:p w14:paraId="526DE2A8" w14:textId="77777777" w:rsidR="002F15F7" w:rsidRPr="0035242B" w:rsidRDefault="002F15F7" w:rsidP="00C13713">
      <w:pPr>
        <w:pStyle w:val="NormalHanging12a"/>
        <w:widowControl/>
      </w:pPr>
      <w:r w:rsidRPr="0035242B">
        <w:t>–</w:t>
      </w:r>
      <w:r w:rsidRPr="0035242B">
        <w:tab/>
        <w:t>având în vedere jurisprudența Curții de Justiție a Uniunii Europene (CJUE),</w:t>
      </w:r>
    </w:p>
    <w:p w14:paraId="5C9D2D28" w14:textId="77777777" w:rsidR="002F15F7" w:rsidRPr="0035242B" w:rsidRDefault="002F15F7" w:rsidP="00C13713">
      <w:pPr>
        <w:pStyle w:val="NormalHanging12a"/>
        <w:widowControl/>
      </w:pPr>
      <w:r w:rsidRPr="0035242B">
        <w:t>–</w:t>
      </w:r>
      <w:r w:rsidRPr="0035242B">
        <w:tab/>
        <w:t>având în vedere hotărârea CJUE din 5 iunie 2018 în cauza C-673/16,</w:t>
      </w:r>
    </w:p>
    <w:p w14:paraId="14DA477A" w14:textId="77777777" w:rsidR="002F15F7" w:rsidRPr="0035242B" w:rsidRDefault="002F15F7" w:rsidP="00C13713">
      <w:pPr>
        <w:pStyle w:val="NormalHanging12a"/>
        <w:widowControl/>
      </w:pPr>
      <w:r w:rsidRPr="0035242B">
        <w:t>–</w:t>
      </w:r>
      <w:r w:rsidRPr="0035242B">
        <w:tab/>
        <w:t>având în vedere Declarația universală a drepturilor omului,</w:t>
      </w:r>
    </w:p>
    <w:p w14:paraId="14F4D509" w14:textId="77777777" w:rsidR="002F15F7" w:rsidRPr="0035242B" w:rsidRDefault="002F15F7" w:rsidP="00C13713">
      <w:pPr>
        <w:pStyle w:val="NormalHanging12a"/>
        <w:widowControl/>
      </w:pPr>
      <w:r w:rsidRPr="0035242B">
        <w:t>–</w:t>
      </w:r>
      <w:r w:rsidRPr="0035242B">
        <w:tab/>
        <w:t>având în vedere Convenția Consiliului Europei privind prevenirea și combaterea violenței împotriva femeilor și a violenței domestice (Convenția de la Istanbul), care a fost ratificată de Uniunea Europeană la 28 iunie 2023,</w:t>
      </w:r>
    </w:p>
    <w:p w14:paraId="0F9D7936" w14:textId="77777777" w:rsidR="002F15F7" w:rsidRPr="0035242B" w:rsidRDefault="002F15F7" w:rsidP="00C13713">
      <w:pPr>
        <w:pStyle w:val="NormalHanging12a"/>
        <w:widowControl/>
      </w:pPr>
      <w:r w:rsidRPr="0035242B">
        <w:t>–</w:t>
      </w:r>
      <w:r w:rsidRPr="0035242B">
        <w:tab/>
        <w:t>având în vedere Convenția ONU cu privire la drepturile copilului, Convenția ONU privind eliminarea tuturor formelor de discriminare față de femei, Convenția ONU privind eliminarea discriminării rasiale și Convenția ONU privind drepturile persoanelor cu dizabilități,</w:t>
      </w:r>
    </w:p>
    <w:p w14:paraId="273FD646" w14:textId="77777777" w:rsidR="002F15F7" w:rsidRPr="0035242B" w:rsidRDefault="002F15F7" w:rsidP="00C13713">
      <w:pPr>
        <w:pStyle w:val="NormalHanging12a"/>
        <w:widowControl/>
      </w:pPr>
      <w:r w:rsidRPr="0035242B">
        <w:t>–</w:t>
      </w:r>
      <w:r w:rsidRPr="0035242B">
        <w:tab/>
        <w:t xml:space="preserve">având în vedere principiile de la </w:t>
      </w:r>
      <w:proofErr w:type="spellStart"/>
      <w:r w:rsidRPr="0035242B">
        <w:t>Yogyakarta</w:t>
      </w:r>
      <w:proofErr w:type="spellEnd"/>
      <w:r w:rsidRPr="0035242B">
        <w:t xml:space="preserve"> și aplicarea dreptului internațional al drepturilor omului în ceea ce privește orientarea sexuală, identitatea de gen, exprimarea de gen și caracteristicile sexuale,</w:t>
      </w:r>
    </w:p>
    <w:p w14:paraId="570C041C" w14:textId="77777777" w:rsidR="002F15F7" w:rsidRPr="0035242B" w:rsidRDefault="002F15F7" w:rsidP="00C13713">
      <w:pPr>
        <w:pStyle w:val="NormalHanging12a"/>
        <w:widowControl/>
      </w:pPr>
      <w:r w:rsidRPr="0035242B">
        <w:t>–</w:t>
      </w:r>
      <w:r w:rsidRPr="0035242B">
        <w:tab/>
        <w:t>având în vedere comunicarea Comisiei din 12 noiembrie 2020 intitulată „O Uniune a egalității: strategia privind egalitatea pentru persoanele LGBTIQ 2020-2025” (COM(2020)0698),</w:t>
      </w:r>
    </w:p>
    <w:p w14:paraId="0306875C" w14:textId="77777777" w:rsidR="002F15F7" w:rsidRPr="0035242B" w:rsidRDefault="002F15F7" w:rsidP="00C13713">
      <w:pPr>
        <w:pStyle w:val="NormalHanging12a"/>
        <w:widowControl/>
      </w:pPr>
      <w:r w:rsidRPr="0035242B">
        <w:lastRenderedPageBreak/>
        <w:t>–</w:t>
      </w:r>
      <w:r w:rsidRPr="0035242B">
        <w:tab/>
        <w:t>având în vedere rezoluția sa din 14 septembrie 2021 referitoare la drepturile persoanelor LGBTIQ în UE</w:t>
      </w:r>
      <w:r w:rsidRPr="0035242B">
        <w:rPr>
          <w:rStyle w:val="FootnoteReference"/>
        </w:rPr>
        <w:footnoteReference w:id="1"/>
      </w:r>
      <w:r w:rsidRPr="0035242B">
        <w:t>,</w:t>
      </w:r>
    </w:p>
    <w:p w14:paraId="2C837817" w14:textId="77777777" w:rsidR="002F15F7" w:rsidRPr="0035242B" w:rsidRDefault="002F15F7" w:rsidP="00C13713">
      <w:pPr>
        <w:pStyle w:val="NormalHanging12a"/>
        <w:widowControl/>
      </w:pPr>
      <w:r w:rsidRPr="0035242B">
        <w:t>–</w:t>
      </w:r>
      <w:r w:rsidRPr="0035242B">
        <w:tab/>
        <w:t>având în vedere raportul Comisiei privind progresele înregistrate în punerea în aplicare a Strategiei privind egalitatea pentru persoanele LGBTIQ 2020-2025,</w:t>
      </w:r>
    </w:p>
    <w:p w14:paraId="4AA2CF84" w14:textId="77777777" w:rsidR="002F15F7" w:rsidRPr="0035242B" w:rsidRDefault="002F15F7" w:rsidP="00C13713">
      <w:pPr>
        <w:pStyle w:val="NormalHanging12a"/>
        <w:widowControl/>
      </w:pPr>
      <w:r w:rsidRPr="0035242B">
        <w:t>–</w:t>
      </w:r>
      <w:r w:rsidRPr="0035242B">
        <w:tab/>
        <w:t>având în vedere rezoluția sa din 11 martie 2021 referitoare la declararea UE ca zonă de libertate a persoanelor LGBTIQ</w:t>
      </w:r>
      <w:r w:rsidRPr="0035242B">
        <w:rPr>
          <w:rStyle w:val="FootnoteReference"/>
        </w:rPr>
        <w:footnoteReference w:id="2"/>
      </w:r>
      <w:r w:rsidRPr="0035242B">
        <w:t>,</w:t>
      </w:r>
    </w:p>
    <w:p w14:paraId="62FFDE88" w14:textId="77777777" w:rsidR="002F15F7" w:rsidRPr="0035242B" w:rsidRDefault="002F15F7" w:rsidP="00C13713">
      <w:pPr>
        <w:pStyle w:val="NormalHanging12a"/>
        <w:widowControl/>
      </w:pPr>
      <w:r w:rsidRPr="0035242B">
        <w:t>–</w:t>
      </w:r>
      <w:r w:rsidRPr="0035242B">
        <w:tab/>
        <w:t>având în vedere rezoluția sa din 17 septembrie 2020 referitoare la propunerea de decizie a Consiliului privind constatarea unui risc clar de încălcare gravă de către Republica Polonă a statului de drept</w:t>
      </w:r>
      <w:r w:rsidRPr="0035242B">
        <w:rPr>
          <w:rStyle w:val="FootnoteReference"/>
        </w:rPr>
        <w:footnoteReference w:id="3"/>
      </w:r>
      <w:r w:rsidRPr="0035242B">
        <w:t>,</w:t>
      </w:r>
    </w:p>
    <w:p w14:paraId="0D08F09C" w14:textId="77777777" w:rsidR="002F15F7" w:rsidRPr="0035242B" w:rsidRDefault="002F15F7" w:rsidP="00C13713">
      <w:pPr>
        <w:pStyle w:val="NormalHanging12a"/>
        <w:widowControl/>
      </w:pPr>
      <w:r w:rsidRPr="0035242B">
        <w:t>–</w:t>
      </w:r>
      <w:r w:rsidRPr="0035242B">
        <w:tab/>
        <w:t>având în vedere rezoluția sa din 8 iulie 2021 referitoare la încălcările legislației UE și ale drepturilor cetățenilor LGBTIQ în Ungaria, ca urmare a modificărilor legislative adoptate de Parlamentul Ungariei</w:t>
      </w:r>
      <w:r w:rsidRPr="0035242B">
        <w:rPr>
          <w:rStyle w:val="FootnoteReference"/>
        </w:rPr>
        <w:footnoteReference w:id="4"/>
      </w:r>
      <w:r w:rsidRPr="0035242B">
        <w:t>,</w:t>
      </w:r>
    </w:p>
    <w:p w14:paraId="2B03450C" w14:textId="77777777" w:rsidR="002F15F7" w:rsidRPr="0035242B" w:rsidRDefault="002F15F7" w:rsidP="00C13713">
      <w:pPr>
        <w:pStyle w:val="NormalHanging12a"/>
        <w:widowControl/>
      </w:pPr>
      <w:r w:rsidRPr="0035242B">
        <w:t>–</w:t>
      </w:r>
      <w:r w:rsidRPr="0035242B">
        <w:tab/>
        <w:t xml:space="preserve">având în vedere rezoluția sa din 20 octombrie 2022 referitoare la creșterea numărului de infracțiuni motivate de ură împotriva persoanelor LGBTIQ+ în întreaga </w:t>
      </w:r>
      <w:proofErr w:type="spellStart"/>
      <w:r w:rsidRPr="0035242B">
        <w:t>Europă</w:t>
      </w:r>
      <w:proofErr w:type="spellEnd"/>
      <w:r w:rsidRPr="0035242B">
        <w:t>, având în vedere recentele crime homofobe din Slovacia</w:t>
      </w:r>
      <w:r w:rsidRPr="0035242B">
        <w:rPr>
          <w:rStyle w:val="FootnoteReference"/>
        </w:rPr>
        <w:footnoteReference w:id="5"/>
      </w:r>
      <w:r w:rsidRPr="0035242B">
        <w:t xml:space="preserve">, </w:t>
      </w:r>
    </w:p>
    <w:p w14:paraId="377CB5ED" w14:textId="7FA3754B" w:rsidR="002F15F7" w:rsidRPr="0035242B" w:rsidRDefault="002F15F7" w:rsidP="00C13713">
      <w:pPr>
        <w:pStyle w:val="NormalHanging12a"/>
        <w:widowControl/>
      </w:pPr>
      <w:r w:rsidRPr="0035242B">
        <w:t>–</w:t>
      </w:r>
      <w:r w:rsidRPr="0035242B">
        <w:tab/>
        <w:t xml:space="preserve">având în vedere rezoluția sa din </w:t>
      </w:r>
      <w:r w:rsidR="009F0CA3">
        <w:t>20</w:t>
      </w:r>
      <w:bookmarkStart w:id="8" w:name="_GoBack"/>
      <w:bookmarkEnd w:id="8"/>
      <w:r w:rsidRPr="0035242B">
        <w:t xml:space="preserve"> aprilie 2023 referitoare la dezincriminarea universală a homosexualității în lumina recentelor evenimente din Uganda</w:t>
      </w:r>
      <w:r w:rsidRPr="0035242B">
        <w:rPr>
          <w:rStyle w:val="FootnoteReference"/>
        </w:rPr>
        <w:footnoteReference w:id="6"/>
      </w:r>
      <w:r w:rsidRPr="0035242B">
        <w:t xml:space="preserve">, </w:t>
      </w:r>
    </w:p>
    <w:p w14:paraId="465C1366" w14:textId="77777777" w:rsidR="002F15F7" w:rsidRPr="0035242B" w:rsidRDefault="002F15F7" w:rsidP="00C13713">
      <w:pPr>
        <w:pStyle w:val="NormalHanging12a"/>
        <w:widowControl/>
      </w:pPr>
      <w:r w:rsidRPr="0035242B">
        <w:t>–</w:t>
      </w:r>
      <w:r w:rsidRPr="0035242B">
        <w:tab/>
        <w:t>având în vedere propunerea Comisiei din 7 decembrie 2022 de regulament al Consiliului privind competența, legea aplicabilă, recunoașterea hotărârilor judecătorești și acceptarea actelor autentice în materie de filiație și privind crearea unui certificat de filiație european (COM(2022)0695),</w:t>
      </w:r>
    </w:p>
    <w:p w14:paraId="556102C6" w14:textId="77777777" w:rsidR="002F15F7" w:rsidRPr="0035242B" w:rsidRDefault="002F15F7" w:rsidP="00C13713">
      <w:pPr>
        <w:pStyle w:val="NormalHanging12a"/>
        <w:widowControl/>
      </w:pPr>
      <w:r w:rsidRPr="0035242B">
        <w:t>–</w:t>
      </w:r>
      <w:r w:rsidRPr="0035242B">
        <w:tab/>
        <w:t>având în vedere studiul Direcției Generale Servicii de Cercetare Parlamentară din decembrie 2023 intitulat „Strategia privind egalitatea pentru persoanele LGBTIQ 2020-2025 – Prezentare generală a punerii în aplicare”</w:t>
      </w:r>
      <w:r w:rsidRPr="0035242B">
        <w:rPr>
          <w:rStyle w:val="FootnoteReference"/>
        </w:rPr>
        <w:footnoteReference w:id="7"/>
      </w:r>
      <w:r w:rsidRPr="0035242B">
        <w:t>,</w:t>
      </w:r>
    </w:p>
    <w:p w14:paraId="05B45427" w14:textId="77777777" w:rsidR="002F15F7" w:rsidRPr="0035242B" w:rsidRDefault="002F15F7" w:rsidP="00C13713">
      <w:pPr>
        <w:pStyle w:val="NormalHanging12a"/>
        <w:widowControl/>
      </w:pPr>
      <w:r w:rsidRPr="0035242B">
        <w:t>–</w:t>
      </w:r>
      <w:r w:rsidRPr="0035242B">
        <w:tab/>
        <w:t>având în vedere Orientările UE pentru strategii și planuri de acțiune în vederea consolidării egalității pentru persoanele LGBTIQ, elaborate de Comisie în 2022,</w:t>
      </w:r>
    </w:p>
    <w:p w14:paraId="720D170F" w14:textId="2983FF17" w:rsidR="002C3E45" w:rsidRPr="0035242B" w:rsidRDefault="002C3E45" w:rsidP="002C3E45">
      <w:pPr>
        <w:pStyle w:val="NormalHanging12a"/>
      </w:pPr>
      <w:r w:rsidRPr="0035242B">
        <w:t>–</w:t>
      </w:r>
      <w:r w:rsidRPr="0035242B">
        <w:tab/>
        <w:t>având în vedere Decizia de punere în aplicare (UE) 2024/442 a Comisiei din 24 ianuarie 2024 privind cererea de înregistrare, în temeiul Regulamentului (UE) 2019/788 al Parlamentului European și al Consiliului, a inițiativei cetățenești europene intitulate Interzicerea practicilor de conversie în Uniunea Europeană</w:t>
      </w:r>
      <w:r w:rsidRPr="0035242B">
        <w:footnoteReference w:id="8"/>
      </w:r>
      <w:r w:rsidR="0000046C" w:rsidRPr="0035242B">
        <w:t>,</w:t>
      </w:r>
    </w:p>
    <w:p w14:paraId="7B3A91CF" w14:textId="77777777" w:rsidR="002C3E45" w:rsidRPr="0035242B" w:rsidRDefault="002C3E45" w:rsidP="00C13713">
      <w:pPr>
        <w:pStyle w:val="NormalHanging12a"/>
        <w:widowControl/>
      </w:pPr>
    </w:p>
    <w:p w14:paraId="10F899AE" w14:textId="77777777" w:rsidR="002F15F7" w:rsidRPr="0035242B" w:rsidRDefault="002F15F7" w:rsidP="00C13713">
      <w:pPr>
        <w:pStyle w:val="NormalHanging12a"/>
        <w:widowControl/>
      </w:pPr>
      <w:r w:rsidRPr="0035242B">
        <w:t>–</w:t>
      </w:r>
      <w:r w:rsidRPr="0035242B">
        <w:tab/>
        <w:t>având în vedere articolul 54 din Regulamentul său de procedură, precum și articolul 1 alineatul (1) litera (e) din Decizia Conferinței președinților din 12 decembrie 2002 privind procedura de autorizare a rapoartelor din proprie inițiativă și anexa 3 la aceasta,</w:t>
      </w:r>
    </w:p>
    <w:p w14:paraId="2C2C55D8" w14:textId="77777777" w:rsidR="002F15F7" w:rsidRPr="0035242B" w:rsidRDefault="002F15F7" w:rsidP="00C13713">
      <w:pPr>
        <w:pStyle w:val="NormalHanging12a"/>
        <w:widowControl/>
      </w:pPr>
      <w:r w:rsidRPr="0035242B">
        <w:t>–</w:t>
      </w:r>
      <w:r w:rsidRPr="0035242B">
        <w:tab/>
        <w:t>având în vedere raportul Comisiei pentru libertăți civile, justiție și afaceri interne (A9-0030/2024),</w:t>
      </w:r>
    </w:p>
    <w:p w14:paraId="3BE60AB3" w14:textId="77777777" w:rsidR="002F15F7" w:rsidRPr="0035242B" w:rsidRDefault="002F15F7" w:rsidP="00C13713">
      <w:pPr>
        <w:pStyle w:val="NormalHanging12a"/>
        <w:widowControl/>
      </w:pPr>
      <w:r w:rsidRPr="0035242B">
        <w:t>A.</w:t>
      </w:r>
      <w:r w:rsidRPr="0035242B">
        <w:tab/>
        <w:t>întrucât drepturile LGBTIQ+ sunt drepturi fundamentale, iar sistemul de control și echilibru în materie de stat de drept și democrație este esențial pentru protejarea drepturilor LGBTIQ; întrucât siguranța și demnitatea persoanelor LGBTIQ+ reprezintă siguranța și demnitatea tuturor;</w:t>
      </w:r>
    </w:p>
    <w:p w14:paraId="03353698" w14:textId="77777777" w:rsidR="002F15F7" w:rsidRPr="0035242B" w:rsidRDefault="002F15F7" w:rsidP="00C13713">
      <w:pPr>
        <w:pStyle w:val="NormalHanging12a"/>
        <w:widowControl/>
      </w:pPr>
      <w:r w:rsidRPr="0035242B">
        <w:t>B.</w:t>
      </w:r>
      <w:r w:rsidRPr="0035242B">
        <w:tab/>
        <w:t>întrucât egalitatea de tratament și nediscriminarea constituie drepturi fundamentale consacrate în tratate și în Cartă, și ar trebui respectate pe deplin;</w:t>
      </w:r>
    </w:p>
    <w:p w14:paraId="2B7C1639" w14:textId="77777777" w:rsidR="002F15F7" w:rsidRPr="0035242B" w:rsidRDefault="002F15F7" w:rsidP="00C13713">
      <w:pPr>
        <w:pStyle w:val="NormalHanging12a"/>
        <w:widowControl/>
      </w:pPr>
      <w:r w:rsidRPr="0035242B">
        <w:t>C.</w:t>
      </w:r>
      <w:r w:rsidRPr="0035242B">
        <w:tab/>
        <w:t>întrucât egalitatea și protecția minorităților se numără printre valorile UE consacrate la articolul 2 din TUE;</w:t>
      </w:r>
    </w:p>
    <w:p w14:paraId="526D5A9B" w14:textId="77777777" w:rsidR="002F15F7" w:rsidRPr="0035242B" w:rsidRDefault="002F15F7" w:rsidP="00C13713">
      <w:pPr>
        <w:widowControl/>
        <w:spacing w:after="240"/>
        <w:ind w:left="567" w:hanging="567"/>
      </w:pPr>
      <w:r w:rsidRPr="0035242B">
        <w:t>D.</w:t>
      </w:r>
      <w:r w:rsidRPr="0035242B">
        <w:tab/>
        <w:t>întrucât articolul 21 din Tratatul privind funcționarea Uniunii Europene (TFUE) prevede că orice cetățean al Uniunii are dreptul de liberă circulație și de ședere pe teritoriul statelor membre;</w:t>
      </w:r>
    </w:p>
    <w:p w14:paraId="4839CB3E" w14:textId="77777777" w:rsidR="002F15F7" w:rsidRPr="0035242B" w:rsidRDefault="002F15F7" w:rsidP="00C13713">
      <w:pPr>
        <w:pStyle w:val="NormalHanging12a"/>
        <w:widowControl/>
      </w:pPr>
      <w:r w:rsidRPr="0035242B">
        <w:t>E.</w:t>
      </w:r>
      <w:r w:rsidRPr="0035242B">
        <w:tab/>
        <w:t>întrucât toate statele membre și-au asumat, în temeiul dreptului internațional și al tratatelor UE, obligații și sarcini legate de respectarea, garantarea, protejarea și realizarea drepturilor fundamentale;</w:t>
      </w:r>
    </w:p>
    <w:p w14:paraId="6C36E8AE" w14:textId="77777777" w:rsidR="002F15F7" w:rsidRPr="0035242B" w:rsidRDefault="002F15F7" w:rsidP="00C13713">
      <w:pPr>
        <w:pStyle w:val="NormalHanging12a"/>
        <w:widowControl/>
      </w:pPr>
      <w:r w:rsidRPr="0035242B">
        <w:t>F.</w:t>
      </w:r>
      <w:r w:rsidRPr="0035242B">
        <w:tab/>
        <w:t>întrucât s-au înregistrat progrese în ceea ce privește protejarea și promovarea drepturilor persoanelor LGBTIQ+ în unele state membre;</w:t>
      </w:r>
    </w:p>
    <w:p w14:paraId="11894F47" w14:textId="77777777" w:rsidR="002F15F7" w:rsidRPr="0035242B" w:rsidRDefault="002F15F7" w:rsidP="00C13713">
      <w:pPr>
        <w:pStyle w:val="NormalHanging12a"/>
        <w:widowControl/>
      </w:pPr>
      <w:r w:rsidRPr="0035242B">
        <w:t>G.</w:t>
      </w:r>
      <w:r w:rsidRPr="0035242B">
        <w:tab/>
        <w:t>întrucât discriminarea bazată pe orientarea sexuală reală sau percepută, identitatea și exprimarea de gen și caracteristicile sexuale (SOGIESC) persistă în întreaga UE;</w:t>
      </w:r>
    </w:p>
    <w:p w14:paraId="5BB31834" w14:textId="77777777" w:rsidR="002F15F7" w:rsidRPr="0035242B" w:rsidRDefault="002F15F7" w:rsidP="00C13713">
      <w:pPr>
        <w:pStyle w:val="NormalHanging12a"/>
        <w:widowControl/>
      </w:pPr>
      <w:r w:rsidRPr="0035242B">
        <w:t>H.</w:t>
      </w:r>
      <w:r w:rsidRPr="0035242B">
        <w:tab/>
        <w:t>întrucât evoluțiile din unele state membre au arătat că progresele înregistrate în ceea ce privește drepturile persoanelor LGBTIQ+ nu pot fi considerate de la sine înțelese;</w:t>
      </w:r>
    </w:p>
    <w:p w14:paraId="00B472B0" w14:textId="77777777" w:rsidR="002F15F7" w:rsidRPr="0035242B" w:rsidRDefault="002F15F7" w:rsidP="00C13713">
      <w:pPr>
        <w:pStyle w:val="NormalHanging12a"/>
        <w:widowControl/>
      </w:pPr>
      <w:r w:rsidRPr="0035242B">
        <w:t>I.</w:t>
      </w:r>
      <w:r w:rsidRPr="0035242B">
        <w:tab/>
        <w:t>întrucât, în 2022, Comisia, împreună cu Parlamentul European și 15 state membre, au trimis Ungaria în fața CJUE din cauza încălcării drepturilor LGBTIQ;</w:t>
      </w:r>
    </w:p>
    <w:p w14:paraId="25A07DB7" w14:textId="77777777" w:rsidR="002F15F7" w:rsidRPr="0035242B" w:rsidRDefault="002F15F7" w:rsidP="00C13713">
      <w:pPr>
        <w:pStyle w:val="NormalHanging12a"/>
        <w:widowControl/>
      </w:pPr>
      <w:r w:rsidRPr="0035242B">
        <w:t>J.</w:t>
      </w:r>
      <w:r w:rsidRPr="0035242B">
        <w:tab/>
        <w:t xml:space="preserve">întrucât Letonia ar trebui să se alăture subgrupului pentru egalitate LGBTIQ, înființat în cadrul Grupului la nivel înalt pentru nediscriminare, egalitate și diversitate - ca ultimul stat membru care urmează să o facă, după ce Cipru și-a exprimat recent interesul - cu scopul de a îmbunătăți punerea în aplicare a strategiei LGBTIQ în toate statele membre; </w:t>
      </w:r>
    </w:p>
    <w:p w14:paraId="19039CAB" w14:textId="77777777" w:rsidR="002F15F7" w:rsidRPr="0035242B" w:rsidRDefault="002F15F7" w:rsidP="00C13713">
      <w:pPr>
        <w:pStyle w:val="NormalHanging12a"/>
        <w:widowControl/>
      </w:pPr>
      <w:r w:rsidRPr="0035242B">
        <w:t>K.</w:t>
      </w:r>
      <w:r w:rsidRPr="0035242B">
        <w:tab/>
        <w:t>întrucât Parlamentul a condamnat în cei mai fermi termeni posibil legile, politicile și practicile discriminatorii împotriva persoanelor LGBTIQ+, cum ar fi „Legea împotriva homosexualității” din Uganda;</w:t>
      </w:r>
    </w:p>
    <w:p w14:paraId="3A9DFA2A" w14:textId="77777777" w:rsidR="002F15F7" w:rsidRPr="0035242B" w:rsidRDefault="002F15F7" w:rsidP="00C13713">
      <w:pPr>
        <w:pStyle w:val="NormalHanging12a"/>
        <w:widowControl/>
      </w:pPr>
      <w:r w:rsidRPr="0035242B">
        <w:t>L.</w:t>
      </w:r>
      <w:r w:rsidRPr="0035242B">
        <w:tab/>
        <w:t xml:space="preserve">întrucât, la 30 noiembrie 2023, Curtea Supremă a Rusiei a interzis „mișcarea internațională LGBT”, declarând-o organizație extremistă; întrucât această decizie este un atac grav împotriva persoanelor LGBTIQ + și a apărătorilor drepturilor omului din Rusia și va avea un impact grav asupra situației acestora; întrucât persoanele LGBTIQ + </w:t>
      </w:r>
      <w:r w:rsidRPr="0035242B">
        <w:lastRenderedPageBreak/>
        <w:t>din China s-au confruntat cu intensificarea hărțuirii și a cenzurii, inclusiv în mediul online;</w:t>
      </w:r>
    </w:p>
    <w:p w14:paraId="5992FBA1" w14:textId="77777777" w:rsidR="002F15F7" w:rsidRPr="0035242B" w:rsidRDefault="002F15F7" w:rsidP="00C13713">
      <w:pPr>
        <w:pStyle w:val="NormalHanging12a"/>
        <w:widowControl/>
      </w:pPr>
      <w:r w:rsidRPr="0035242B">
        <w:t>M.</w:t>
      </w:r>
      <w:r w:rsidRPr="0035242B">
        <w:tab/>
        <w:t>întrucât raportul anual din 2023 al Asociației Internaționale a Persoanelor Lesbiene, Gay, Bisexuale, Trans și Intersexuale (ILGA) din Europa a semnalat cel mai mare număr de acte de violențe împotriva persoanelor LGBTIQ+ din ultimii 12 ani;</w:t>
      </w:r>
    </w:p>
    <w:p w14:paraId="76CC33E4" w14:textId="77777777" w:rsidR="002F15F7" w:rsidRPr="0035242B" w:rsidRDefault="002F15F7" w:rsidP="00C13713">
      <w:pPr>
        <w:pStyle w:val="NormalHanging12a"/>
        <w:widowControl/>
      </w:pPr>
      <w:r w:rsidRPr="0035242B">
        <w:t>N.</w:t>
      </w:r>
      <w:r w:rsidRPr="0035242B">
        <w:tab/>
        <w:t>întrucât intensificarea retoricii anti-drepturi, inclusiv a politicienilor aleși, a contribuit la crearea unui mediu ostil pentru persoanele LGBTIQ+ și apărătorii drepturilor persoanelor LGBTIQ+;</w:t>
      </w:r>
    </w:p>
    <w:p w14:paraId="12EF9AF5" w14:textId="77777777" w:rsidR="002F15F7" w:rsidRPr="0035242B" w:rsidRDefault="002F15F7" w:rsidP="00C13713">
      <w:pPr>
        <w:pStyle w:val="NormalHanging12a"/>
        <w:widowControl/>
      </w:pPr>
      <w:r w:rsidRPr="0035242B">
        <w:t>O.</w:t>
      </w:r>
      <w:r w:rsidRPr="0035242B">
        <w:tab/>
        <w:t xml:space="preserve">întrucât construirea unor societăți sigure, libere și favorabile incluziunii pentru persoanele LGBTIQ+ implică combaterea manifestărilor multiple și </w:t>
      </w:r>
      <w:proofErr w:type="spellStart"/>
      <w:r w:rsidRPr="0035242B">
        <w:t>intersecționale</w:t>
      </w:r>
      <w:proofErr w:type="spellEnd"/>
      <w:r w:rsidRPr="0035242B">
        <w:t xml:space="preserve"> de discriminare, excluziune și violență;</w:t>
      </w:r>
    </w:p>
    <w:p w14:paraId="0D18567D" w14:textId="77777777" w:rsidR="002F15F7" w:rsidRPr="0035242B" w:rsidRDefault="002F15F7" w:rsidP="00C13713">
      <w:pPr>
        <w:pStyle w:val="NormalHanging12a"/>
        <w:widowControl/>
      </w:pPr>
      <w:r w:rsidRPr="0035242B">
        <w:t>P.</w:t>
      </w:r>
      <w:r w:rsidRPr="0035242B">
        <w:tab/>
        <w:t>întrucât persoanele LGBTIQ se confruntă cu discriminare și violență la nivel mondial;</w:t>
      </w:r>
    </w:p>
    <w:p w14:paraId="79BAB6B3" w14:textId="77777777" w:rsidR="002F15F7" w:rsidRPr="0035242B" w:rsidRDefault="002F15F7" w:rsidP="00C13713">
      <w:pPr>
        <w:pStyle w:val="NormalHanging12a"/>
        <w:widowControl/>
      </w:pPr>
      <w:r w:rsidRPr="0035242B">
        <w:t>Q.</w:t>
      </w:r>
      <w:r w:rsidRPr="0035242B">
        <w:tab/>
        <w:t>întrucât Uniunea Europeană s-a angajat să promoveze și să protejeze drepturile persoanelor LGBTIQ+ în întreaga lume;</w:t>
      </w:r>
    </w:p>
    <w:p w14:paraId="0AFFE133" w14:textId="77777777" w:rsidR="002F15F7" w:rsidRPr="0035242B" w:rsidRDefault="002F15F7" w:rsidP="00C13713">
      <w:pPr>
        <w:pStyle w:val="NormalHanging12a"/>
        <w:widowControl/>
      </w:pPr>
      <w:r w:rsidRPr="0035242B">
        <w:t>R.</w:t>
      </w:r>
      <w:r w:rsidRPr="0035242B">
        <w:tab/>
        <w:t>întrucât toate formele și manifestările de ură și intoleranță, inclusiv discursurile de incitare la ură și infracțiunile motivate de ură, sunt incompatibile cu valorile UE precum demnitatea umană, libertatea, democrația, egalitatea, statul de drept și respectarea drepturilor omului, așa cum sunt consacrate la articolul 2 din TUE;</w:t>
      </w:r>
    </w:p>
    <w:p w14:paraId="156F11DC" w14:textId="77777777" w:rsidR="002F15F7" w:rsidRPr="0035242B" w:rsidRDefault="002F15F7" w:rsidP="00C13713">
      <w:pPr>
        <w:pStyle w:val="NormalHanging12a"/>
        <w:widowControl/>
      </w:pPr>
      <w:r w:rsidRPr="0035242B">
        <w:t>S.</w:t>
      </w:r>
      <w:r w:rsidRPr="0035242B">
        <w:tab/>
        <w:t>întrucât așa-numitele „practici de convertire” se pot baza pe diferite metode, cum ar fi electroșocuri, luare de hormoni sau rituri de exorcizare care constituie practici de tortură; și se estimează că 2 % dintre persoanele LGBTIQ+ din UE au fost efectiv supuse unor astfel de „practici de convertire” și la 5 % li s-a oferit convertirea, deși cifrele reale ar putea fi mult mai mari;</w:t>
      </w:r>
    </w:p>
    <w:p w14:paraId="610CDE77" w14:textId="3B497506" w:rsidR="00FC699F" w:rsidRPr="0035242B" w:rsidRDefault="00FC699F" w:rsidP="00C13713">
      <w:pPr>
        <w:pStyle w:val="NormalHanging12a"/>
        <w:widowControl/>
      </w:pPr>
      <w:r w:rsidRPr="0035242B">
        <w:t>T.</w:t>
      </w:r>
      <w:r w:rsidRPr="0035242B">
        <w:tab/>
        <w:t xml:space="preserve">întrucât inițiativa cetățenească europeană (ICE) intitulată „Interzicerea practicilor de conversie în Uniunea Europeană” a fost prezentată Comisiei la 27 noiembrie 2023; întrucât aceasta solicită Uniunii să ia măsuri pentru a propune o interdicție </w:t>
      </w:r>
      <w:r w:rsidR="004E0472" w:rsidRPr="0035242B">
        <w:t xml:space="preserve">obligatorie din punct de vedere </w:t>
      </w:r>
      <w:r w:rsidRPr="0035242B">
        <w:t>juridic a practicilor de conversie care vizează cetățenii LGBTIQ+ din Uniunea Europeană; întrucât Comisia a înregistrat complet această ICE la 21 ianuarie 2024;</w:t>
      </w:r>
    </w:p>
    <w:p w14:paraId="45BF6840" w14:textId="77777777" w:rsidR="002F15F7" w:rsidRPr="0035242B" w:rsidRDefault="002F15F7" w:rsidP="00C13713">
      <w:pPr>
        <w:pStyle w:val="NormalHanging12a"/>
        <w:widowControl/>
        <w:rPr>
          <w:b/>
          <w:i/>
        </w:rPr>
      </w:pPr>
      <w:r w:rsidRPr="0035242B">
        <w:rPr>
          <w:b/>
          <w:i/>
        </w:rPr>
        <w:t>Concluziile principale</w:t>
      </w:r>
    </w:p>
    <w:p w14:paraId="5B0F441A" w14:textId="77777777" w:rsidR="002F15F7" w:rsidRPr="0035242B" w:rsidRDefault="002F15F7" w:rsidP="00C13713">
      <w:pPr>
        <w:pStyle w:val="NormalHanging12a"/>
        <w:widowControl/>
      </w:pPr>
      <w:r w:rsidRPr="0035242B">
        <w:t>1.</w:t>
      </w:r>
      <w:r w:rsidRPr="0035242B">
        <w:tab/>
        <w:t>salută Strategia privind egalitatea pentru persoanele LGBTIQ 2020-2025, adoptată de Comisia Europeană la 12 noiembrie 2020 (COM(2020)0698) și recentul său raport de progres privind punerea în aplicare a strategiei; remarcă angajamentul Comisiei Europene de a sprijini statele membre în punerea în aplicare a strategiei, își exprimă profunda îngrijorare cu privire la disparitățile de deschidere față de strategie între statele membre; salută eforturile Comisiei Europene de a promova egalitatea pentru persoanele LGBTIQ+ în toate domeniile incluse în strategie; regretă că anumite acțiuni-cheie preconizate inițial de Comisie nu au fost puse în aplicare până în prezent;</w:t>
      </w:r>
    </w:p>
    <w:p w14:paraId="73B48603" w14:textId="77777777" w:rsidR="002F15F7" w:rsidRPr="0035242B" w:rsidRDefault="002F15F7" w:rsidP="00C13713">
      <w:pPr>
        <w:pStyle w:val="NormalHanging12a"/>
        <w:widowControl/>
      </w:pPr>
      <w:r w:rsidRPr="0035242B">
        <w:t>2.</w:t>
      </w:r>
      <w:r w:rsidRPr="0035242B">
        <w:tab/>
        <w:t xml:space="preserve">recunoaște progresele înregistrate în punerea în aplicare a Strategiei privind egalitatea pentru persoanele LGBTIQ 2020-2025, subliniind totodată că egalitatea reală pentru persoanele LGBTIQ+ din UE este încă departe de a fi o realitate curentă; își exprimă </w:t>
      </w:r>
      <w:r w:rsidRPr="0035242B">
        <w:lastRenderedPageBreak/>
        <w:t>îngrijorarea față de discriminarea și violența cu care se confruntă persoanele LGBTIQ+ în UE și față de consecințele asupra dreptului lor la o viață liberă și demnă;</w:t>
      </w:r>
    </w:p>
    <w:p w14:paraId="6F8628DB" w14:textId="77777777" w:rsidR="002F15F7" w:rsidRPr="0035242B" w:rsidRDefault="002F15F7" w:rsidP="00C13713">
      <w:pPr>
        <w:pStyle w:val="NormalHanging12a"/>
        <w:widowControl/>
      </w:pPr>
      <w:r w:rsidRPr="0035242B">
        <w:t>3.</w:t>
      </w:r>
      <w:r w:rsidRPr="0035242B">
        <w:tab/>
        <w:t xml:space="preserve">regretă că directiva orizontală privind combaterea discriminării este blocată în Consiliu din 2008; consideră că orice actualizare de către Comisie a propunerii trebuie să se bazeze pe poziția Parlamentului, să abordeze discriminarea </w:t>
      </w:r>
      <w:proofErr w:type="spellStart"/>
      <w:r w:rsidRPr="0035242B">
        <w:t>intersecțională</w:t>
      </w:r>
      <w:proofErr w:type="spellEnd"/>
      <w:r w:rsidRPr="0035242B">
        <w:t xml:space="preserve"> și să interzică în mod explicit discriminarea pe baza oricărei combinații de criterii enumerate în cartă; regretă că Consiliul a ignorat aceste solicitări și îndeamnă Consiliul să le integreze în mandatul său și să ia toate măsurile corespunzătoare pentru a combate discriminarea în UE;</w:t>
      </w:r>
    </w:p>
    <w:p w14:paraId="08DA5EDC" w14:textId="77777777" w:rsidR="002F15F7" w:rsidRPr="0035242B" w:rsidRDefault="002F15F7" w:rsidP="00C13713">
      <w:pPr>
        <w:pStyle w:val="NormalHanging12a"/>
        <w:widowControl/>
      </w:pPr>
      <w:r w:rsidRPr="0035242B">
        <w:t>4.</w:t>
      </w:r>
      <w:r w:rsidRPr="0035242B">
        <w:tab/>
        <w:t>solicită includerea tuturor motivelor de orientare sexuală, identitate de gen, expresie de gen și caracteristici sexuale în legislația UE anti-discriminare, pe baza unei interpretări ample a motivelor de orientare sexuală și sex și a principiului egalității între femei și bărbați stabilit în tratate; constată că acest lucru va asigura securitatea juridică și caracterul exhaustiv al protecției persoanelor LGBTIQ+;</w:t>
      </w:r>
    </w:p>
    <w:p w14:paraId="3C75D6CB" w14:textId="0C58F679" w:rsidR="002F15F7" w:rsidRPr="0035242B" w:rsidRDefault="002F15F7" w:rsidP="00C13713">
      <w:pPr>
        <w:pStyle w:val="NormalHanging12a"/>
        <w:widowControl/>
      </w:pPr>
      <w:r w:rsidRPr="0035242B">
        <w:t>5.</w:t>
      </w:r>
      <w:r w:rsidRPr="0035242B">
        <w:tab/>
        <w:t>subliniază că persoanele LGBTIQ+ sunt afectate în mod disproporționat de lipsa de adăpost, de sărăcie și de excluziunea socioeconomică; își exprimă îngrijorarea cu privire la efectele pandemiei de Covid-19</w:t>
      </w:r>
      <w:r w:rsidR="0000046C" w:rsidRPr="0035242B">
        <w:t xml:space="preserve"> și</w:t>
      </w:r>
      <w:r w:rsidRPr="0035242B">
        <w:t xml:space="preserve"> a</w:t>
      </w:r>
      <w:r w:rsidR="0000046C" w:rsidRPr="0035242B">
        <w:t>le</w:t>
      </w:r>
      <w:r w:rsidRPr="0035242B">
        <w:t xml:space="preserve"> crizei costului de trai și a locuințelor</w:t>
      </w:r>
      <w:r w:rsidR="0000046C" w:rsidRPr="0035242B">
        <w:t xml:space="preserve"> </w:t>
      </w:r>
      <w:r w:rsidRPr="0035242B">
        <w:t>asupra vieții persoanelor LGBTIQ+; reafirmă că dreptul la locuință este un drept fundamental;</w:t>
      </w:r>
    </w:p>
    <w:p w14:paraId="0FBDFE6B" w14:textId="77777777" w:rsidR="002F15F7" w:rsidRPr="0035242B" w:rsidRDefault="002F15F7" w:rsidP="00C13713">
      <w:pPr>
        <w:pStyle w:val="NormalHanging12a"/>
        <w:widowControl/>
      </w:pPr>
      <w:r w:rsidRPr="0035242B">
        <w:t>6.</w:t>
      </w:r>
      <w:r w:rsidRPr="0035242B">
        <w:tab/>
        <w:t>regretă că, în ciuda legislației UE care interzice discriminarea pe baza orientării sexuale în ceea ce privește ocuparea forței de muncă și condițiile de muncă, persoanele LGBTIQ+ se confruntă în continuare cu obstacole în calea accesului la locuri de muncă, în special locuri de muncă decente; consideră că drepturile LGBTIQ+ sunt drepturi ale lucrătorilor;</w:t>
      </w:r>
    </w:p>
    <w:p w14:paraId="06D60C17" w14:textId="7057F2A9" w:rsidR="002F15F7" w:rsidRPr="0035242B" w:rsidRDefault="002F15F7" w:rsidP="00C13713">
      <w:pPr>
        <w:pStyle w:val="NormalHanging12a"/>
        <w:widowControl/>
      </w:pPr>
      <w:r w:rsidRPr="0035242B">
        <w:t>7.</w:t>
      </w:r>
      <w:r w:rsidRPr="0035242B">
        <w:tab/>
      </w:r>
      <w:r w:rsidR="00FC699F" w:rsidRPr="0035242B">
        <w:t xml:space="preserve">subliniază că discriminarea pe motive de orientare sexuală reală sau percepută, identitate de gen, expresie de gen și sex are încă un impact însemnat asupra sănătății fizice, mintale și sexuale și a bunăstării persoanelor LGBTIQ+; regretă că persoanele LGBTIQ+ se confruntă în continuare cu discriminare în accesul la asistență medicală; subliniază că accesul la asistență medicală ar trebui oferit ca un serviciu public </w:t>
      </w:r>
      <w:r w:rsidR="00FC699F" w:rsidRPr="0035242B">
        <w:rPr>
          <w:bCs/>
          <w:iCs/>
        </w:rPr>
        <w:t>universal,</w:t>
      </w:r>
      <w:r w:rsidR="00FC699F" w:rsidRPr="0035242B">
        <w:t xml:space="preserve"> accesibil și în timp util;</w:t>
      </w:r>
    </w:p>
    <w:p w14:paraId="5C9A9131" w14:textId="77777777" w:rsidR="002F15F7" w:rsidRPr="0035242B" w:rsidRDefault="002F15F7" w:rsidP="00C13713">
      <w:pPr>
        <w:pStyle w:val="NormalHanging12a"/>
        <w:widowControl/>
      </w:pPr>
      <w:r w:rsidRPr="0035242B">
        <w:t>8.</w:t>
      </w:r>
      <w:r w:rsidRPr="0035242B">
        <w:tab/>
        <w:t xml:space="preserve">subliniază necesitatea unei educații incluzive și sigure pentru persoanele LGBTIQ+ în toate statele membre, în special pentru tinerii LGBTIQ+; </w:t>
      </w:r>
    </w:p>
    <w:p w14:paraId="30C0DF8A" w14:textId="77777777" w:rsidR="002F15F7" w:rsidRPr="0035242B" w:rsidRDefault="002F15F7" w:rsidP="00C13713">
      <w:pPr>
        <w:pStyle w:val="NormalHanging12a"/>
        <w:widowControl/>
      </w:pPr>
      <w:r w:rsidRPr="0035242B">
        <w:t>9.</w:t>
      </w:r>
      <w:r w:rsidRPr="0035242B">
        <w:tab/>
        <w:t>regretă faptul că persoanele LGBTIQ+ se confruntă în continuare cu discriminare în unele state membre în ceea ce privește accesul la protecție socială, securitate socială, accesul la furnizarea de bunuri și alte sectoare sau servicii;</w:t>
      </w:r>
    </w:p>
    <w:p w14:paraId="724C89B2" w14:textId="77777777" w:rsidR="002F15F7" w:rsidRPr="0035242B" w:rsidRDefault="002F15F7" w:rsidP="00C13713">
      <w:pPr>
        <w:pStyle w:val="NormalHanging12a"/>
        <w:widowControl/>
      </w:pPr>
      <w:r w:rsidRPr="0035242B">
        <w:t>10.</w:t>
      </w:r>
      <w:r w:rsidRPr="0035242B">
        <w:tab/>
        <w:t>regretă faptul că persoanele în vârstă LGBTIQ+ sunt afectate în special de lipsa drepturilor LGBTIQ+, exacerbând și mai mult sentimentul de izolare socială și barierele în calea accesului la serviciile esențiale; subliniază că populația în vârstă LGBTIQ+ este adesea neglijată în elaborarea politicilor publice și a proiectelor, inclusiv în cele adaptate persoanelor LGBTIQ+; reliefează că populația în vârstă LGBTIQ+ este afectată în mod disproporționat de sărăcie și de lipsa accesului la locuințe decente și la rețele de îngrijire adecvate; evidențiază că o zonă europeană de libertate LGBTIQ nu poate lăsa pe nimeni în urmă;</w:t>
      </w:r>
    </w:p>
    <w:p w14:paraId="7D4B6653" w14:textId="77777777" w:rsidR="002F15F7" w:rsidRPr="0035242B" w:rsidRDefault="002F15F7" w:rsidP="00C13713">
      <w:pPr>
        <w:pStyle w:val="NormalHanging12a"/>
        <w:widowControl/>
      </w:pPr>
      <w:r w:rsidRPr="0035242B">
        <w:lastRenderedPageBreak/>
        <w:t>11.</w:t>
      </w:r>
      <w:r w:rsidRPr="0035242B">
        <w:tab/>
        <w:t>subliniază că serviciile de îngrijire pentru persoanele LGBTIQ+ trebuie să asigure întotdeauna demnitatea, independența, autonomia, bunăstarea și participarea la viața socială a persoanelor care beneficiază de aceste servicii, inclusiv posibilitatea de îngrijire la domiciliu și de servicii comunitare;</w:t>
      </w:r>
    </w:p>
    <w:p w14:paraId="50A17750" w14:textId="77777777" w:rsidR="002F15F7" w:rsidRPr="0035242B" w:rsidRDefault="002F15F7" w:rsidP="00C13713">
      <w:pPr>
        <w:pStyle w:val="NormalHanging12a"/>
        <w:widowControl/>
      </w:pPr>
      <w:r w:rsidRPr="0035242B">
        <w:t>12.</w:t>
      </w:r>
      <w:r w:rsidRPr="0035242B">
        <w:tab/>
        <w:t xml:space="preserve">constată că persoanele LGBTIQ+ din regiunile rurale, periferice și </w:t>
      </w:r>
      <w:proofErr w:type="spellStart"/>
      <w:r w:rsidRPr="0035242B">
        <w:t>ultraperiferice</w:t>
      </w:r>
      <w:proofErr w:type="spellEnd"/>
      <w:r w:rsidRPr="0035242B">
        <w:t xml:space="preserve"> se confruntă cu dificultăți și obstacole speciale în calea accesului la serviciile esențiale; </w:t>
      </w:r>
    </w:p>
    <w:p w14:paraId="5D6B06F6" w14:textId="77777777" w:rsidR="002F15F7" w:rsidRPr="0035242B" w:rsidRDefault="002F15F7" w:rsidP="00C13713">
      <w:pPr>
        <w:pStyle w:val="NormalHanging12a"/>
        <w:widowControl/>
      </w:pPr>
      <w:r w:rsidRPr="0035242B">
        <w:t>13.</w:t>
      </w:r>
      <w:r w:rsidRPr="0035242B">
        <w:tab/>
        <w:t xml:space="preserve">își exprimă profunda îngrijorare cu privire la persoanele LGBTIQ + care sunt nevoite să își exercite dreptul de a solicita azil în Uniunea Europeană; este îngrijorat că persoanele </w:t>
      </w:r>
      <w:proofErr w:type="spellStart"/>
      <w:r w:rsidRPr="0035242B">
        <w:t>transgen</w:t>
      </w:r>
      <w:proofErr w:type="spellEnd"/>
      <w:r w:rsidRPr="0035242B">
        <w:t xml:space="preserve"> și intersexuale se confruntă cu obstacole suplimentare în procesul de solicitare a azilului; subliniază cât de important este ca situația persoanelor LGBTIQ+ să fie luată în considerare la elaborarea politicii de azil și migrație a Uniunii;</w:t>
      </w:r>
    </w:p>
    <w:p w14:paraId="6DF6EF78" w14:textId="77777777" w:rsidR="002F15F7" w:rsidRPr="0035242B" w:rsidRDefault="002F15F7" w:rsidP="00C13713">
      <w:pPr>
        <w:pStyle w:val="NormalHanging12a"/>
        <w:widowControl/>
      </w:pPr>
      <w:r w:rsidRPr="0035242B">
        <w:t>14.</w:t>
      </w:r>
      <w:r w:rsidRPr="0035242B">
        <w:tab/>
        <w:t>își exprimă profunda îngrijorare legată de intensificarea discursurilor de incitare la ură, a infracțiunilor motivate de ură și a violenței împotriva persoanelor LGBTIQ +, inclusiv pe platformele online, unde se poate ajunge la încălcarea drepturilor la viață privată ale persoanelor care accesează conținut LGBTIQ +; reamintește că este necesară o politică publică preventivă și de protecție împotriva discursurilor de incitare la ură, infracțiunilor motivate de ură și violenței bazate pe prejudecăți împotriva persoanelor LGBTIQ+; recunoaște că nu se semnalează suficient cazurile de discurs instigator la ură și de infracțiuni împotriva persoanelor LGBTIQ+, din cauza lipsei de încredere în autoritățile publice în ceea ce privește combaterea acestor infracțiuni;</w:t>
      </w:r>
    </w:p>
    <w:p w14:paraId="354DC236" w14:textId="77777777" w:rsidR="002F15F7" w:rsidRPr="0035242B" w:rsidRDefault="002F15F7" w:rsidP="00C13713">
      <w:pPr>
        <w:pStyle w:val="NormalHanging12a"/>
        <w:widowControl/>
      </w:pPr>
      <w:r w:rsidRPr="0035242B">
        <w:t>15.</w:t>
      </w:r>
      <w:r w:rsidRPr="0035242B">
        <w:tab/>
        <w:t>condamnă faptul că ascensiunea forțelor politice de extremă dreaptă a generat o intensificare a stigmatizării, a hărțuirii, a violenței și a persecutării persoanelor LGBTIQ+ și a organizațiilor societății civile și a activiștilor în domeniul drepturilor persoanelor LGBTIQ+; condamnă faptul că, din ce în ce mai mult, comunitatea LGBTIQ+ este tratată drept țap ispășitor, iar promovarea drepturilor LGBTIQ+ este calificată în mod nociv drept „ideologie”;</w:t>
      </w:r>
    </w:p>
    <w:p w14:paraId="03204F96" w14:textId="77777777" w:rsidR="002F15F7" w:rsidRPr="0035242B" w:rsidRDefault="002F15F7" w:rsidP="00C13713">
      <w:pPr>
        <w:pStyle w:val="NormalHanging12a"/>
        <w:widowControl/>
      </w:pPr>
      <w:r w:rsidRPr="0035242B">
        <w:t>16.</w:t>
      </w:r>
      <w:r w:rsidRPr="0035242B">
        <w:tab/>
        <w:t>subliniază că Uniunea trebuie să abordeze situația persoanelor LGBTIQ+ în cadrul negocierilor oficiale cu țările candidate și să sprijine toate țările vizate de extindere, pentru a elimina lacunele legislative și a garanta drepturile fundamentale ale persoanelor LGBTIQ+;</w:t>
      </w:r>
    </w:p>
    <w:p w14:paraId="0999E94A" w14:textId="77777777" w:rsidR="002F15F7" w:rsidRPr="0035242B" w:rsidRDefault="002F15F7" w:rsidP="00C13713">
      <w:pPr>
        <w:pStyle w:val="NormalHanging12a"/>
        <w:widowControl/>
      </w:pPr>
      <w:r w:rsidRPr="0035242B">
        <w:t>17.</w:t>
      </w:r>
      <w:r w:rsidRPr="0035242B">
        <w:tab/>
        <w:t>insistă că Uniunea trebuie să adopte o abordare comună a recunoașterii juridice a căsătoriilor și parteneriatelor între persoane de același sex și a părinților curcubeu, inclusiv a părinților trans, precum și a recunoașterii juridice a genului, pentru a garanta interesul superior al copiilor, în conformitate cu jurisprudența CJUE și a CEDO;</w:t>
      </w:r>
    </w:p>
    <w:p w14:paraId="70976D69" w14:textId="77777777" w:rsidR="002F15F7" w:rsidRPr="0035242B" w:rsidRDefault="002F15F7" w:rsidP="00C13713">
      <w:pPr>
        <w:pStyle w:val="NormalHanging12a"/>
        <w:widowControl/>
      </w:pPr>
      <w:r w:rsidRPr="0035242B">
        <w:t>18.</w:t>
      </w:r>
      <w:r w:rsidRPr="0035242B">
        <w:tab/>
        <w:t xml:space="preserve">subliniază dificultățile cu care se confruntă persoanele trans, non-binare și intersexuale în UE, în special în ceea ce privește statutul lor socioeconomic și </w:t>
      </w:r>
      <w:proofErr w:type="spellStart"/>
      <w:r w:rsidRPr="0035242B">
        <w:t>sociodemografic</w:t>
      </w:r>
      <w:proofErr w:type="spellEnd"/>
      <w:r w:rsidRPr="0035242B">
        <w:t>; subliniază modul în care absența procedurilor juridice de recunoaștere a genului în statele membre încalcă drepturile persoanelor trans, non-binare și intersexuale din întreaga Uniune și împiedică aspirațiile acestora;</w:t>
      </w:r>
    </w:p>
    <w:p w14:paraId="7C4D4872" w14:textId="77777777" w:rsidR="002F15F7" w:rsidRPr="0035242B" w:rsidRDefault="002F15F7" w:rsidP="00C13713">
      <w:pPr>
        <w:pStyle w:val="NormalHanging12a"/>
        <w:widowControl/>
      </w:pPr>
      <w:r w:rsidRPr="0035242B">
        <w:t>19.</w:t>
      </w:r>
      <w:r w:rsidRPr="0035242B">
        <w:tab/>
        <w:t>insistă că familiile curcubeu au dreptul la liberă circulație în UE, iar copiii familiilor curcubeu nu ar trebui discriminați în procesele de dobândire a cetățeniei UE;</w:t>
      </w:r>
    </w:p>
    <w:p w14:paraId="3BE14350" w14:textId="77777777" w:rsidR="002F15F7" w:rsidRPr="0035242B" w:rsidRDefault="002F15F7" w:rsidP="00C13713">
      <w:pPr>
        <w:pStyle w:val="NormalHanging12a"/>
        <w:widowControl/>
      </w:pPr>
      <w:r w:rsidRPr="0035242B">
        <w:lastRenderedPageBreak/>
        <w:t>20.</w:t>
      </w:r>
      <w:r w:rsidRPr="0035242B">
        <w:tab/>
        <w:t xml:space="preserve">este îngrijorat că tehnologiile de recunoaștere facială și creare de profiluri ar putea genera riscuri mai mari pentru persoanele LGBTIQ+, în special pentru persoanele trans, non-binare și intersexuale; </w:t>
      </w:r>
    </w:p>
    <w:p w14:paraId="4BE01E51" w14:textId="77777777" w:rsidR="002F15F7" w:rsidRPr="0035242B" w:rsidRDefault="00FC699F" w:rsidP="00C13713">
      <w:pPr>
        <w:pStyle w:val="NormalHanging12a"/>
        <w:widowControl/>
      </w:pPr>
      <w:r w:rsidRPr="0035242B">
        <w:t>21.</w:t>
      </w:r>
      <w:r w:rsidRPr="0035242B">
        <w:tab/>
      </w:r>
      <w:r w:rsidR="002F15F7" w:rsidRPr="0035242B">
        <w:t>regretă lipsa unei imagini de ansamblu coerente a finanțării UE pentru egalitatea LGBTIQ+ în cadrul diferitelor programe care sprijină strategia;</w:t>
      </w:r>
    </w:p>
    <w:p w14:paraId="6FF7E37D" w14:textId="77777777" w:rsidR="002F15F7" w:rsidRPr="0035242B" w:rsidRDefault="002F15F7" w:rsidP="00C13713">
      <w:pPr>
        <w:pStyle w:val="NormalHanging12a"/>
        <w:widowControl/>
      </w:pPr>
      <w:r w:rsidRPr="0035242B">
        <w:t>22.</w:t>
      </w:r>
      <w:r w:rsidRPr="0035242B">
        <w:tab/>
        <w:t>subliniază că este urgent ca Comisia să asigure accesul la finanțare al organizațiilor societății civile (OSC) care activează în domeniul drepturilor omului pentru persoanele LGBTIQ+ în Uniune și în țările terțe; observă că finanțarea adecvată și flexibilă a OSC-urilor care susțin drepturile LGBTIQ+ reprezintă o condiție esențială pentru protejarea și promovarea drepturilor LGBTIQ+, în Uniunea Europeană și în țările terțe;</w:t>
      </w:r>
    </w:p>
    <w:p w14:paraId="13DF18FD" w14:textId="77777777" w:rsidR="002F15F7" w:rsidRPr="0035242B" w:rsidRDefault="002F15F7" w:rsidP="00C13713">
      <w:pPr>
        <w:pStyle w:val="NormalHanging12a"/>
        <w:widowControl/>
      </w:pPr>
      <w:r w:rsidRPr="0035242B">
        <w:t>23.</w:t>
      </w:r>
      <w:r w:rsidRPr="0035242B">
        <w:tab/>
        <w:t>salută inițiativele Uniunii menite să protejeze apărătorii drepturilor omului LGBTIQ+ și să le faciliteze activitatea de apărare a drepturilor fundamentale; subliniază că Uniunea trebuie să continue să combată stigmatizarea, intimidarea și hărțuirea apărătorilor drepturilor omului LGBTIQ+ din întreaga lume: salută sprijinul acordat de Comisie activiștilor LGBTIQ+ din Ucraina, în special prin modalitatea de „atribuire directă”, de la începutul invaziei ruse și al războiului de agresiune împotriva Ucrainei;</w:t>
      </w:r>
    </w:p>
    <w:p w14:paraId="70CE6F02" w14:textId="77777777" w:rsidR="002F15F7" w:rsidRPr="0035242B" w:rsidRDefault="002F15F7" w:rsidP="00C13713">
      <w:pPr>
        <w:pStyle w:val="NormalHanging12a"/>
        <w:widowControl/>
      </w:pPr>
      <w:r w:rsidRPr="0035242B">
        <w:t>24.</w:t>
      </w:r>
      <w:r w:rsidRPr="0035242B">
        <w:tab/>
        <w:t xml:space="preserve">reamintește că ajutorul umanitar european ar trebui să ia în considerare aspectele legate de gen, vârstă, protecție și LGBTIQ+, respectând în același timp </w:t>
      </w:r>
      <w:proofErr w:type="spellStart"/>
      <w:r w:rsidRPr="0035242B">
        <w:t>intersecționalitatea</w:t>
      </w:r>
      <w:proofErr w:type="spellEnd"/>
      <w:r w:rsidRPr="0035242B">
        <w:t>, ca principiu transversal și în conformitate cu principiile umanitare;</w:t>
      </w:r>
    </w:p>
    <w:p w14:paraId="3A859C68" w14:textId="77777777" w:rsidR="002F15F7" w:rsidRPr="0035242B" w:rsidRDefault="002F15F7" w:rsidP="00C13713">
      <w:pPr>
        <w:pStyle w:val="NormalHanging12a"/>
        <w:widowControl/>
      </w:pPr>
      <w:r w:rsidRPr="0035242B">
        <w:t>25.</w:t>
      </w:r>
      <w:r w:rsidRPr="0035242B">
        <w:tab/>
        <w:t>subliniază că UE nu trebuie să lase pe nimeni în urmă când este vorba de protejarea drepturilor fundamentale;</w:t>
      </w:r>
    </w:p>
    <w:p w14:paraId="32CE2536" w14:textId="77777777" w:rsidR="002F15F7" w:rsidRPr="0035242B" w:rsidRDefault="002F15F7" w:rsidP="00C13713">
      <w:pPr>
        <w:pStyle w:val="NormalHanging12a"/>
        <w:widowControl/>
      </w:pPr>
      <w:r w:rsidRPr="0035242B">
        <w:rPr>
          <w:b/>
          <w:i/>
        </w:rPr>
        <w:t>Recomandări</w:t>
      </w:r>
    </w:p>
    <w:p w14:paraId="297663E2" w14:textId="77777777" w:rsidR="002F15F7" w:rsidRPr="0035242B" w:rsidRDefault="002F15F7" w:rsidP="00C13713">
      <w:pPr>
        <w:pStyle w:val="NormalHanging12a"/>
        <w:widowControl/>
      </w:pPr>
      <w:r w:rsidRPr="0035242B">
        <w:t>26.</w:t>
      </w:r>
      <w:r w:rsidRPr="0035242B">
        <w:tab/>
        <w:t xml:space="preserve">invită UE și statele membre să asigure integrarea reală a drepturilor LGBTIQ+ în toate politicile UE; solicită ca politicile să acopere motivele de discriminare multiplă și </w:t>
      </w:r>
      <w:proofErr w:type="spellStart"/>
      <w:r w:rsidRPr="0035242B">
        <w:t>intersecțională</w:t>
      </w:r>
      <w:proofErr w:type="spellEnd"/>
      <w:r w:rsidRPr="0035242B">
        <w:t xml:space="preserve"> care se pot baza, printre altele, pe statut socioeconomic, vârstă, rasă, religie, orientare sexuală reală sau percepută, identitate de gen, expresie de gen și caracteristici sexuale sau dizabilitate; solicită ca politicile să ia în considerare contextele particulare ale regiunilor rurale, periferice și </w:t>
      </w:r>
      <w:proofErr w:type="spellStart"/>
      <w:r w:rsidRPr="0035242B">
        <w:t>ultraperiferice</w:t>
      </w:r>
      <w:proofErr w:type="spellEnd"/>
      <w:r w:rsidRPr="0035242B">
        <w:t>;</w:t>
      </w:r>
    </w:p>
    <w:p w14:paraId="3DE291B8" w14:textId="77777777" w:rsidR="002F15F7" w:rsidRPr="0035242B" w:rsidRDefault="002F15F7" w:rsidP="00C13713">
      <w:pPr>
        <w:pStyle w:val="NormalHanging12a"/>
        <w:widowControl/>
      </w:pPr>
      <w:r w:rsidRPr="0035242B">
        <w:t>27.</w:t>
      </w:r>
      <w:r w:rsidRPr="0035242B">
        <w:tab/>
        <w:t>solicită UE și statelor membre să includă SOGIESC în motivele luate în considerare în legislația UE împotriva discriminării, în conformitate cu mandatul Parlamentului referitor la propunerea de directivă privind standardele aplicabile organismelor de promovare a egalității</w:t>
      </w:r>
      <w:r w:rsidRPr="0035242B">
        <w:rPr>
          <w:rStyle w:val="FootnoteReference"/>
        </w:rPr>
        <w:footnoteReference w:id="9"/>
      </w:r>
      <w:r w:rsidRPr="0035242B">
        <w:t>;</w:t>
      </w:r>
    </w:p>
    <w:p w14:paraId="37FD17A9" w14:textId="77777777" w:rsidR="002F15F7" w:rsidRPr="0035242B" w:rsidRDefault="002F15F7" w:rsidP="00C13713">
      <w:pPr>
        <w:widowControl/>
        <w:spacing w:after="240"/>
        <w:ind w:left="567" w:hanging="567"/>
      </w:pPr>
      <w:r w:rsidRPr="0035242B">
        <w:t>28.</w:t>
      </w:r>
      <w:r w:rsidRPr="0035242B">
        <w:tab/>
        <w:t>solicită UE și statelor membre să implice persoanele LGBTIQ+ în elaborarea politicilor, inclusiv în conceperea și punerea în aplicare a politicilor socioeconomice, privind locuințele și educația; invită statele membre să abordeze criza costului vieții și a locuințelor, inclusiv prin definirea unor măsuri specifice pentru persoanele LGBTIQ+;</w:t>
      </w:r>
    </w:p>
    <w:p w14:paraId="038183BE" w14:textId="77777777" w:rsidR="002F15F7" w:rsidRPr="0035242B" w:rsidRDefault="002F15F7" w:rsidP="00C13713">
      <w:pPr>
        <w:pStyle w:val="NormalHanging12a"/>
        <w:widowControl/>
      </w:pPr>
      <w:r w:rsidRPr="0035242B">
        <w:lastRenderedPageBreak/>
        <w:t>29.</w:t>
      </w:r>
      <w:r w:rsidRPr="0035242B">
        <w:tab/>
        <w:t>invită statele membre să pună în aplicare Directiva privind egalitatea de tratament în ceea ce privește încadrarea în muncă și ocuparea forței de muncă;</w:t>
      </w:r>
    </w:p>
    <w:p w14:paraId="1AA7BF3B" w14:textId="77777777" w:rsidR="002F15F7" w:rsidRPr="0035242B" w:rsidRDefault="002F15F7" w:rsidP="00C13713">
      <w:pPr>
        <w:pStyle w:val="NormalHanging12a"/>
        <w:widowControl/>
      </w:pPr>
      <w:r w:rsidRPr="0035242B">
        <w:t>30.</w:t>
      </w:r>
      <w:r w:rsidRPr="0035242B">
        <w:tab/>
        <w:t xml:space="preserve">salută propunerea Comisiei de regulament privind competența, legea aplicabilă, recunoașterea hotărârilor judecătorești și acceptarea actelor autentice în materie de filiație și privind crearea unui certificat de filiație european, care vizează protejarea drepturilor tuturor copiilor, garantând faptul că legăturile lor parentale stabilite într-un stat membru, în special în cazul părinților de același sex, sunt recunoscute în toate statele membre ale UE; solicită Comisiei să analizeze potențialul altor temeiuri juridice din tratate, în special articolele 19 și 21 din TFUE, pentru a se asigura că toate statele membre recunosc pe deplin și necondiționat căsătoriile, parteneriatele, filiația și viața de familie a persoanelor LGBTIQ+, fără discriminare și obstacole în calea liberei circulații; </w:t>
      </w:r>
    </w:p>
    <w:p w14:paraId="305FFE8B" w14:textId="77777777" w:rsidR="002F15F7" w:rsidRPr="0035242B" w:rsidRDefault="002F15F7" w:rsidP="00C13713">
      <w:pPr>
        <w:pStyle w:val="NormalHanging12a"/>
        <w:widowControl/>
      </w:pPr>
      <w:r w:rsidRPr="0035242B">
        <w:t>31.</w:t>
      </w:r>
      <w:r w:rsidRPr="0035242B">
        <w:tab/>
        <w:t xml:space="preserve">salută decizia Comisiei din 15 iulie 2021 de a iniția acțiuni în justiție împotriva statelor membre pentru încălcarea drepturilor fundamentale ale persoanelor LGBTIQ+; invită Comisia să continue să monitorizeze îndeaproape punerea în aplicare a legislației UE în statele membre și să inițieze proceduri de constatare a neîndeplinirii obligațiilor dacă s-au încălcat drepturile fundamentale ale persoanelor LGBTIQ+, prevăzute de articolul 2 din TUE, Carta drepturilor fundamentale sau legislația secundară, după caz; invită Comisia să recurgă în mod sistematic la procedurile accelerate și la cererile de măsuri provizorii în fața CJUE; </w:t>
      </w:r>
    </w:p>
    <w:p w14:paraId="6DB4F89B" w14:textId="77777777" w:rsidR="002F15F7" w:rsidRPr="0035242B" w:rsidRDefault="002F15F7" w:rsidP="00C13713">
      <w:pPr>
        <w:pStyle w:val="NormalHanging12a"/>
        <w:widowControl/>
      </w:pPr>
      <w:r w:rsidRPr="0035242B">
        <w:t>32.</w:t>
      </w:r>
      <w:r w:rsidRPr="0035242B">
        <w:tab/>
        <w:t>invită Comisia să se asigure că statele membre respectă hotărârile CJUE și CEDO, abordând cazurile de neconformitate, utilizând măsurile prevăzute de articolul 260 alineatul (2) din TFUE și regulamentul privind mecanismul de condiționalitate bazat pe statul de drept, în special în cazul persoanelor LGBTIQ+ și al familiilor curcubeu care trec frontierele în interiorul UE;</w:t>
      </w:r>
    </w:p>
    <w:p w14:paraId="52B2318B" w14:textId="77777777" w:rsidR="002F15F7" w:rsidRPr="0035242B" w:rsidRDefault="002F15F7" w:rsidP="00C13713">
      <w:pPr>
        <w:pStyle w:val="NormalHanging12a"/>
        <w:widowControl/>
      </w:pPr>
      <w:r w:rsidRPr="0035242B">
        <w:t>33.</w:t>
      </w:r>
      <w:r w:rsidRPr="0035242B">
        <w:tab/>
        <w:t>invită toate statele membre să adere la Orientările pentru strategii și planuri de acțiune în vederea consolidării egalității persoanelor LGBTIQ</w:t>
      </w:r>
      <w:r w:rsidRPr="0035242B">
        <w:rPr>
          <w:rStyle w:val="FootnoteReference"/>
        </w:rPr>
        <w:footnoteReference w:id="10"/>
      </w:r>
      <w:r w:rsidRPr="0035242B">
        <w:t>, pregătite de subgrupul pentru egalitate LGBTIQ;</w:t>
      </w:r>
    </w:p>
    <w:p w14:paraId="1923763E" w14:textId="77777777" w:rsidR="002F15F7" w:rsidRPr="0035242B" w:rsidRDefault="002F15F7" w:rsidP="00C13713">
      <w:pPr>
        <w:pStyle w:val="NormalHanging12a"/>
        <w:widowControl/>
      </w:pPr>
      <w:r w:rsidRPr="0035242B">
        <w:t>34.</w:t>
      </w:r>
      <w:r w:rsidRPr="0035242B">
        <w:tab/>
        <w:t>invită statele membre să extindă sfera de cuprindere a serviciilor de asistență medicală, permițând persoanelor LGBTIQ+ să solicite îngrijiri specifice, inclusiv în domeniul sănătății sexuale și reproductive și al tehnologiilor aferente; îndeamnă Comisia și statele membre să adopte măsuri de combatere a discriminării persoanelor LGBTIQ+ în sectorul sănătății;</w:t>
      </w:r>
    </w:p>
    <w:p w14:paraId="007BECB6" w14:textId="77777777" w:rsidR="002F15F7" w:rsidRPr="0035242B" w:rsidRDefault="002F15F7" w:rsidP="00C13713">
      <w:pPr>
        <w:pStyle w:val="NormalHanging12a"/>
        <w:widowControl/>
        <w:rPr>
          <w:rFonts w:eastAsiaTheme="minorHAnsi"/>
        </w:rPr>
      </w:pPr>
      <w:r w:rsidRPr="0035242B">
        <w:t>35.</w:t>
      </w:r>
      <w:r w:rsidRPr="0035242B">
        <w:tab/>
        <w:t>invită statele membre să majoreze finanțarea destinată furnizării de servicii pentru victimele violenței bazate pe gen și să sprijine victimele LGBTIQ+, în special femeile LGBTIQ+, răspunzând nevoilor și experiențelor lor specifice;</w:t>
      </w:r>
    </w:p>
    <w:p w14:paraId="2D34C0D5" w14:textId="77777777" w:rsidR="002F15F7" w:rsidRPr="0035242B" w:rsidRDefault="002F15F7" w:rsidP="00C13713">
      <w:pPr>
        <w:pStyle w:val="NormalHanging12a"/>
        <w:widowControl/>
      </w:pPr>
      <w:r w:rsidRPr="0035242B">
        <w:t>36.</w:t>
      </w:r>
      <w:r w:rsidRPr="0035242B">
        <w:tab/>
        <w:t>reamintește că este necesar ca tehnologiile de recunoaștere facială și de creare de profiluri să fie ghidate de principiile transparenței, interpretabilității, echității și responsabilității, pentru a aborda prejudecățile și riscurile survenite pentru persoanele LGBTIQ +;</w:t>
      </w:r>
    </w:p>
    <w:p w14:paraId="5BD6867E" w14:textId="77777777" w:rsidR="002F15F7" w:rsidRPr="0035242B" w:rsidRDefault="002F15F7" w:rsidP="00C13713">
      <w:pPr>
        <w:pStyle w:val="NormalHanging12a"/>
        <w:widowControl/>
      </w:pPr>
      <w:r w:rsidRPr="0035242B">
        <w:lastRenderedPageBreak/>
        <w:t>37.</w:t>
      </w:r>
      <w:r w:rsidRPr="0035242B">
        <w:tab/>
        <w:t>solicită Uniunii să acorde acces la azil persoanelor LGBTIQ+, inclusiv celor din țările terțe clasificate drept țări sigure;</w:t>
      </w:r>
    </w:p>
    <w:p w14:paraId="4FF27051" w14:textId="77777777" w:rsidR="002F15F7" w:rsidRPr="0035242B" w:rsidRDefault="002F15F7" w:rsidP="00C13713">
      <w:pPr>
        <w:pStyle w:val="NormalHanging12a"/>
        <w:widowControl/>
      </w:pPr>
      <w:r w:rsidRPr="0035242B">
        <w:t>38.</w:t>
      </w:r>
      <w:r w:rsidRPr="0035242B">
        <w:tab/>
        <w:t>invită Comisia Europeană să asigure sprijin egalității LGBTIQ+, prin acțiuni în cadrul Fondului pentru azil, migrație și integrare, așa cum a anunțat în Strategia privind egalitatea pentru persoanele LGBTIQ 2020-2025, și să includă sprijinul menționat în Programul de lucru 2023-2025;</w:t>
      </w:r>
    </w:p>
    <w:p w14:paraId="22CBC22C" w14:textId="77777777" w:rsidR="002F15F7" w:rsidRPr="0035242B" w:rsidRDefault="002F15F7" w:rsidP="00C13713">
      <w:pPr>
        <w:pStyle w:val="NormalHanging12a"/>
        <w:widowControl/>
      </w:pPr>
      <w:r w:rsidRPr="0035242B">
        <w:t>39.</w:t>
      </w:r>
      <w:r w:rsidRPr="0035242B">
        <w:tab/>
        <w:t>invită Agenția Uniunii Europene pentru Azil (EUAA) să își finalizeze rapid orientările practice privind solicitanții SOGIESC și invită statele membre să respecte apoi aceste orientări;</w:t>
      </w:r>
    </w:p>
    <w:p w14:paraId="7DE4D74A" w14:textId="77777777" w:rsidR="002F15F7" w:rsidRPr="0035242B" w:rsidRDefault="002F15F7" w:rsidP="00C13713">
      <w:pPr>
        <w:pStyle w:val="NormalHanging12a"/>
        <w:widowControl/>
      </w:pPr>
      <w:r w:rsidRPr="0035242B">
        <w:t>40.</w:t>
      </w:r>
      <w:r w:rsidRPr="0035242B">
        <w:tab/>
        <w:t>invită Comisia să monitorizeze efectele și să finanțeze OSC-urile și proiectele academice care investighează mișcarea anti-gen, pentru a o combate în mod eficace;</w:t>
      </w:r>
    </w:p>
    <w:p w14:paraId="4F2432C2" w14:textId="77777777" w:rsidR="002F15F7" w:rsidRPr="0035242B" w:rsidRDefault="002F15F7" w:rsidP="00C13713">
      <w:pPr>
        <w:pStyle w:val="NormalHanging12a"/>
        <w:widowControl/>
      </w:pPr>
      <w:r w:rsidRPr="0035242B">
        <w:t>41.</w:t>
      </w:r>
      <w:r w:rsidRPr="0035242B">
        <w:tab/>
        <w:t>invită Comisia și statele membre să se bazeze pe cunoștințele empirice și sistematice acumulate de OSC-uri și cercetătorii universitari atunci când elaborează politici și programe de sprijinire a persoanelor LGBTIQ+ din Europa și din întreaga lume;</w:t>
      </w:r>
    </w:p>
    <w:p w14:paraId="3ABC2680" w14:textId="77777777" w:rsidR="002F15F7" w:rsidRPr="0035242B" w:rsidRDefault="002F15F7" w:rsidP="00C13713">
      <w:pPr>
        <w:pStyle w:val="NormalHanging12a"/>
        <w:widowControl/>
      </w:pPr>
      <w:r w:rsidRPr="0035242B">
        <w:t>42.</w:t>
      </w:r>
      <w:r w:rsidRPr="0035242B">
        <w:tab/>
        <w:t>invită Uniunea și statele membre să recunoască orientarea sexuală reală sau percepută, identitatea de gen, expresia de gen și caracteristicile sexuale drept motivații părtinitoare; invită Comisia și statele membre să combată discursurile de incitare la ură, infracțiunile motivate de ură și violența motivată de prejudecățile SOGIESC, inclusiv online; salută inițiativa Comisiei de a mări lista infracțiunilor incriminate de UE de la articolul 83 alineatul (1) din TFUE, incluzând discursurile de incitare la ură și infracțiunile motivate de ură, ceea ce ar permite stabilirea unor norme minime privind definirea infracțiunilor și a sancțiunilor aplicabile în toate statele membre ale UE; subliniază că dreptul penal al Uniunii trebuie să asigure o reacție fermă la discursurile care incită la ură și la infracțiunile motivate de ură; regretă profund că au trecut aproape doi ani de la publicarea comunicării Comisiei și că Consiliul nu a înregistrat progrese în această privință, deși a fost în măsură să extindă rapid lista infracțiunilor incriminate de UE în alte scopuri; regretă această lipsă de acțiune, având în vedere intensificarea discursurilor de incitare la ură și a infracțiunilor motivate de ură; invită din nou Consiliul să depună eforturi susținute pentru a ajunge la un consens, astfel încât Comisia să poată iniția a doua etapă a procedurii;</w:t>
      </w:r>
    </w:p>
    <w:p w14:paraId="5F1DD729" w14:textId="77777777" w:rsidR="002F15F7" w:rsidRPr="0035242B" w:rsidRDefault="002F15F7" w:rsidP="00C13713">
      <w:pPr>
        <w:pStyle w:val="NormalHanging12a"/>
        <w:widowControl/>
        <w:rPr>
          <w:rFonts w:eastAsiaTheme="minorHAnsi"/>
        </w:rPr>
      </w:pPr>
      <w:r w:rsidRPr="0035242B">
        <w:t>43.</w:t>
      </w:r>
      <w:r w:rsidRPr="0035242B">
        <w:tab/>
        <w:t>îndeamnă Comisia să prezinte un program de lucru care să crească gradul de conștientizare și să încurajeze semnalarea infracțiunilor motivate de ură, cu un mobil bazat pe prejudecățile SOGIESC; îndeamnă Comisia și statele membre să se asigure că polițiștii și magistrații beneficiază de formare privind aspectele LGBTIQ+, pentru a sprijini mai bine persoanele LGBTIQ+ și pentru a investiga și a urmări penal în mod adecvat infracțiunile motivate de ură;</w:t>
      </w:r>
    </w:p>
    <w:p w14:paraId="16D437DC" w14:textId="77777777" w:rsidR="002F15F7" w:rsidRPr="0035242B" w:rsidRDefault="002F15F7" w:rsidP="00C13713">
      <w:pPr>
        <w:pStyle w:val="NormalHanging12a"/>
        <w:widowControl/>
      </w:pPr>
      <w:r w:rsidRPr="0035242B">
        <w:t>44.</w:t>
      </w:r>
      <w:r w:rsidRPr="0035242B">
        <w:tab/>
        <w:t>invită Comisia să analizeze cadrul juridic al Uniunii și posibilele căi de urmat pentru a contracara și a interzice practicile de convertire la nivelul Uniunii și să impulsioneze statele membre să interzică practicile de convertire din motive legate de SOGIESC;</w:t>
      </w:r>
    </w:p>
    <w:p w14:paraId="666F9EFA" w14:textId="79053008" w:rsidR="00FC699F" w:rsidRPr="0035242B" w:rsidRDefault="00FC699F" w:rsidP="00C13713">
      <w:pPr>
        <w:pStyle w:val="NormalHanging12a"/>
        <w:widowControl/>
      </w:pPr>
      <w:r w:rsidRPr="0035242B">
        <w:t>4</w:t>
      </w:r>
      <w:r w:rsidR="002C3E45" w:rsidRPr="0035242B">
        <w:t>5</w:t>
      </w:r>
      <w:r w:rsidRPr="0035242B">
        <w:t>.</w:t>
      </w:r>
      <w:r w:rsidRPr="0035242B">
        <w:tab/>
        <w:t xml:space="preserve">salută, ca un prim pas, înregistrarea oficială de către Comisie a inițiativei cetățenești europene intitulată „Interzicerea practicilor de conversie în Uniunea Europeană”, deoarece, prin aceasta, se recunosc temeiurile juridice la nivel european pentru a acționa în această privință; își exprimă sprijinul pentru această inițiativă cetățenească </w:t>
      </w:r>
      <w:r w:rsidRPr="0035242B">
        <w:lastRenderedPageBreak/>
        <w:t>europeană; invită Comisia să acționeze pe baza acesteia și să propună acte juridice în temeiul tratatelor și Regulamentului ICE</w:t>
      </w:r>
      <w:r w:rsidRPr="0035242B">
        <w:rPr>
          <w:rStyle w:val="FootnoteReference"/>
        </w:rPr>
        <w:footnoteReference w:id="11"/>
      </w:r>
      <w:r w:rsidR="0000046C" w:rsidRPr="0035242B">
        <w:t>;</w:t>
      </w:r>
    </w:p>
    <w:p w14:paraId="6332D587" w14:textId="77777777" w:rsidR="002F15F7" w:rsidRPr="0035242B" w:rsidRDefault="002F15F7" w:rsidP="00C13713">
      <w:pPr>
        <w:pStyle w:val="NormalHanging12a"/>
        <w:widowControl/>
      </w:pPr>
      <w:r w:rsidRPr="0035242B">
        <w:t>4</w:t>
      </w:r>
      <w:r w:rsidR="002C3E45" w:rsidRPr="0035242B">
        <w:t>6</w:t>
      </w:r>
      <w:r w:rsidRPr="0035242B">
        <w:t>.</w:t>
      </w:r>
      <w:r w:rsidRPr="0035242B">
        <w:tab/>
        <w:t>solicită interzicerea mutilării genitale, în special a mutilării genitale a persoanelor intersexuale și a mutilării genitale a femeilor;</w:t>
      </w:r>
    </w:p>
    <w:p w14:paraId="30368DC9" w14:textId="77777777" w:rsidR="002F15F7" w:rsidRPr="0035242B" w:rsidRDefault="002F15F7" w:rsidP="00C13713">
      <w:pPr>
        <w:pStyle w:val="NormalHanging12a"/>
        <w:widowControl/>
      </w:pPr>
      <w:r w:rsidRPr="0035242B">
        <w:t>4</w:t>
      </w:r>
      <w:r w:rsidR="002C3E45" w:rsidRPr="0035242B">
        <w:t>7</w:t>
      </w:r>
      <w:r w:rsidRPr="0035242B">
        <w:t>.</w:t>
      </w:r>
      <w:r w:rsidRPr="0035242B">
        <w:tab/>
        <w:t>invită statele membre să continue să facă schimb de bune practici în materie de protejare a drepturilor fundamentale ale copiilor intersexuali;</w:t>
      </w:r>
    </w:p>
    <w:p w14:paraId="37EA2785" w14:textId="77777777" w:rsidR="002F15F7" w:rsidRPr="0035242B" w:rsidRDefault="002F15F7" w:rsidP="00C13713">
      <w:pPr>
        <w:pStyle w:val="NormalHanging12a"/>
        <w:widowControl/>
      </w:pPr>
      <w:r w:rsidRPr="0035242B">
        <w:t>4</w:t>
      </w:r>
      <w:r w:rsidR="002C3E45" w:rsidRPr="0035242B">
        <w:t>8</w:t>
      </w:r>
      <w:r w:rsidRPr="0035242B">
        <w:t>.</w:t>
      </w:r>
      <w:r w:rsidRPr="0035242B">
        <w:tab/>
        <w:t xml:space="preserve">solicită interzicerea avorturilor forțate și a sterilizărilor forțate; subliniază importanța dreptului persoanelor LGBTIQ+ la autodeterminare, la autonomie și la sănătatea fizică și mintală; subliniază că poziția Parlamentului cu privire la propunerea de directivă referitoare la combaterea violenței împotriva femeilor și a violenței domestice include adăugarea pe lista infracțiunilor incriminate de UE a mutilării genitale a femeilor, a mutilării genitale a persoanelor intersexuale și a sterilizării forțate; </w:t>
      </w:r>
    </w:p>
    <w:p w14:paraId="2CFAE871" w14:textId="77777777" w:rsidR="002F15F7" w:rsidRPr="0035242B" w:rsidRDefault="002C3E45" w:rsidP="00C13713">
      <w:pPr>
        <w:pStyle w:val="NormalHanging12a"/>
        <w:widowControl/>
      </w:pPr>
      <w:r w:rsidRPr="0035242B">
        <w:t>49</w:t>
      </w:r>
      <w:r w:rsidR="002F15F7" w:rsidRPr="0035242B">
        <w:t>.</w:t>
      </w:r>
      <w:r w:rsidR="002F15F7" w:rsidRPr="0035242B">
        <w:tab/>
        <w:t xml:space="preserve">invită statele membre să recunoască căsătoria și calitatea de părinte a cuplurilor de același sex, în scopul exercitării drepturilor care decurg din dreptul Uniunii, conform cerințelor CJUE; </w:t>
      </w:r>
    </w:p>
    <w:p w14:paraId="30B409B3" w14:textId="57109FD0" w:rsidR="002F15F7" w:rsidRPr="0035242B" w:rsidRDefault="002C3E45" w:rsidP="00C13713">
      <w:pPr>
        <w:pStyle w:val="NormalHanging12a"/>
        <w:widowControl/>
      </w:pPr>
      <w:r w:rsidRPr="0035242B">
        <w:t>50</w:t>
      </w:r>
      <w:r w:rsidR="002F15F7" w:rsidRPr="0035242B">
        <w:t>.</w:t>
      </w:r>
      <w:r w:rsidR="002F15F7" w:rsidRPr="0035242B">
        <w:tab/>
        <w:t>invită statele membre să instituie legi și proceduri juridice accesibile de recunoaștere a genului, cu sprijinul Comisiei;</w:t>
      </w:r>
    </w:p>
    <w:p w14:paraId="05E4D8EB" w14:textId="77777777" w:rsidR="002F15F7" w:rsidRPr="0035242B" w:rsidRDefault="002F15F7" w:rsidP="00C13713">
      <w:pPr>
        <w:pStyle w:val="NormalHanging12a"/>
        <w:widowControl/>
      </w:pPr>
      <w:r w:rsidRPr="0035242B">
        <w:t>5</w:t>
      </w:r>
      <w:r w:rsidR="002C3E45" w:rsidRPr="0035242B">
        <w:t>1</w:t>
      </w:r>
      <w:r w:rsidRPr="0035242B">
        <w:t>.</w:t>
      </w:r>
      <w:r w:rsidRPr="0035242B">
        <w:tab/>
        <w:t>invită Comisia și statele membre să promoveze medii sigure și favorabile incluziunii în educație, cultură, sport și în alte sectoare;</w:t>
      </w:r>
    </w:p>
    <w:p w14:paraId="37626E63" w14:textId="77777777" w:rsidR="002F15F7" w:rsidRPr="0035242B" w:rsidRDefault="002F15F7" w:rsidP="00C13713">
      <w:pPr>
        <w:pStyle w:val="NormalHanging12a"/>
        <w:widowControl/>
      </w:pPr>
      <w:r w:rsidRPr="0035242B">
        <w:t>5</w:t>
      </w:r>
      <w:r w:rsidR="002C3E45" w:rsidRPr="0035242B">
        <w:t>2</w:t>
      </w:r>
      <w:r w:rsidRPr="0035242B">
        <w:t>.</w:t>
      </w:r>
      <w:r w:rsidRPr="0035242B">
        <w:tab/>
        <w:t>invită statele membre să ia măsuri suplimentare pentru a garanta drepturi egale pentru persoanele LGBTIQ+ cu dizabilități, prin măsuri de protecție explicite împotriva discriminării bazate pe orientarea sexuală și identitatea de gen, necesare în toate domeniile vieții, inclusiv ocuparea forței de muncă, locuința, educația, locuințele publice și creditele;</w:t>
      </w:r>
    </w:p>
    <w:p w14:paraId="56319C96" w14:textId="77777777" w:rsidR="002F15F7" w:rsidRPr="0035242B" w:rsidRDefault="002F15F7" w:rsidP="00C13713">
      <w:pPr>
        <w:pStyle w:val="NormalHanging12a"/>
        <w:widowControl/>
      </w:pPr>
      <w:r w:rsidRPr="0035242B">
        <w:t>5</w:t>
      </w:r>
      <w:r w:rsidR="002C3E45" w:rsidRPr="0035242B">
        <w:t>3</w:t>
      </w:r>
      <w:r w:rsidRPr="0035242B">
        <w:t>.</w:t>
      </w:r>
      <w:r w:rsidRPr="0035242B">
        <w:tab/>
        <w:t xml:space="preserve">invită statele membre să pună în aplicare recomandările Consiliului privind căile către succesul școlar și, în special, să includă măsuri împotriva discriminării persoanelor LGBTIQ+, mai ales a tinerilor LGBTIQ+, pentru a asigura o educație sigură și favorabilă incluziunii; </w:t>
      </w:r>
    </w:p>
    <w:p w14:paraId="4851116A" w14:textId="77777777" w:rsidR="002F15F7" w:rsidRPr="0035242B" w:rsidRDefault="00FC699F" w:rsidP="00C13713">
      <w:pPr>
        <w:pStyle w:val="NormalHanging12a"/>
        <w:widowControl/>
      </w:pPr>
      <w:r w:rsidRPr="0035242B">
        <w:t>5</w:t>
      </w:r>
      <w:r w:rsidR="002C3E45" w:rsidRPr="0035242B">
        <w:t>4</w:t>
      </w:r>
      <w:r w:rsidR="002F15F7" w:rsidRPr="0035242B">
        <w:t>.</w:t>
      </w:r>
      <w:r w:rsidR="002F15F7" w:rsidRPr="0035242B">
        <w:tab/>
        <w:t xml:space="preserve">îndeamnă Comisia și statele membre să intensifice măsurile de combatere a agresării și hărțuirii copiilor și tinerilor LGBTIQ+ în școli și să crească gradul de conștientizare cu privire la aceste cazuri; subliniază că astfel de situații contribuie la excluziunea socială; </w:t>
      </w:r>
    </w:p>
    <w:p w14:paraId="6915F110" w14:textId="77777777" w:rsidR="002F15F7" w:rsidRPr="0035242B" w:rsidRDefault="00FC699F" w:rsidP="00C13713">
      <w:pPr>
        <w:pStyle w:val="NormalHanging12a"/>
        <w:widowControl/>
      </w:pPr>
      <w:r w:rsidRPr="0035242B">
        <w:t>5</w:t>
      </w:r>
      <w:r w:rsidR="002C3E45" w:rsidRPr="0035242B">
        <w:t>5</w:t>
      </w:r>
      <w:r w:rsidR="002F15F7" w:rsidRPr="0035242B">
        <w:t>.</w:t>
      </w:r>
      <w:r w:rsidR="002F15F7" w:rsidRPr="0035242B">
        <w:tab/>
        <w:t>invită Comisia să extindă finanțarea Erasmus+ de la rubrica „Promovarea egalității LGBT+”, prin eforturi active de comunicare, în cooperare cu autoritățile naționale;</w:t>
      </w:r>
    </w:p>
    <w:p w14:paraId="09CDDFB0" w14:textId="77777777" w:rsidR="002F15F7" w:rsidRPr="0035242B" w:rsidRDefault="00FC699F" w:rsidP="00C13713">
      <w:pPr>
        <w:pStyle w:val="NormalHanging12a"/>
        <w:widowControl/>
      </w:pPr>
      <w:r w:rsidRPr="0035242B">
        <w:t>5</w:t>
      </w:r>
      <w:r w:rsidR="002C3E45" w:rsidRPr="0035242B">
        <w:t>6</w:t>
      </w:r>
      <w:r w:rsidR="002F15F7" w:rsidRPr="0035242B">
        <w:t>.</w:t>
      </w:r>
      <w:r w:rsidR="002F15F7" w:rsidRPr="0035242B">
        <w:tab/>
        <w:t>invită Uniunea să fie un exemplu și să își asume un rol de lider în promovarea drepturilor LGBTIQ+ în întreaga lume, în conformitate cu orientările sale în domeniul drepturilor omului referitoare la evitarea discriminării în acțiunile externe;</w:t>
      </w:r>
    </w:p>
    <w:p w14:paraId="3A0B137E" w14:textId="77777777" w:rsidR="002F15F7" w:rsidRPr="0035242B" w:rsidRDefault="00FC699F" w:rsidP="00C13713">
      <w:pPr>
        <w:pStyle w:val="NormalHanging12a"/>
        <w:widowControl/>
      </w:pPr>
      <w:r w:rsidRPr="0035242B">
        <w:lastRenderedPageBreak/>
        <w:t>5</w:t>
      </w:r>
      <w:r w:rsidR="002C3E45" w:rsidRPr="0035242B">
        <w:t>7</w:t>
      </w:r>
      <w:r w:rsidR="002F15F7" w:rsidRPr="0035242B">
        <w:t>.</w:t>
      </w:r>
      <w:r w:rsidR="002F15F7" w:rsidRPr="0035242B">
        <w:tab/>
        <w:t>invită Comisia să instituie un reprezentant special pentru egalitatea LGBTIQ+ în Serviciul european de acțiune externă, pentru a asigura o punere în aplicare orizontală a Strategiei privind egalitatea LGBTIQ 2020-2025 în străinătate;</w:t>
      </w:r>
    </w:p>
    <w:p w14:paraId="55F79739" w14:textId="77777777" w:rsidR="002F15F7" w:rsidRPr="0035242B" w:rsidRDefault="00FC699F" w:rsidP="00C13713">
      <w:pPr>
        <w:pStyle w:val="NormalHanging12a"/>
        <w:widowControl/>
      </w:pPr>
      <w:r w:rsidRPr="0035242B">
        <w:t>5</w:t>
      </w:r>
      <w:r w:rsidR="002C3E45" w:rsidRPr="0035242B">
        <w:t>8</w:t>
      </w:r>
      <w:r w:rsidR="002F15F7" w:rsidRPr="0035242B">
        <w:t>.</w:t>
      </w:r>
      <w:r w:rsidR="002F15F7" w:rsidRPr="0035242B">
        <w:tab/>
        <w:t>își exprimă îngrijorarea cu privire la situația drepturilor LGBTIQ+ la nivel mondial; invită Comisia și Serviciul European de Acțiune Externă (SEAE) să utilizeze politica de dezvoltare ca instrument de asigurare a implementării reformelor în țările în curs de dezvoltare, cu scopul de a combate regresul în ceea ce privește recunoașterea și protecția acestor drepturi și de a asigura drepturile persoanelor LGBTIQ +;</w:t>
      </w:r>
    </w:p>
    <w:p w14:paraId="1671465E" w14:textId="77777777" w:rsidR="002F15F7" w:rsidRPr="0035242B" w:rsidRDefault="002C3E45" w:rsidP="00C13713">
      <w:pPr>
        <w:pStyle w:val="NormalHanging12a"/>
        <w:widowControl/>
      </w:pPr>
      <w:r w:rsidRPr="0035242B">
        <w:t>59</w:t>
      </w:r>
      <w:r w:rsidR="002F15F7" w:rsidRPr="0035242B">
        <w:t>.</w:t>
      </w:r>
      <w:r w:rsidR="002F15F7" w:rsidRPr="0035242B">
        <w:tab/>
        <w:t>invită Comisia să se asigure că persoanele LGBTIQ+ beneficiază de sprijin în cadrul instrumentelor bugetare și de finanțare, precum și a programelor mai ample de ajutor pentru dezvoltare;</w:t>
      </w:r>
    </w:p>
    <w:p w14:paraId="12A543C4" w14:textId="77777777" w:rsidR="002F15F7" w:rsidRPr="0035242B" w:rsidRDefault="002C3E45" w:rsidP="00C13713">
      <w:pPr>
        <w:pStyle w:val="NormalHanging12a"/>
        <w:widowControl/>
      </w:pPr>
      <w:r w:rsidRPr="0035242B">
        <w:t>60</w:t>
      </w:r>
      <w:r w:rsidR="002F15F7" w:rsidRPr="0035242B">
        <w:t>.</w:t>
      </w:r>
      <w:r w:rsidR="002F15F7" w:rsidRPr="0035242B">
        <w:tab/>
        <w:t>invită Comisia să sprijine țările candidate și țările potențial candidate în punerea în aplicare a legislației Uniunii, inclusiv în domeniul drepturilor LGBTIQ+, și să monitorizeze progresul acestora;</w:t>
      </w:r>
    </w:p>
    <w:p w14:paraId="692571D8" w14:textId="77777777" w:rsidR="002F15F7" w:rsidRPr="0035242B" w:rsidRDefault="002C3E45" w:rsidP="00C13713">
      <w:pPr>
        <w:pStyle w:val="NormalHanging12a"/>
        <w:widowControl/>
      </w:pPr>
      <w:r w:rsidRPr="0035242B">
        <w:t>61</w:t>
      </w:r>
      <w:r w:rsidR="002F15F7" w:rsidRPr="0035242B">
        <w:t>.</w:t>
      </w:r>
      <w:r w:rsidR="002F15F7" w:rsidRPr="0035242B">
        <w:tab/>
        <w:t>invită Comisia să îmbunătățească în continuare posibilitatea de refinanțare și să ofere o finanțare flexibilă, care să permită grupurilor mici, la nivel local, de apărare a drepturilor omului și altor actori ai societății civile din domeniul promovării drepturilor LGBTIQ+ să aibă acces la aceste fonduri, în Uniune și în țările terțe, în conformitate cu dreptul UE;</w:t>
      </w:r>
    </w:p>
    <w:p w14:paraId="5C8D5BC9" w14:textId="77777777" w:rsidR="002F15F7" w:rsidRPr="0035242B" w:rsidRDefault="002C3E45" w:rsidP="00C13713">
      <w:pPr>
        <w:pStyle w:val="NormalHanging12a"/>
        <w:widowControl/>
      </w:pPr>
      <w:r w:rsidRPr="0035242B">
        <w:t>62</w:t>
      </w:r>
      <w:r w:rsidR="002F15F7" w:rsidRPr="0035242B">
        <w:t>.</w:t>
      </w:r>
      <w:r w:rsidR="002F15F7" w:rsidRPr="0035242B">
        <w:tab/>
        <w:t xml:space="preserve">invită Comisia să continue să își îmbunătățească comunicarea cu privire la oportunitățile de finanțare pentru promovarea egalității LGBTIQ+, în special în statele membre în care egalitatea s-a confruntat cu eșecuri; </w:t>
      </w:r>
    </w:p>
    <w:p w14:paraId="36071293" w14:textId="77777777" w:rsidR="002F15F7" w:rsidRPr="0035242B" w:rsidRDefault="002C3E45" w:rsidP="00C13713">
      <w:pPr>
        <w:pStyle w:val="NormalHanging12a"/>
        <w:widowControl/>
      </w:pPr>
      <w:r w:rsidRPr="0035242B">
        <w:t>63</w:t>
      </w:r>
      <w:r w:rsidR="002F15F7" w:rsidRPr="0035242B">
        <w:t>.</w:t>
      </w:r>
      <w:r w:rsidR="002F15F7" w:rsidRPr="0035242B">
        <w:tab/>
        <w:t>invită Comisia să se asigure că statele membre gestionează fondurile Uniunii în conformitate cu Carta, incluzând dreptul la nediscriminare, conform „condiției favorizante” orizontale, în temeiul Regulamentului privind dispozițiile comune</w:t>
      </w:r>
      <w:r w:rsidR="002F15F7" w:rsidRPr="0035242B">
        <w:rPr>
          <w:rStyle w:val="FootnoteReference"/>
        </w:rPr>
        <w:footnoteReference w:id="12"/>
      </w:r>
      <w:r w:rsidR="002F15F7" w:rsidRPr="0035242B">
        <w:t xml:space="preserve"> (RDC); subliniază că nicio cheltuială nu poate fi rambursată de către Comisie până când nu au fost îndeplinite condițiile favorizante aplicabile;</w:t>
      </w:r>
    </w:p>
    <w:p w14:paraId="4860621A" w14:textId="77777777" w:rsidR="002F15F7" w:rsidRPr="0035242B" w:rsidRDefault="002C3E45" w:rsidP="00C13713">
      <w:pPr>
        <w:pStyle w:val="NormalHanging12a"/>
        <w:widowControl/>
      </w:pPr>
      <w:r w:rsidRPr="0035242B">
        <w:t>64</w:t>
      </w:r>
      <w:r w:rsidR="002F15F7" w:rsidRPr="0035242B">
        <w:t>.</w:t>
      </w:r>
      <w:r w:rsidR="002F15F7" w:rsidRPr="0035242B">
        <w:tab/>
        <w:t>invită UE să continue să combată stigmatizarea și hărțuirea apărătorilor drepturilor omului ale persoanelor LGBTIQ+ (HRD) și să-i protejeze pe HRD din țările terțe; îndeamnă UE să extindă astfel de mecanisme la apărătorii drepturilor omului din UE, permițând protejarea HRD LGBTIQ+ în statele membre;</w:t>
      </w:r>
    </w:p>
    <w:p w14:paraId="34A04AF9" w14:textId="77777777" w:rsidR="002F15F7" w:rsidRPr="0035242B" w:rsidRDefault="002C3E45" w:rsidP="00C13713">
      <w:pPr>
        <w:pStyle w:val="NormalHanging12a"/>
        <w:widowControl/>
      </w:pPr>
      <w:r w:rsidRPr="0035242B">
        <w:t>65</w:t>
      </w:r>
      <w:r w:rsidR="002F15F7" w:rsidRPr="0035242B">
        <w:t>.</w:t>
      </w:r>
      <w:r w:rsidR="002F15F7" w:rsidRPr="0035242B">
        <w:tab/>
        <w:t>îndeamnă UE să extindă aceste măsuri de protecție la apărătorii drepturilor omului din statele membre ale UE;</w:t>
      </w:r>
    </w:p>
    <w:p w14:paraId="04690FE6" w14:textId="77777777" w:rsidR="002F15F7" w:rsidRPr="0035242B" w:rsidRDefault="002C3E45" w:rsidP="00C13713">
      <w:pPr>
        <w:pStyle w:val="NormalHanging12a"/>
        <w:widowControl/>
      </w:pPr>
      <w:r w:rsidRPr="0035242B">
        <w:t>66</w:t>
      </w:r>
      <w:r w:rsidR="002F15F7" w:rsidRPr="0035242B">
        <w:t>.</w:t>
      </w:r>
      <w:r w:rsidR="002F15F7" w:rsidRPr="0035242B">
        <w:tab/>
        <w:t xml:space="preserve">invită Comisia să intensifice colectarea de date privind discriminarea bazată pe SOGIESC și să utilizeze aceste date pentru a adapta politicile publice favorabile </w:t>
      </w:r>
      <w:r w:rsidR="002F15F7" w:rsidRPr="0035242B">
        <w:lastRenderedPageBreak/>
        <w:t>incluziunii la persoanele LGBTIQ+ și pentru a susține utilizarea de către statele membre a acestor date;</w:t>
      </w:r>
    </w:p>
    <w:p w14:paraId="4D938B13" w14:textId="77777777" w:rsidR="002F15F7" w:rsidRPr="0035242B" w:rsidRDefault="002C3E45" w:rsidP="00C13713">
      <w:pPr>
        <w:pStyle w:val="NormalHanging12a"/>
        <w:widowControl/>
      </w:pPr>
      <w:r w:rsidRPr="0035242B">
        <w:t>67</w:t>
      </w:r>
      <w:r w:rsidR="002F15F7" w:rsidRPr="0035242B">
        <w:t>.</w:t>
      </w:r>
      <w:r w:rsidR="002F15F7" w:rsidRPr="0035242B">
        <w:tab/>
        <w:t>invită toate statele membre să-și auto-evalueze progresele în materie de punere în practică a strategiei privind persoanele LGBTIQ și să comunice rezultatele Comisiei și Parlamentului;</w:t>
      </w:r>
    </w:p>
    <w:p w14:paraId="304B2B4C" w14:textId="77777777" w:rsidR="002F15F7" w:rsidRPr="0035242B" w:rsidRDefault="002C3E45" w:rsidP="00C13713">
      <w:pPr>
        <w:pStyle w:val="NormalHanging12a"/>
        <w:widowControl/>
      </w:pPr>
      <w:r w:rsidRPr="0035242B">
        <w:t>68</w:t>
      </w:r>
      <w:r w:rsidR="002F15F7" w:rsidRPr="0035242B">
        <w:t>.</w:t>
      </w:r>
      <w:r w:rsidR="002F15F7" w:rsidRPr="0035242B">
        <w:tab/>
        <w:t>invită toate statele membre să adopte planuri și strategii naționale de acțiune LGBTIQ+ până în 2025;</w:t>
      </w:r>
    </w:p>
    <w:p w14:paraId="4EC8E2D1" w14:textId="77777777" w:rsidR="002F15F7" w:rsidRPr="0035242B" w:rsidRDefault="002C3E45" w:rsidP="00C13713">
      <w:pPr>
        <w:pStyle w:val="NormalHanging12a"/>
        <w:widowControl/>
      </w:pPr>
      <w:r w:rsidRPr="0035242B">
        <w:t>69</w:t>
      </w:r>
      <w:r w:rsidR="002F15F7" w:rsidRPr="0035242B">
        <w:t>.</w:t>
      </w:r>
      <w:r w:rsidR="002F15F7" w:rsidRPr="0035242B">
        <w:tab/>
        <w:t>invită Comisia să elaboreze o nouă strategie privind egalitatea persoanelor LGBTIQ+ pentru perioada 2025-2030, bazată pe angajamente puternice, care să reflecte Carta, apelurile și așteptările Parlamentului, ale organizațiilor societății civile și ale persoanelor LGBTIQ+ din Europa și din întreaga lume; solicită Comisiei să comunice un calendar al viitoarei strategii de egalitate privind persoanele LGBTIQ+ înainte de alegerile pentru Parlamentul European din 2024;</w:t>
      </w:r>
    </w:p>
    <w:p w14:paraId="0BB24E76" w14:textId="77777777" w:rsidR="002F15F7" w:rsidRPr="0035242B" w:rsidRDefault="002C3E45" w:rsidP="00C13713">
      <w:pPr>
        <w:pStyle w:val="NormalHanging12a"/>
        <w:widowControl/>
      </w:pPr>
      <w:r w:rsidRPr="0035242B">
        <w:t>70</w:t>
      </w:r>
      <w:r w:rsidR="002F15F7" w:rsidRPr="0035242B">
        <w:t>.</w:t>
      </w:r>
      <w:r w:rsidR="002F15F7" w:rsidRPr="0035242B">
        <w:tab/>
        <w:t>invită Comisia să se asigure că următoarea strategie privind egalitatea persoanelor LGBTIQ+ este susținută de un instrument mai robust, însoțit de un plan de implementare orientat către obiective, de o structură puternică de integrare care să asigure integrarea drepturilor LGBTIQ+ în toate politicile UE, incluzând toate motivele legate de orientare sexuală, identitatea de gen, expresia de gen și caracteristicile sexuale și alocarea resurselor; să includă un calendar și etapele importante, asigurând monitorizarea, evaluarea, responsabilitatea și procesele de învățare, inclusiv consultarea organizațiilor LGBTIQ+; invită Comisia, în plus, să acorde o atenție deosebită grupurilor aflate în situații vulnerabile, cum ar fi copiii și tinerii LGBTIQ+;</w:t>
      </w:r>
    </w:p>
    <w:p w14:paraId="5278B2DF" w14:textId="77777777" w:rsidR="002F15F7" w:rsidRPr="0035242B" w:rsidRDefault="002C3E45" w:rsidP="00C13713">
      <w:pPr>
        <w:pStyle w:val="NormalHanging12a"/>
        <w:widowControl/>
      </w:pPr>
      <w:r w:rsidRPr="0035242B">
        <w:t>71</w:t>
      </w:r>
      <w:r w:rsidR="002F15F7" w:rsidRPr="0035242B">
        <w:t>.</w:t>
      </w:r>
      <w:r w:rsidR="002F15F7" w:rsidRPr="0035242B">
        <w:tab/>
        <w:t>invită Comisia să asigure un portofoliu de comisar pentru egalitate și diversitate în următorul mandat;</w:t>
      </w:r>
    </w:p>
    <w:p w14:paraId="7B730314" w14:textId="77777777" w:rsidR="002F15F7" w:rsidRPr="0035242B" w:rsidRDefault="002C3E45" w:rsidP="00C13713">
      <w:pPr>
        <w:pStyle w:val="NormalHanging12a"/>
        <w:widowControl/>
      </w:pPr>
      <w:r w:rsidRPr="0035242B">
        <w:t>72</w:t>
      </w:r>
      <w:r w:rsidR="002F15F7" w:rsidRPr="0035242B">
        <w:t>.</w:t>
      </w:r>
      <w:r w:rsidR="002F15F7" w:rsidRPr="0035242B">
        <w:tab/>
        <w:t>încurajează introducerea unui coordonator pentru drepturile LGBTIQ+ în Comisia UE;</w:t>
      </w:r>
    </w:p>
    <w:p w14:paraId="064A0FF4" w14:textId="77777777" w:rsidR="00C13713" w:rsidRPr="0035242B" w:rsidRDefault="00C13713" w:rsidP="00C13713">
      <w:pPr>
        <w:widowControl/>
        <w:spacing w:after="240"/>
        <w:jc w:val="center"/>
      </w:pPr>
      <w:r w:rsidRPr="0035242B">
        <w:t>°</w:t>
      </w:r>
    </w:p>
    <w:p w14:paraId="6252B684" w14:textId="77777777" w:rsidR="00C13713" w:rsidRPr="0035242B" w:rsidRDefault="00C13713" w:rsidP="00C13713">
      <w:pPr>
        <w:widowControl/>
        <w:spacing w:after="240"/>
        <w:jc w:val="center"/>
      </w:pPr>
      <w:r w:rsidRPr="0035242B">
        <w:t>°     °</w:t>
      </w:r>
    </w:p>
    <w:p w14:paraId="1A30CC9C" w14:textId="77777777" w:rsidR="002F15F7" w:rsidRPr="0035242B" w:rsidRDefault="002F15F7" w:rsidP="00C13713">
      <w:pPr>
        <w:widowControl/>
        <w:spacing w:after="240"/>
        <w:ind w:left="567" w:hanging="567"/>
      </w:pPr>
      <w:r w:rsidRPr="0035242B">
        <w:t>7</w:t>
      </w:r>
      <w:r w:rsidR="002C3E45" w:rsidRPr="0035242B">
        <w:t>3</w:t>
      </w:r>
      <w:r w:rsidRPr="0035242B">
        <w:t>.</w:t>
      </w:r>
      <w:r w:rsidRPr="0035242B">
        <w:tab/>
        <w:t>încredințează Președintei sarcina de a transmite prezenta rezoluție Consiliului și Comisiei, guvernelor și parlamentelor statelor membre și țărilor candidate, parlamentelor subnaționale și autorităților locale ale statelor membre și ale țărilor candidate.</w:t>
      </w:r>
    </w:p>
    <w:p w14:paraId="5D262A4D" w14:textId="77777777" w:rsidR="00E365E1" w:rsidRPr="0035242B" w:rsidRDefault="00E365E1" w:rsidP="00C13713">
      <w:pPr>
        <w:widowControl/>
        <w:spacing w:after="240"/>
        <w:ind w:left="567" w:hanging="567"/>
      </w:pPr>
      <w:bookmarkStart w:id="9" w:name="TextBodyEnd"/>
      <w:bookmarkEnd w:id="9"/>
    </w:p>
    <w:sectPr w:rsidR="00E365E1" w:rsidRPr="0035242B" w:rsidSect="00422D0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E7951" w14:textId="77777777" w:rsidR="00DF35D6" w:rsidRPr="00422D0A" w:rsidRDefault="00DF35D6">
      <w:r w:rsidRPr="00422D0A">
        <w:separator/>
      </w:r>
    </w:p>
  </w:endnote>
  <w:endnote w:type="continuationSeparator" w:id="0">
    <w:p w14:paraId="7157752B" w14:textId="77777777" w:rsidR="00DF35D6" w:rsidRPr="00422D0A" w:rsidRDefault="00DF35D6">
      <w:r w:rsidRPr="00422D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3684C" w14:textId="77777777" w:rsidR="00DF35D6" w:rsidRPr="00422D0A" w:rsidRDefault="00DF35D6">
      <w:r w:rsidRPr="00422D0A">
        <w:separator/>
      </w:r>
    </w:p>
  </w:footnote>
  <w:footnote w:type="continuationSeparator" w:id="0">
    <w:p w14:paraId="68580097" w14:textId="77777777" w:rsidR="00DF35D6" w:rsidRPr="00422D0A" w:rsidRDefault="00DF35D6">
      <w:r w:rsidRPr="00422D0A">
        <w:continuationSeparator/>
      </w:r>
    </w:p>
  </w:footnote>
  <w:footnote w:id="1">
    <w:p w14:paraId="081D1EFF" w14:textId="77777777" w:rsidR="002F15F7" w:rsidRPr="00422D0A" w:rsidRDefault="002F15F7" w:rsidP="00422D0A">
      <w:pPr>
        <w:pStyle w:val="FootnoteText"/>
        <w:ind w:left="567" w:hanging="567"/>
        <w:rPr>
          <w:sz w:val="24"/>
          <w:lang w:val="ro-RO"/>
        </w:rPr>
      </w:pPr>
      <w:r w:rsidRPr="00422D0A">
        <w:rPr>
          <w:rStyle w:val="FootnoteReference"/>
          <w:sz w:val="24"/>
          <w:lang w:val="ro-RO"/>
        </w:rPr>
        <w:footnoteRef/>
      </w:r>
      <w:r w:rsidR="00422D0A" w:rsidRPr="00422D0A">
        <w:rPr>
          <w:sz w:val="24"/>
          <w:lang w:val="ro-RO"/>
        </w:rPr>
        <w:t xml:space="preserve"> </w:t>
      </w:r>
      <w:r w:rsidR="00422D0A" w:rsidRPr="00422D0A">
        <w:rPr>
          <w:sz w:val="24"/>
          <w:lang w:val="ro-RO"/>
        </w:rPr>
        <w:tab/>
      </w:r>
      <w:r w:rsidRPr="00422D0A">
        <w:rPr>
          <w:sz w:val="24"/>
          <w:lang w:val="ro-RO"/>
        </w:rPr>
        <w:t>JO C 117, 11.3.2022, p. 2.</w:t>
      </w:r>
    </w:p>
  </w:footnote>
  <w:footnote w:id="2">
    <w:p w14:paraId="603AD235" w14:textId="77777777" w:rsidR="002F15F7" w:rsidRPr="00422D0A" w:rsidRDefault="002F15F7" w:rsidP="00422D0A">
      <w:pPr>
        <w:pStyle w:val="FootnoteText"/>
        <w:ind w:left="567" w:hanging="567"/>
        <w:rPr>
          <w:sz w:val="24"/>
          <w:lang w:val="ro-RO"/>
        </w:rPr>
      </w:pPr>
      <w:r w:rsidRPr="00422D0A">
        <w:rPr>
          <w:rStyle w:val="FootnoteReference"/>
          <w:sz w:val="24"/>
          <w:lang w:val="ro-RO"/>
        </w:rPr>
        <w:footnoteRef/>
      </w:r>
      <w:r w:rsidR="00422D0A" w:rsidRPr="00422D0A">
        <w:rPr>
          <w:sz w:val="24"/>
          <w:lang w:val="ro-RO"/>
        </w:rPr>
        <w:t xml:space="preserve"> </w:t>
      </w:r>
      <w:r w:rsidR="00422D0A" w:rsidRPr="00422D0A">
        <w:rPr>
          <w:sz w:val="24"/>
          <w:lang w:val="ro-RO"/>
        </w:rPr>
        <w:tab/>
      </w:r>
      <w:r w:rsidRPr="00422D0A">
        <w:rPr>
          <w:sz w:val="24"/>
          <w:lang w:val="ro-RO"/>
        </w:rPr>
        <w:t>JO C 474, 24.11.2021, p. 140.</w:t>
      </w:r>
    </w:p>
  </w:footnote>
  <w:footnote w:id="3">
    <w:p w14:paraId="4B9F3696" w14:textId="77777777" w:rsidR="002F15F7" w:rsidRPr="00422D0A" w:rsidRDefault="002F15F7" w:rsidP="00422D0A">
      <w:pPr>
        <w:pStyle w:val="FootnoteText"/>
        <w:ind w:left="567" w:hanging="567"/>
        <w:rPr>
          <w:sz w:val="24"/>
          <w:lang w:val="ro-RO"/>
        </w:rPr>
      </w:pPr>
      <w:r w:rsidRPr="00422D0A">
        <w:rPr>
          <w:rStyle w:val="FootnoteReference"/>
          <w:sz w:val="24"/>
          <w:lang w:val="ro-RO"/>
        </w:rPr>
        <w:footnoteRef/>
      </w:r>
      <w:r w:rsidR="00422D0A" w:rsidRPr="00422D0A">
        <w:rPr>
          <w:sz w:val="24"/>
          <w:lang w:val="ro-RO"/>
        </w:rPr>
        <w:t xml:space="preserve"> </w:t>
      </w:r>
      <w:r w:rsidR="00422D0A" w:rsidRPr="00422D0A">
        <w:rPr>
          <w:sz w:val="24"/>
          <w:lang w:val="ro-RO"/>
        </w:rPr>
        <w:tab/>
      </w:r>
      <w:r w:rsidRPr="00422D0A">
        <w:rPr>
          <w:sz w:val="24"/>
          <w:lang w:val="ro-RO"/>
        </w:rPr>
        <w:t>Texte adoptate, P9_TA(2020)0225.</w:t>
      </w:r>
    </w:p>
  </w:footnote>
  <w:footnote w:id="4">
    <w:p w14:paraId="35FDF195" w14:textId="77777777" w:rsidR="002F15F7" w:rsidRPr="00422D0A" w:rsidRDefault="002F15F7" w:rsidP="00422D0A">
      <w:pPr>
        <w:pStyle w:val="FootnoteText"/>
        <w:ind w:left="567" w:hanging="567"/>
        <w:rPr>
          <w:sz w:val="24"/>
          <w:lang w:val="ro-RO"/>
        </w:rPr>
      </w:pPr>
      <w:r w:rsidRPr="00422D0A">
        <w:rPr>
          <w:rStyle w:val="FootnoteReference"/>
          <w:sz w:val="24"/>
          <w:lang w:val="ro-RO"/>
        </w:rPr>
        <w:footnoteRef/>
      </w:r>
      <w:r w:rsidR="00422D0A" w:rsidRPr="00422D0A">
        <w:rPr>
          <w:sz w:val="24"/>
          <w:lang w:val="ro-RO"/>
        </w:rPr>
        <w:t xml:space="preserve"> </w:t>
      </w:r>
      <w:r w:rsidR="00422D0A" w:rsidRPr="00422D0A">
        <w:rPr>
          <w:sz w:val="24"/>
          <w:lang w:val="ro-RO"/>
        </w:rPr>
        <w:tab/>
      </w:r>
      <w:r w:rsidRPr="00422D0A">
        <w:rPr>
          <w:sz w:val="24"/>
          <w:lang w:val="ro-RO"/>
        </w:rPr>
        <w:t>Texte adoptate, P9_TA(2021)0362.</w:t>
      </w:r>
    </w:p>
  </w:footnote>
  <w:footnote w:id="5">
    <w:p w14:paraId="6A29B9D7" w14:textId="77777777" w:rsidR="002F15F7" w:rsidRPr="00422D0A" w:rsidRDefault="002F15F7" w:rsidP="00422D0A">
      <w:pPr>
        <w:pStyle w:val="FootnoteText"/>
        <w:ind w:left="567" w:hanging="567"/>
        <w:rPr>
          <w:sz w:val="24"/>
          <w:lang w:val="ro-RO"/>
        </w:rPr>
      </w:pPr>
      <w:r w:rsidRPr="00422D0A">
        <w:rPr>
          <w:rStyle w:val="FootnoteReference"/>
          <w:sz w:val="24"/>
          <w:lang w:val="ro-RO"/>
        </w:rPr>
        <w:footnoteRef/>
      </w:r>
      <w:r w:rsidR="00422D0A" w:rsidRPr="00422D0A">
        <w:rPr>
          <w:sz w:val="24"/>
          <w:lang w:val="ro-RO"/>
        </w:rPr>
        <w:t xml:space="preserve"> </w:t>
      </w:r>
      <w:r w:rsidR="00422D0A" w:rsidRPr="00422D0A">
        <w:rPr>
          <w:sz w:val="24"/>
          <w:lang w:val="ro-RO"/>
        </w:rPr>
        <w:tab/>
      </w:r>
      <w:r w:rsidRPr="00422D0A">
        <w:rPr>
          <w:sz w:val="24"/>
          <w:lang w:val="ro-RO"/>
        </w:rPr>
        <w:t>Texte adoptate, P9_TA(2022)0372.</w:t>
      </w:r>
    </w:p>
  </w:footnote>
  <w:footnote w:id="6">
    <w:p w14:paraId="5DCB6FB4" w14:textId="77777777" w:rsidR="002F15F7" w:rsidRPr="00422D0A" w:rsidRDefault="002F15F7" w:rsidP="00422D0A">
      <w:pPr>
        <w:pStyle w:val="FootnoteText"/>
        <w:ind w:left="567" w:hanging="567"/>
        <w:rPr>
          <w:sz w:val="24"/>
          <w:lang w:val="ro-RO"/>
        </w:rPr>
      </w:pPr>
      <w:r w:rsidRPr="00422D0A">
        <w:rPr>
          <w:rStyle w:val="FootnoteReference"/>
          <w:sz w:val="24"/>
          <w:lang w:val="ro-RO"/>
        </w:rPr>
        <w:footnoteRef/>
      </w:r>
      <w:r w:rsidR="00422D0A" w:rsidRPr="00422D0A">
        <w:rPr>
          <w:sz w:val="24"/>
          <w:lang w:val="ro-RO"/>
        </w:rPr>
        <w:t xml:space="preserve"> </w:t>
      </w:r>
      <w:r w:rsidR="00422D0A" w:rsidRPr="00422D0A">
        <w:rPr>
          <w:sz w:val="24"/>
          <w:lang w:val="ro-RO"/>
        </w:rPr>
        <w:tab/>
      </w:r>
      <w:r w:rsidRPr="00422D0A">
        <w:rPr>
          <w:sz w:val="24"/>
          <w:lang w:val="ro-RO"/>
        </w:rPr>
        <w:t>Texte adoptate, P9_TA(2023)0120.</w:t>
      </w:r>
    </w:p>
  </w:footnote>
  <w:footnote w:id="7">
    <w:p w14:paraId="60893D3B" w14:textId="77777777" w:rsidR="002F15F7" w:rsidRPr="00422D0A" w:rsidRDefault="002F15F7" w:rsidP="00422D0A">
      <w:pPr>
        <w:pStyle w:val="FootnoteText"/>
        <w:ind w:left="567" w:hanging="567"/>
        <w:rPr>
          <w:sz w:val="24"/>
          <w:lang w:val="ro-RO"/>
        </w:rPr>
      </w:pPr>
      <w:r w:rsidRPr="00422D0A">
        <w:rPr>
          <w:rStyle w:val="FootnoteReference"/>
          <w:sz w:val="24"/>
          <w:lang w:val="ro-RO"/>
        </w:rPr>
        <w:footnoteRef/>
      </w:r>
      <w:r w:rsidR="00422D0A" w:rsidRPr="00422D0A">
        <w:rPr>
          <w:sz w:val="24"/>
          <w:lang w:val="ro-RO"/>
        </w:rPr>
        <w:t xml:space="preserve"> </w:t>
      </w:r>
      <w:r w:rsidR="00422D0A" w:rsidRPr="00422D0A">
        <w:rPr>
          <w:sz w:val="24"/>
          <w:lang w:val="ro-RO"/>
        </w:rPr>
        <w:tab/>
      </w:r>
      <w:r w:rsidRPr="00422D0A">
        <w:rPr>
          <w:sz w:val="24"/>
          <w:lang w:val="ro-RO"/>
        </w:rPr>
        <w:t>Studiu – „Strategia privind egalitatea pentru persoanele LGBTIQ+ 2020-2025 – Prezentare generală a punerii în aplicare”, Parlamentul European, Direcția Generală Servicii de Cercetare Parlamentară, 2023.</w:t>
      </w:r>
    </w:p>
  </w:footnote>
  <w:footnote w:id="8">
    <w:p w14:paraId="0BFEEF68" w14:textId="77777777" w:rsidR="002C3E45" w:rsidRPr="0035242B" w:rsidRDefault="002C3E45" w:rsidP="0035242B">
      <w:pPr>
        <w:pStyle w:val="FootnoteText"/>
        <w:ind w:left="567" w:hanging="567"/>
        <w:rPr>
          <w:sz w:val="24"/>
          <w:szCs w:val="24"/>
          <w:lang w:val="ro-RO"/>
        </w:rPr>
      </w:pPr>
      <w:r>
        <w:rPr>
          <w:rStyle w:val="FootnoteReference"/>
        </w:rPr>
        <w:footnoteRef/>
      </w:r>
      <w:r w:rsidRPr="0035242B">
        <w:rPr>
          <w:lang w:val="ro-RO"/>
        </w:rPr>
        <w:t xml:space="preserve"> </w:t>
      </w:r>
      <w:r>
        <w:rPr>
          <w:lang w:val="ro-RO"/>
        </w:rPr>
        <w:tab/>
      </w:r>
      <w:r w:rsidRPr="0035242B">
        <w:rPr>
          <w:iCs/>
          <w:sz w:val="24"/>
          <w:szCs w:val="24"/>
          <w:lang w:val="ro-RO"/>
        </w:rPr>
        <w:t>JO L, 2024/442, 5.2.2024, ELI: https://eur-lex.europa.eu/eli/dec_impl/2024/442/oj?locale=ro</w:t>
      </w:r>
    </w:p>
  </w:footnote>
  <w:footnote w:id="9">
    <w:p w14:paraId="4E331CA2" w14:textId="77777777" w:rsidR="002F15F7" w:rsidRPr="00422D0A" w:rsidRDefault="002F15F7" w:rsidP="00422D0A">
      <w:pPr>
        <w:pStyle w:val="FootnoteText"/>
        <w:ind w:left="567" w:hanging="567"/>
        <w:rPr>
          <w:sz w:val="24"/>
          <w:lang w:val="ro-RO"/>
        </w:rPr>
      </w:pPr>
      <w:r w:rsidRPr="00422D0A">
        <w:rPr>
          <w:rStyle w:val="FootnoteReference"/>
          <w:sz w:val="24"/>
          <w:lang w:val="ro-RO"/>
        </w:rPr>
        <w:footnoteRef/>
      </w:r>
      <w:r w:rsidR="00422D0A" w:rsidRPr="00422D0A">
        <w:rPr>
          <w:sz w:val="24"/>
          <w:lang w:val="ro-RO"/>
        </w:rPr>
        <w:t xml:space="preserve"> </w:t>
      </w:r>
      <w:r w:rsidR="00422D0A" w:rsidRPr="00422D0A">
        <w:rPr>
          <w:sz w:val="24"/>
          <w:lang w:val="ro-RO"/>
        </w:rPr>
        <w:tab/>
      </w:r>
      <w:r w:rsidRPr="00422D0A">
        <w:rPr>
          <w:sz w:val="24"/>
          <w:lang w:val="ro-RO"/>
        </w:rPr>
        <w:t>Propunerea Comisiei din 7 decembrie 2022 de directivă a Parlamentului European și a Consiliului privind standardele aplicabile organismelor de promovare a egalității de tratament și a egalității de șanse între femei și bărbați în materie de încadrare în muncă și de ocupare a forței de muncă și de eliminare a articolului 20 din Directiva 2006/54/CE și a articolului 11 din Directiva 2010/41/UE (COM(2022)0688).</w:t>
      </w:r>
    </w:p>
  </w:footnote>
  <w:footnote w:id="10">
    <w:p w14:paraId="19DE4101" w14:textId="77777777" w:rsidR="002F15F7" w:rsidRPr="00422D0A" w:rsidRDefault="002F15F7" w:rsidP="00422D0A">
      <w:pPr>
        <w:pStyle w:val="FootnoteText"/>
        <w:ind w:left="567" w:hanging="567"/>
        <w:rPr>
          <w:sz w:val="24"/>
          <w:lang w:val="ro-RO"/>
        </w:rPr>
      </w:pPr>
      <w:r w:rsidRPr="00422D0A">
        <w:rPr>
          <w:rStyle w:val="FootnoteReference"/>
          <w:sz w:val="24"/>
          <w:lang w:val="ro-RO"/>
        </w:rPr>
        <w:footnoteRef/>
      </w:r>
      <w:r w:rsidR="00422D0A" w:rsidRPr="00422D0A">
        <w:rPr>
          <w:sz w:val="24"/>
          <w:lang w:val="ro-RO"/>
        </w:rPr>
        <w:t xml:space="preserve"> </w:t>
      </w:r>
      <w:r w:rsidR="00422D0A" w:rsidRPr="00422D0A">
        <w:rPr>
          <w:sz w:val="24"/>
          <w:lang w:val="ro-RO"/>
        </w:rPr>
        <w:tab/>
      </w:r>
      <w:r w:rsidRPr="00422D0A">
        <w:rPr>
          <w:sz w:val="24"/>
          <w:lang w:val="ro-RO"/>
        </w:rPr>
        <w:t xml:space="preserve">Directiva 2000/78/CE a Consiliului din 27 noiembrie 2000 de creare a unui cadru general în favoarea egalității de tratament în ceea ce privește încadrarea în muncă și ocuparea forței de muncă </w:t>
      </w:r>
      <w:r w:rsidR="00C13713">
        <w:rPr>
          <w:sz w:val="24"/>
          <w:lang w:val="ro-RO"/>
        </w:rPr>
        <w:t>(</w:t>
      </w:r>
      <w:r w:rsidRPr="00422D0A">
        <w:rPr>
          <w:sz w:val="24"/>
          <w:lang w:val="ro-RO"/>
        </w:rPr>
        <w:t>JO L 303, 2.12.2000, p. 16.</w:t>
      </w:r>
      <w:r w:rsidR="00C13713">
        <w:rPr>
          <w:sz w:val="24"/>
          <w:lang w:val="ro-RO"/>
        </w:rPr>
        <w:t>).</w:t>
      </w:r>
    </w:p>
  </w:footnote>
  <w:footnote w:id="11">
    <w:p w14:paraId="7E708825" w14:textId="77777777" w:rsidR="00FC699F" w:rsidRPr="0035242B" w:rsidRDefault="00FC699F" w:rsidP="0035242B">
      <w:pPr>
        <w:pStyle w:val="FootnoteText"/>
        <w:ind w:left="567" w:hanging="567"/>
        <w:rPr>
          <w:sz w:val="24"/>
          <w:szCs w:val="24"/>
          <w:lang w:val="ro-RO"/>
        </w:rPr>
      </w:pPr>
      <w:r>
        <w:rPr>
          <w:rStyle w:val="FootnoteReference"/>
        </w:rPr>
        <w:footnoteRef/>
      </w:r>
      <w:r w:rsidRPr="0035242B">
        <w:rPr>
          <w:lang w:val="ro-RO"/>
        </w:rPr>
        <w:t xml:space="preserve"> </w:t>
      </w:r>
      <w:r>
        <w:rPr>
          <w:lang w:val="ro-RO"/>
        </w:rPr>
        <w:tab/>
      </w:r>
      <w:r w:rsidRPr="0035242B">
        <w:rPr>
          <w:iCs/>
          <w:sz w:val="24"/>
          <w:szCs w:val="24"/>
          <w:lang w:val="ro-RO"/>
        </w:rPr>
        <w:t>Regulamentul (UE) 2019/788 al Parlamentului European și al Consiliului din 17 aprilie 2019 privind inițiativa cetățenească europeană</w:t>
      </w:r>
      <w:r w:rsidRPr="0035242B">
        <w:rPr>
          <w:sz w:val="24"/>
          <w:szCs w:val="24"/>
          <w:lang w:val="ro-RO"/>
        </w:rPr>
        <w:t xml:space="preserve"> (</w:t>
      </w:r>
      <w:r w:rsidRPr="0035242B">
        <w:rPr>
          <w:iCs/>
          <w:sz w:val="24"/>
          <w:szCs w:val="24"/>
          <w:lang w:val="ro-RO"/>
        </w:rPr>
        <w:t>JO L 130, 17.5.2019, p. 55</w:t>
      </w:r>
      <w:r w:rsidRPr="0035242B">
        <w:rPr>
          <w:sz w:val="24"/>
          <w:szCs w:val="24"/>
          <w:lang w:val="ro-RO"/>
        </w:rPr>
        <w:t>).</w:t>
      </w:r>
    </w:p>
  </w:footnote>
  <w:footnote w:id="12">
    <w:p w14:paraId="3E23E9E7" w14:textId="77777777" w:rsidR="002F15F7" w:rsidRPr="00422D0A" w:rsidRDefault="002F15F7" w:rsidP="00422D0A">
      <w:pPr>
        <w:pStyle w:val="FootnoteText"/>
        <w:ind w:left="567" w:hanging="567"/>
        <w:rPr>
          <w:sz w:val="24"/>
          <w:lang w:val="ro-RO"/>
        </w:rPr>
      </w:pPr>
      <w:r w:rsidRPr="00422D0A">
        <w:rPr>
          <w:rStyle w:val="FootnoteReference"/>
          <w:sz w:val="24"/>
          <w:lang w:val="ro-RO"/>
        </w:rPr>
        <w:footnoteRef/>
      </w:r>
      <w:r w:rsidR="00422D0A" w:rsidRPr="00422D0A">
        <w:rPr>
          <w:sz w:val="24"/>
          <w:lang w:val="ro-RO"/>
        </w:rPr>
        <w:t xml:space="preserve"> </w:t>
      </w:r>
      <w:r w:rsidR="00422D0A" w:rsidRPr="00422D0A">
        <w:rPr>
          <w:sz w:val="24"/>
          <w:lang w:val="ro-RO"/>
        </w:rPr>
        <w:tab/>
      </w:r>
      <w:r w:rsidRPr="00422D0A">
        <w:rPr>
          <w:sz w:val="24"/>
          <w:lang w:val="ro-RO"/>
        </w:rPr>
        <w:t xml:space="preserve">Regulamentul (UE) 2021/1060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w:t>
      </w:r>
      <w:r w:rsidR="00C13713">
        <w:rPr>
          <w:sz w:val="24"/>
          <w:lang w:val="ro-RO"/>
        </w:rPr>
        <w:t>(</w:t>
      </w:r>
      <w:r w:rsidRPr="00422D0A">
        <w:rPr>
          <w:sz w:val="24"/>
          <w:lang w:val="ro-RO"/>
        </w:rPr>
        <w:t>JO L 231, 30.6.2021, p. 159.</w:t>
      </w:r>
      <w:r w:rsidR="00C13713">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RO"/>
    <w:docVar w:name="dvnumam" w:val="0"/>
    <w:docVar w:name="dvpe" w:val="756.097"/>
    <w:docVar w:name="dvrapporteur" w:val="Raportor: "/>
    <w:docVar w:name="dvtitre" w:val="Rezoluția Parlamentului European din ... 2024 referitor la punerea în aplicare a Strategiei UE privind egalitatea persoanelor LGBTIQ 2020-2025(2023/2082(INI))"/>
  </w:docVars>
  <w:rsids>
    <w:rsidRoot w:val="00DF35D6"/>
    <w:rsid w:val="0000046C"/>
    <w:rsid w:val="00002272"/>
    <w:rsid w:val="00064002"/>
    <w:rsid w:val="000677B9"/>
    <w:rsid w:val="000831BA"/>
    <w:rsid w:val="000A42CC"/>
    <w:rsid w:val="000E7DD9"/>
    <w:rsid w:val="0010095E"/>
    <w:rsid w:val="00125B37"/>
    <w:rsid w:val="00187494"/>
    <w:rsid w:val="001F32AE"/>
    <w:rsid w:val="002767FF"/>
    <w:rsid w:val="002B18FE"/>
    <w:rsid w:val="002B5493"/>
    <w:rsid w:val="002C3E45"/>
    <w:rsid w:val="002F15F7"/>
    <w:rsid w:val="00343214"/>
    <w:rsid w:val="0035242B"/>
    <w:rsid w:val="00361C00"/>
    <w:rsid w:val="00395FA1"/>
    <w:rsid w:val="003E15D4"/>
    <w:rsid w:val="00411CCE"/>
    <w:rsid w:val="0041666E"/>
    <w:rsid w:val="00421060"/>
    <w:rsid w:val="00422D0A"/>
    <w:rsid w:val="00471C19"/>
    <w:rsid w:val="004867E3"/>
    <w:rsid w:val="00494A28"/>
    <w:rsid w:val="004C0004"/>
    <w:rsid w:val="004C5D52"/>
    <w:rsid w:val="004E047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0CA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713"/>
    <w:rsid w:val="00C23CD4"/>
    <w:rsid w:val="00C61C0C"/>
    <w:rsid w:val="00C941CB"/>
    <w:rsid w:val="00CC2357"/>
    <w:rsid w:val="00CF071A"/>
    <w:rsid w:val="00D058B8"/>
    <w:rsid w:val="00D56C11"/>
    <w:rsid w:val="00D834A0"/>
    <w:rsid w:val="00D872DF"/>
    <w:rsid w:val="00D91E21"/>
    <w:rsid w:val="00DA7FCD"/>
    <w:rsid w:val="00DF35D6"/>
    <w:rsid w:val="00E365E1"/>
    <w:rsid w:val="00E820A4"/>
    <w:rsid w:val="00EB006A"/>
    <w:rsid w:val="00EB4772"/>
    <w:rsid w:val="00ED169E"/>
    <w:rsid w:val="00ED4235"/>
    <w:rsid w:val="00F04346"/>
    <w:rsid w:val="00F075DC"/>
    <w:rsid w:val="00F149E9"/>
    <w:rsid w:val="00F5134D"/>
    <w:rsid w:val="00F74202"/>
    <w:rsid w:val="00F87713"/>
    <w:rsid w:val="00FB4360"/>
    <w:rsid w:val="00FC699F"/>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D27733"/>
  <w15:chartTrackingRefBased/>
  <w15:docId w15:val="{69A61301-C457-4612-9EF3-235065E2C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F15F7"/>
    <w:pPr>
      <w:spacing w:after="240"/>
      <w:ind w:left="567" w:hanging="567"/>
    </w:pPr>
  </w:style>
  <w:style w:type="paragraph" w:customStyle="1" w:styleId="EPComma">
    <w:name w:val="EPComma"/>
    <w:basedOn w:val="Normal"/>
    <w:rsid w:val="002F15F7"/>
    <w:pPr>
      <w:spacing w:before="480" w:after="240"/>
    </w:pPr>
  </w:style>
  <w:style w:type="character" w:styleId="CommentReference">
    <w:name w:val="annotation reference"/>
    <w:basedOn w:val="DefaultParagraphFont"/>
    <w:rsid w:val="002C3E45"/>
    <w:rPr>
      <w:sz w:val="16"/>
      <w:szCs w:val="16"/>
    </w:rPr>
  </w:style>
  <w:style w:type="paragraph" w:styleId="CommentText">
    <w:name w:val="annotation text"/>
    <w:basedOn w:val="Normal"/>
    <w:link w:val="CommentTextChar"/>
    <w:rsid w:val="002C3E45"/>
    <w:rPr>
      <w:sz w:val="20"/>
    </w:rPr>
  </w:style>
  <w:style w:type="character" w:customStyle="1" w:styleId="CommentTextChar">
    <w:name w:val="Comment Text Char"/>
    <w:basedOn w:val="DefaultParagraphFont"/>
    <w:link w:val="CommentText"/>
    <w:rsid w:val="002C3E45"/>
    <w:rPr>
      <w:lang w:val="ro-RO"/>
    </w:rPr>
  </w:style>
  <w:style w:type="paragraph" w:styleId="CommentSubject">
    <w:name w:val="annotation subject"/>
    <w:basedOn w:val="CommentText"/>
    <w:next w:val="CommentText"/>
    <w:link w:val="CommentSubjectChar"/>
    <w:rsid w:val="002C3E45"/>
    <w:rPr>
      <w:b/>
      <w:bCs/>
    </w:rPr>
  </w:style>
  <w:style w:type="character" w:customStyle="1" w:styleId="CommentSubjectChar">
    <w:name w:val="Comment Subject Char"/>
    <w:basedOn w:val="CommentTextChar"/>
    <w:link w:val="CommentSubject"/>
    <w:rsid w:val="002C3E45"/>
    <w:rPr>
      <w:b/>
      <w:bCs/>
      <w:lang w:val="ro-RO"/>
    </w:rPr>
  </w:style>
  <w:style w:type="paragraph" w:styleId="Revision">
    <w:name w:val="Revision"/>
    <w:hidden/>
    <w:uiPriority w:val="99"/>
    <w:semiHidden/>
    <w:rsid w:val="002C3E45"/>
    <w:rPr>
      <w:sz w:val="24"/>
      <w:lang w:val="ro-RO"/>
    </w:rPr>
  </w:style>
  <w:style w:type="paragraph" w:styleId="BalloonText">
    <w:name w:val="Balloon Text"/>
    <w:basedOn w:val="Normal"/>
    <w:link w:val="BalloonTextChar"/>
    <w:rsid w:val="002C3E45"/>
    <w:rPr>
      <w:rFonts w:ascii="Segoe UI" w:hAnsi="Segoe UI" w:cs="Segoe UI"/>
      <w:sz w:val="18"/>
      <w:szCs w:val="18"/>
    </w:rPr>
  </w:style>
  <w:style w:type="character" w:customStyle="1" w:styleId="BalloonTextChar">
    <w:name w:val="Balloon Text Char"/>
    <w:basedOn w:val="DefaultParagraphFont"/>
    <w:link w:val="BalloonText"/>
    <w:rsid w:val="002C3E45"/>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784C0-1D53-402A-8B16-C51379066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4733</Words>
  <Characters>28778</Characters>
  <Application>Microsoft Office Word</Application>
  <DocSecurity>4</DocSecurity>
  <Lines>239</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Lukas Lemcke</cp:lastModifiedBy>
  <cp:revision>2</cp:revision>
  <cp:lastPrinted>2004-11-19T15:42:00Z</cp:lastPrinted>
  <dcterms:created xsi:type="dcterms:W3CDTF">2024-06-14T09:09:00Z</dcterms:created>
  <dcterms:modified xsi:type="dcterms:W3CDTF">2024-06-14T09:09:00Z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A9-0030/2024</vt:lpwstr>
  </property>
  <property fmtid="{D5CDD505-2E9C-101B-9397-08002B2CF9AE}" pid="4" name="&lt;Type&gt;">
    <vt:lpwstr>RR</vt:lpwstr>
  </property>
</Properties>
</file>