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6897" w:rsidTr="0010095E">
        <w:trPr>
          <w:trHeight w:hRule="exact" w:val="1418"/>
        </w:trPr>
        <w:tc>
          <w:tcPr>
            <w:tcW w:w="6804" w:type="dxa"/>
            <w:shd w:val="clear" w:color="auto" w:fill="auto"/>
            <w:vAlign w:val="center"/>
          </w:tcPr>
          <w:p w:rsidR="00751A4A" w:rsidRPr="00F16897" w:rsidRDefault="00BE5524" w:rsidP="0010095E">
            <w:pPr>
              <w:pStyle w:val="EPName"/>
            </w:pPr>
            <w:r w:rsidRPr="00F16897">
              <w:t>Europaparlamentet</w:t>
            </w:r>
          </w:p>
          <w:p w:rsidR="00751A4A" w:rsidRPr="00F16897" w:rsidRDefault="00817416" w:rsidP="00756632">
            <w:pPr>
              <w:pStyle w:val="EPTerm"/>
              <w:rPr>
                <w:rStyle w:val="HideTWBExt"/>
                <w:noProof w:val="0"/>
                <w:vanish w:val="0"/>
                <w:color w:val="auto"/>
              </w:rPr>
            </w:pPr>
            <w:r w:rsidRPr="00F16897">
              <w:t>2019-2024</w:t>
            </w:r>
          </w:p>
        </w:tc>
        <w:tc>
          <w:tcPr>
            <w:tcW w:w="2268" w:type="dxa"/>
            <w:shd w:val="clear" w:color="auto" w:fill="auto"/>
          </w:tcPr>
          <w:p w:rsidR="00751A4A" w:rsidRPr="00F16897" w:rsidRDefault="00187494" w:rsidP="0010095E">
            <w:pPr>
              <w:pStyle w:val="EPLogo"/>
            </w:pPr>
            <w:r w:rsidRPr="00F1689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6897" w:rsidRDefault="00D058B8" w:rsidP="004C5D52">
      <w:pPr>
        <w:pStyle w:val="LineTop"/>
      </w:pPr>
    </w:p>
    <w:p w:rsidR="00680577" w:rsidRPr="00F16897" w:rsidRDefault="00BE5524" w:rsidP="00680577">
      <w:pPr>
        <w:pStyle w:val="EPBodyTA1"/>
      </w:pPr>
      <w:r w:rsidRPr="00F16897">
        <w:t>ANTAGNA TEXTER</w:t>
      </w:r>
    </w:p>
    <w:p w:rsidR="00D058B8" w:rsidRPr="00F16897" w:rsidRDefault="00D058B8" w:rsidP="00D058B8">
      <w:pPr>
        <w:pStyle w:val="LineBottom"/>
      </w:pPr>
    </w:p>
    <w:p w:rsidR="00BE5524" w:rsidRPr="00F16897" w:rsidRDefault="00BE5524" w:rsidP="00BE5524">
      <w:pPr>
        <w:pStyle w:val="ATHeading1"/>
      </w:pPr>
      <w:bookmarkStart w:id="0" w:name="TANumber"/>
      <w:r w:rsidRPr="00F16897">
        <w:t>P9_TA(2024)</w:t>
      </w:r>
      <w:bookmarkEnd w:id="0"/>
      <w:r w:rsidR="0066493E" w:rsidRPr="00F16897">
        <w:t>0076</w:t>
      </w:r>
    </w:p>
    <w:p w:rsidR="00BE5524" w:rsidRPr="00F16897" w:rsidRDefault="00BE5524" w:rsidP="00BE5524">
      <w:pPr>
        <w:pStyle w:val="ATHeading2"/>
      </w:pPr>
      <w:bookmarkStart w:id="1" w:name="title"/>
      <w:r w:rsidRPr="00F16897">
        <w:t>Betänkande om genomförandet av EU:s jämlikhetsstrategi för hbtqi-personer</w:t>
      </w:r>
      <w:r w:rsidR="00250810" w:rsidRPr="00F16897">
        <w:t xml:space="preserve"> </w:t>
      </w:r>
      <w:r w:rsidRPr="00F16897">
        <w:t>2020–2025</w:t>
      </w:r>
      <w:bookmarkEnd w:id="1"/>
    </w:p>
    <w:p w:rsidR="00BE5524" w:rsidRPr="00F16897" w:rsidRDefault="00BE5524" w:rsidP="00BE5524">
      <w:pPr>
        <w:rPr>
          <w:i/>
          <w:vanish/>
        </w:rPr>
      </w:pPr>
      <w:r w:rsidRPr="00F16897">
        <w:rPr>
          <w:i/>
        </w:rPr>
        <w:fldChar w:fldCharType="begin"/>
      </w:r>
      <w:r w:rsidRPr="00F16897">
        <w:rPr>
          <w:i/>
        </w:rPr>
        <w:instrText xml:space="preserve"> TC"(</w:instrText>
      </w:r>
      <w:bookmarkStart w:id="2" w:name="DocNumber"/>
      <w:r w:rsidRPr="00F16897">
        <w:rPr>
          <w:i/>
        </w:rPr>
        <w:instrText>A9-0030/2024</w:instrText>
      </w:r>
      <w:bookmarkEnd w:id="2"/>
      <w:r w:rsidRPr="00F16897">
        <w:rPr>
          <w:i/>
        </w:rPr>
        <w:instrText xml:space="preserve"> - Föredragande: José Gusmão)"\l3 \n&gt; \* MERGEFORMAT </w:instrText>
      </w:r>
      <w:r w:rsidRPr="00F16897">
        <w:rPr>
          <w:i/>
        </w:rPr>
        <w:fldChar w:fldCharType="end"/>
      </w:r>
    </w:p>
    <w:p w:rsidR="00BE5524" w:rsidRPr="00F16897" w:rsidRDefault="00BE5524" w:rsidP="00BE5524">
      <w:pPr>
        <w:rPr>
          <w:vanish/>
        </w:rPr>
      </w:pPr>
      <w:bookmarkStart w:id="3" w:name="Commission"/>
      <w:r w:rsidRPr="00F16897">
        <w:rPr>
          <w:vanish/>
        </w:rPr>
        <w:t>Utskottet för medborgerliga fri- och rättigheter samt rättsliga och inrikes frågor</w:t>
      </w:r>
      <w:bookmarkEnd w:id="3"/>
    </w:p>
    <w:p w:rsidR="00BE5524" w:rsidRPr="00F16897" w:rsidRDefault="00BE5524" w:rsidP="00BE5524">
      <w:pPr>
        <w:rPr>
          <w:vanish/>
        </w:rPr>
      </w:pPr>
      <w:bookmarkStart w:id="4" w:name="PE"/>
      <w:r w:rsidRPr="00F16897">
        <w:rPr>
          <w:vanish/>
        </w:rPr>
        <w:t>PE756.097</w:t>
      </w:r>
      <w:bookmarkEnd w:id="4"/>
    </w:p>
    <w:p w:rsidR="00BE5524" w:rsidRPr="00F16897" w:rsidRDefault="00BE5524" w:rsidP="00BE5524">
      <w:pPr>
        <w:pStyle w:val="ATHeading3"/>
      </w:pPr>
      <w:bookmarkStart w:id="5" w:name="Sujet"/>
      <w:r w:rsidRPr="00F16897">
        <w:t xml:space="preserve">Europaparlamentets resolution av den </w:t>
      </w:r>
      <w:r w:rsidR="0066493E" w:rsidRPr="00F16897">
        <w:t xml:space="preserve">8 </w:t>
      </w:r>
      <w:r w:rsidR="00322F5C" w:rsidRPr="00F16897">
        <w:t xml:space="preserve">februari </w:t>
      </w:r>
      <w:r w:rsidRPr="00F16897">
        <w:t>2024 om genomförandet av EU:s jämlikhetsstrategi för hbtqi-personer 2020–2025</w:t>
      </w:r>
      <w:bookmarkEnd w:id="5"/>
      <w:r w:rsidRPr="00F16897">
        <w:t xml:space="preserve"> </w:t>
      </w:r>
      <w:bookmarkStart w:id="6" w:name="References"/>
      <w:r w:rsidRPr="00F16897">
        <w:t>(2023/2082(INI))</w:t>
      </w:r>
      <w:bookmarkEnd w:id="6"/>
    </w:p>
    <w:p w:rsidR="00C55DE7" w:rsidRPr="00F16897" w:rsidRDefault="00C55DE7" w:rsidP="00C55DE7">
      <w:pPr>
        <w:pStyle w:val="EPComma"/>
        <w:widowControl/>
      </w:pPr>
      <w:bookmarkStart w:id="7" w:name="TextBodyBegin"/>
      <w:bookmarkEnd w:id="7"/>
      <w:r w:rsidRPr="00F16897">
        <w:rPr>
          <w:i/>
          <w:iCs/>
        </w:rPr>
        <w:t>Europaparlamentet utfärdar denna resolution</w:t>
      </w:r>
    </w:p>
    <w:p w:rsidR="00C55DE7" w:rsidRPr="00F16897" w:rsidRDefault="00C55DE7" w:rsidP="00C55DE7">
      <w:pPr>
        <w:pStyle w:val="NormalHanging12a"/>
        <w:widowControl/>
      </w:pPr>
      <w:r w:rsidRPr="00F16897">
        <w:t>–</w:t>
      </w:r>
      <w:r w:rsidRPr="00F16897">
        <w:tab/>
        <w:t>med beaktande av Europeiska unionens stadga om de grundläggande rättigheterna,</w:t>
      </w:r>
    </w:p>
    <w:p w:rsidR="00C55DE7" w:rsidRPr="00F16897" w:rsidRDefault="00C55DE7" w:rsidP="00C55DE7">
      <w:pPr>
        <w:pStyle w:val="NormalHanging12a"/>
        <w:widowControl/>
      </w:pPr>
      <w:r w:rsidRPr="00F16897">
        <w:t>–</w:t>
      </w:r>
      <w:r w:rsidRPr="00F16897">
        <w:tab/>
        <w:t>med beaktande av artikel 2 i fördraget om Europeiska unionen (EU-fördraget),</w:t>
      </w:r>
    </w:p>
    <w:p w:rsidR="00C55DE7" w:rsidRPr="00F16897" w:rsidRDefault="00C55DE7" w:rsidP="00C55DE7">
      <w:pPr>
        <w:pStyle w:val="NormalHanging12a"/>
        <w:widowControl/>
      </w:pPr>
      <w:r w:rsidRPr="00F16897">
        <w:t>–</w:t>
      </w:r>
      <w:r w:rsidRPr="00F16897">
        <w:tab/>
        <w:t>med beaktande av den europeiska konventionen om skydd för de mänskliga rättigheterna och de grundläggande friheterna (Europakonventionen) och Europadomstolens rättspraxis i relation till denna,</w:t>
      </w:r>
    </w:p>
    <w:p w:rsidR="00C55DE7" w:rsidRPr="00F16897" w:rsidRDefault="00C55DE7" w:rsidP="00C55DE7">
      <w:pPr>
        <w:pStyle w:val="NormalHanging12a"/>
        <w:widowControl/>
      </w:pPr>
      <w:r w:rsidRPr="00F16897">
        <w:t>–</w:t>
      </w:r>
      <w:r w:rsidRPr="00F16897">
        <w:tab/>
        <w:t>med beaktande av rättspraxis från Europeiska unionens domstol (EU-domstolen),</w:t>
      </w:r>
    </w:p>
    <w:p w:rsidR="00C55DE7" w:rsidRPr="00F16897" w:rsidRDefault="00C55DE7" w:rsidP="00C55DE7">
      <w:pPr>
        <w:pStyle w:val="NormalHanging12a"/>
        <w:widowControl/>
      </w:pPr>
      <w:r w:rsidRPr="00F16897">
        <w:t>–</w:t>
      </w:r>
      <w:r w:rsidRPr="00F16897">
        <w:tab/>
        <w:t>med beaktande av domstolens dom av den 5 juni 2018 i mål C-673/16,</w:t>
      </w:r>
    </w:p>
    <w:p w:rsidR="00C55DE7" w:rsidRPr="00F16897" w:rsidRDefault="00C55DE7" w:rsidP="00C55DE7">
      <w:pPr>
        <w:pStyle w:val="NormalHanging12a"/>
        <w:widowControl/>
      </w:pPr>
      <w:r w:rsidRPr="00F16897">
        <w:t>–</w:t>
      </w:r>
      <w:r w:rsidRPr="00F16897">
        <w:tab/>
        <w:t>med beaktande av den allmänna förklaringen om de mänskliga rättigheterna,</w:t>
      </w:r>
    </w:p>
    <w:p w:rsidR="00C55DE7" w:rsidRPr="00F16897" w:rsidRDefault="00C55DE7" w:rsidP="00C55DE7">
      <w:pPr>
        <w:pStyle w:val="NormalHanging12a"/>
        <w:widowControl/>
      </w:pPr>
      <w:r w:rsidRPr="00F16897">
        <w:t>–</w:t>
      </w:r>
      <w:r w:rsidRPr="00F16897">
        <w:tab/>
        <w:t>med beaktande av Europarådets konvention om förebyggande och bekämpning av våld mot kvinnor och våld i hemmet (Istanbulkonventionen), som EU ratificerade den 28 juni 2023,</w:t>
      </w:r>
    </w:p>
    <w:p w:rsidR="00C55DE7" w:rsidRPr="00F16897" w:rsidRDefault="00C55DE7" w:rsidP="00C55DE7">
      <w:pPr>
        <w:pStyle w:val="NormalHanging12a"/>
        <w:widowControl/>
      </w:pPr>
      <w:r w:rsidRPr="00F16897">
        <w:t>–</w:t>
      </w:r>
      <w:r w:rsidRPr="00F16897">
        <w:tab/>
        <w:t>med beaktande av FN:s konvention om barnets rättigheter, FN:s konvention om avskaffande av all slags diskriminering av kvinnor, FN:s konvention om avskaffandet av alla former av rasdiskriminering och FN:s konvention om rättigheter för personer med funktionsnedsättning,</w:t>
      </w:r>
    </w:p>
    <w:p w:rsidR="00C55DE7" w:rsidRPr="00F16897" w:rsidRDefault="00C55DE7" w:rsidP="00C55DE7">
      <w:pPr>
        <w:pStyle w:val="NormalHanging12a"/>
        <w:widowControl/>
      </w:pPr>
      <w:r w:rsidRPr="00F16897">
        <w:t>–</w:t>
      </w:r>
      <w:r w:rsidRPr="00F16897">
        <w:tab/>
        <w:t>med beaktande av Yogyakartaprinciperna och om tillämpningen av internationell människorättslagstiftning avseende sexuell läggning, könsidentitet, könsuttryck och könskarakteristika,</w:t>
      </w:r>
    </w:p>
    <w:p w:rsidR="00C55DE7" w:rsidRPr="00F16897" w:rsidRDefault="00C55DE7" w:rsidP="00C55DE7">
      <w:pPr>
        <w:pStyle w:val="NormalHanging12a"/>
        <w:widowControl/>
      </w:pPr>
      <w:r w:rsidRPr="00F16897">
        <w:t>–</w:t>
      </w:r>
      <w:r w:rsidRPr="00F16897">
        <w:tab/>
        <w:t xml:space="preserve">med beaktande av kommissionens meddelande av den 12 november 2020 </w:t>
      </w:r>
      <w:r w:rsidRPr="00F16897">
        <w:rPr>
          <w:i/>
          <w:iCs/>
        </w:rPr>
        <w:t>En jämlikhetsunion:</w:t>
      </w:r>
      <w:r w:rsidRPr="00F16897">
        <w:t xml:space="preserve"> </w:t>
      </w:r>
      <w:r w:rsidRPr="00F16897">
        <w:rPr>
          <w:i/>
          <w:iCs/>
        </w:rPr>
        <w:t>Jämlikhetsstrategi för hbtqi-personer 2020–2025</w:t>
      </w:r>
      <w:r w:rsidRPr="00F16897">
        <w:t xml:space="preserve"> (COM(2020)0698),</w:t>
      </w:r>
    </w:p>
    <w:p w:rsidR="00C55DE7" w:rsidRPr="00F16897" w:rsidRDefault="00C55DE7" w:rsidP="00C55DE7">
      <w:pPr>
        <w:pStyle w:val="NormalHanging12a"/>
        <w:widowControl/>
      </w:pPr>
      <w:r w:rsidRPr="00F16897">
        <w:lastRenderedPageBreak/>
        <w:t>–</w:t>
      </w:r>
      <w:r w:rsidRPr="00F16897">
        <w:tab/>
        <w:t>med beaktande av sin resolution av den 14 september 2021 om hbtqi-personers rättigheter i EU</w:t>
      </w:r>
      <w:r w:rsidRPr="00F16897">
        <w:rPr>
          <w:rStyle w:val="FootnoteReference"/>
        </w:rPr>
        <w:footnoteReference w:id="1"/>
      </w:r>
      <w:r w:rsidRPr="00F16897">
        <w:t>,</w:t>
      </w:r>
    </w:p>
    <w:p w:rsidR="00C55DE7" w:rsidRPr="00F16897" w:rsidRDefault="00C55DE7" w:rsidP="00C55DE7">
      <w:pPr>
        <w:pStyle w:val="NormalHanging12a"/>
        <w:widowControl/>
      </w:pPr>
      <w:r w:rsidRPr="00F16897">
        <w:t>–</w:t>
      </w:r>
      <w:r w:rsidRPr="00F16897">
        <w:tab/>
        <w:t>med beaktande av kommissionens lägesrapport om genomförandet av jämlikhetsstrategin för hbtqi-personer 2020–2025,</w:t>
      </w:r>
    </w:p>
    <w:p w:rsidR="00C55DE7" w:rsidRPr="00F16897" w:rsidRDefault="00C55DE7" w:rsidP="00C55DE7">
      <w:pPr>
        <w:pStyle w:val="NormalHanging12a"/>
        <w:widowControl/>
      </w:pPr>
      <w:r w:rsidRPr="00F16897">
        <w:t>–</w:t>
      </w:r>
      <w:r w:rsidRPr="00F16897">
        <w:tab/>
        <w:t>med beaktande av sin resolution av den 11 mars 2021 om förklaringen om EU som en frihetszon för hbtqi-personer</w:t>
      </w:r>
      <w:r w:rsidRPr="00F16897">
        <w:rPr>
          <w:rStyle w:val="FootnoteReference"/>
        </w:rPr>
        <w:footnoteReference w:id="2"/>
      </w:r>
      <w:r w:rsidRPr="00F16897">
        <w:t>,</w:t>
      </w:r>
    </w:p>
    <w:p w:rsidR="00C55DE7" w:rsidRPr="00F16897" w:rsidRDefault="00C55DE7" w:rsidP="00C55DE7">
      <w:pPr>
        <w:pStyle w:val="NormalHanging12a"/>
        <w:widowControl/>
      </w:pPr>
      <w:r w:rsidRPr="00F16897">
        <w:t>–</w:t>
      </w:r>
      <w:r w:rsidRPr="00F16897">
        <w:tab/>
        <w:t>med beaktande av sin resolution av den 17 september 2020 om förslaget till rådets beslut om fastslående av att det finns en klar risk för att Republiken Polen allvarligt åsidosätter rättsstatsprincipen</w:t>
      </w:r>
      <w:r w:rsidRPr="00F16897">
        <w:rPr>
          <w:rStyle w:val="FootnoteReference"/>
        </w:rPr>
        <w:footnoteReference w:id="3"/>
      </w:r>
      <w:r w:rsidRPr="00F16897">
        <w:t>,</w:t>
      </w:r>
    </w:p>
    <w:p w:rsidR="00C55DE7" w:rsidRPr="00F16897" w:rsidRDefault="00C55DE7" w:rsidP="00C55DE7">
      <w:pPr>
        <w:pStyle w:val="NormalHanging12a"/>
        <w:widowControl/>
      </w:pPr>
      <w:r w:rsidRPr="00F16897">
        <w:t>–</w:t>
      </w:r>
      <w:r w:rsidRPr="00F16897">
        <w:tab/>
        <w:t>med beaktande av sin resolution av den 8 juli 2021 om överträdelser av unionsrätten och hbtqi-personers rättigheter i Ungern till följd av de lagändringar som antagits av det ungerska parlamentet</w:t>
      </w:r>
      <w:r w:rsidRPr="00F16897">
        <w:rPr>
          <w:rStyle w:val="FootnoteReference"/>
        </w:rPr>
        <w:footnoteReference w:id="4"/>
      </w:r>
      <w:r w:rsidRPr="00F16897">
        <w:t>,</w:t>
      </w:r>
    </w:p>
    <w:p w:rsidR="00C55DE7" w:rsidRPr="00F16897" w:rsidRDefault="00C55DE7" w:rsidP="00C55DE7">
      <w:pPr>
        <w:pStyle w:val="NormalHanging12a"/>
        <w:widowControl/>
      </w:pPr>
      <w:r w:rsidRPr="00F16897">
        <w:t>–</w:t>
      </w:r>
      <w:r w:rsidRPr="00F16897">
        <w:tab/>
        <w:t>med beaktande av sin resolution av den 20 oktober 2022 om ökande hatbrott mot hbtqi</w:t>
      </w:r>
      <w:r w:rsidRPr="00F16897">
        <w:noBreakHyphen/>
        <w:t>personer i Europa i ljuset av det homofobiska mordet nyligen i Slovakien</w:t>
      </w:r>
      <w:r w:rsidRPr="00F16897">
        <w:rPr>
          <w:rStyle w:val="FootnoteReference"/>
        </w:rPr>
        <w:footnoteReference w:id="5"/>
      </w:r>
      <w:r w:rsidRPr="00F16897">
        <w:t xml:space="preserve">, </w:t>
      </w:r>
    </w:p>
    <w:p w:rsidR="00C55DE7" w:rsidRPr="00F16897" w:rsidRDefault="00C55DE7" w:rsidP="00C55DE7">
      <w:pPr>
        <w:pStyle w:val="NormalHanging12a"/>
        <w:widowControl/>
      </w:pPr>
      <w:r w:rsidRPr="00F16897">
        <w:t>–</w:t>
      </w:r>
      <w:r w:rsidRPr="00F16897">
        <w:tab/>
        <w:t xml:space="preserve">med beaktande av sin resolution av den </w:t>
      </w:r>
      <w:r w:rsidR="00A44EA8">
        <w:t>20</w:t>
      </w:r>
      <w:bookmarkStart w:id="8" w:name="_GoBack"/>
      <w:bookmarkEnd w:id="8"/>
      <w:r w:rsidRPr="00F16897">
        <w:t xml:space="preserve"> april 2023 om universell avkriminalisering av homosexualitet mot bakgrund av den senaste tidens utveckling i Uganda</w:t>
      </w:r>
      <w:r w:rsidRPr="00F16897">
        <w:rPr>
          <w:rStyle w:val="FootnoteReference"/>
        </w:rPr>
        <w:footnoteReference w:id="6"/>
      </w:r>
      <w:r w:rsidRPr="00F16897">
        <w:t xml:space="preserve">, </w:t>
      </w:r>
    </w:p>
    <w:p w:rsidR="00C55DE7" w:rsidRPr="00F16897" w:rsidRDefault="00C55DE7" w:rsidP="00C55DE7">
      <w:pPr>
        <w:pStyle w:val="NormalHanging12a"/>
        <w:widowControl/>
      </w:pPr>
      <w:r w:rsidRPr="00F16897">
        <w:t>–</w:t>
      </w:r>
      <w:r w:rsidRPr="00F16897">
        <w:tab/>
        <w:t>med beaktande av kommissionens förslag av den 7 december 2022 till rådets förordning om behörighet, tillämplig lag, erkännande av domar samt godkännande av officiella handlingar i samband med föräldraskap och om införande av ett europeiskt intyg om föräldraskap (COM(2022)0695),</w:t>
      </w:r>
    </w:p>
    <w:p w:rsidR="00C55DE7" w:rsidRPr="00F16897" w:rsidRDefault="00C55DE7" w:rsidP="00C55DE7">
      <w:pPr>
        <w:pStyle w:val="NormalHanging12a"/>
        <w:widowControl/>
      </w:pPr>
      <w:r w:rsidRPr="00F16897">
        <w:t>–</w:t>
      </w:r>
      <w:r w:rsidRPr="00F16897">
        <w:tab/>
        <w:t xml:space="preserve">med beaktande av studien från generaldirektoratet för parlamentarisk utredning och analys från december 2023 med titeln </w:t>
      </w:r>
      <w:r w:rsidRPr="00F16897">
        <w:rPr>
          <w:i/>
          <w:iCs/>
        </w:rPr>
        <w:t>The LGBTIQ Equality Strategy 2020–2025 – Implementation Overview</w:t>
      </w:r>
      <w:r w:rsidRPr="00F16897">
        <w:rPr>
          <w:rStyle w:val="FootnoteReference"/>
        </w:rPr>
        <w:footnoteReference w:id="7"/>
      </w:r>
      <w:r w:rsidRPr="00F16897">
        <w:t>,</w:t>
      </w:r>
    </w:p>
    <w:p w:rsidR="00C55DE7" w:rsidRPr="00F16897" w:rsidRDefault="00C55DE7" w:rsidP="00C55DE7">
      <w:pPr>
        <w:pStyle w:val="NormalHanging12a"/>
        <w:widowControl/>
      </w:pPr>
      <w:r w:rsidRPr="00F16897">
        <w:t>–</w:t>
      </w:r>
      <w:r w:rsidRPr="00F16897">
        <w:tab/>
        <w:t>med beaktande av EU:s riktlinjer för strategier och handlingsplaner för ökad jämlikhet för hbtqi-personer (</w:t>
      </w:r>
      <w:r w:rsidRPr="00F16897">
        <w:rPr>
          <w:i/>
          <w:iCs/>
        </w:rPr>
        <w:t>Guidelines for Strategies and Action Plans to Enhance LGBTIQ Equality</w:t>
      </w:r>
      <w:r w:rsidRPr="00F16897">
        <w:t>), som kommissionen utarbetade 2022,</w:t>
      </w:r>
    </w:p>
    <w:p w:rsidR="00B44F7D" w:rsidRPr="00F16897" w:rsidRDefault="00B44F7D" w:rsidP="00C55DE7">
      <w:pPr>
        <w:pStyle w:val="NormalHanging12a"/>
        <w:widowControl/>
      </w:pPr>
      <w:r w:rsidRPr="00F16897">
        <w:t>–</w:t>
      </w:r>
      <w:r w:rsidRPr="00F16897">
        <w:tab/>
        <w:t>med beaktande av kommissionens genomförandebeslut (EU) 2024/442 av den 24 januari 2024 om ansökan om registrering av det europeiska medborgarinitiativet ”Förbjud omvändelseterapi i Europeiska unionen” i enlighet med Europaparlamentets och rådets förordning (EU) 2019/788</w:t>
      </w:r>
      <w:r w:rsidRPr="00F16897">
        <w:rPr>
          <w:rStyle w:val="FootnoteReference"/>
        </w:rPr>
        <w:footnoteReference w:id="8"/>
      </w:r>
      <w:r w:rsidRPr="00F16897">
        <w:t>,</w:t>
      </w:r>
    </w:p>
    <w:p w:rsidR="00C55DE7" w:rsidRPr="00F16897" w:rsidRDefault="00C55DE7" w:rsidP="00C55DE7">
      <w:pPr>
        <w:pStyle w:val="NormalHanging12a"/>
        <w:widowControl/>
      </w:pPr>
      <w:r w:rsidRPr="00F16897">
        <w:lastRenderedPageBreak/>
        <w:t>–</w:t>
      </w:r>
      <w:r w:rsidRPr="00F16897">
        <w:tab/>
        <w:t>med beaktande av artikel 54 i arbetsordningen samt artikel 1.1 e i och bilaga 3 till talmanskonferensens beslut av den 12 december 2002 om förfarandet för beviljande av tillstånd att utarbeta initiativbetänkanden,</w:t>
      </w:r>
    </w:p>
    <w:p w:rsidR="00C55DE7" w:rsidRPr="00F16897" w:rsidRDefault="00C55DE7" w:rsidP="00C55DE7">
      <w:pPr>
        <w:pStyle w:val="NormalHanging12a"/>
        <w:widowControl/>
      </w:pPr>
      <w:r w:rsidRPr="00F16897">
        <w:t>–</w:t>
      </w:r>
      <w:r w:rsidRPr="00F16897">
        <w:tab/>
        <w:t>med beaktande av betänkandet från utskottet för medborgerliga fri- och rättigheter samt rättsliga och inrikes frågor (A9-0030/2024), och av följande skäl:</w:t>
      </w:r>
    </w:p>
    <w:p w:rsidR="00C55DE7" w:rsidRPr="00F16897" w:rsidRDefault="00C55DE7" w:rsidP="00C55DE7">
      <w:pPr>
        <w:pStyle w:val="NormalHanging12a"/>
        <w:widowControl/>
      </w:pPr>
      <w:r w:rsidRPr="00F16897">
        <w:t>A.</w:t>
      </w:r>
      <w:r w:rsidRPr="00F16897">
        <w:tab/>
        <w:t>Hbtqi-personers rättigheter är grundläggande rättigheter och kontroller och motvikter för rättsstat och demokrati är viktiga för att hbtqi-personers rättigheter ska kunna skyddas. Hbtqi-personers säkerhet och värdighet är allas vår säkerhet och värdighet.</w:t>
      </w:r>
    </w:p>
    <w:p w:rsidR="00C55DE7" w:rsidRPr="00F16897" w:rsidRDefault="00C55DE7" w:rsidP="00C55DE7">
      <w:pPr>
        <w:pStyle w:val="NormalHanging12a"/>
        <w:widowControl/>
      </w:pPr>
      <w:r w:rsidRPr="00F16897">
        <w:t>B.</w:t>
      </w:r>
      <w:r w:rsidRPr="00F16897">
        <w:tab/>
        <w:t>Rätten till likabehandling och icke-diskriminering är en grundläggande rättighet som fastställs i fördragen och stadgan, och den bör respekteras till fullo.</w:t>
      </w:r>
    </w:p>
    <w:p w:rsidR="00C55DE7" w:rsidRPr="00F16897" w:rsidRDefault="00C55DE7" w:rsidP="00C55DE7">
      <w:pPr>
        <w:pStyle w:val="NormalHanging12a"/>
        <w:widowControl/>
      </w:pPr>
      <w:r w:rsidRPr="00F16897">
        <w:t>C.</w:t>
      </w:r>
      <w:r w:rsidRPr="00F16897">
        <w:tab/>
        <w:t>Jämlikhet och skydd av minoriteter hör till de EU-värden som fastställs i artikel 2 i EU</w:t>
      </w:r>
      <w:r w:rsidRPr="00F16897">
        <w:noBreakHyphen/>
        <w:t>fördraget.</w:t>
      </w:r>
    </w:p>
    <w:p w:rsidR="00C55DE7" w:rsidRPr="00F16897" w:rsidRDefault="00C55DE7" w:rsidP="00C55DE7">
      <w:pPr>
        <w:widowControl/>
        <w:spacing w:after="240"/>
        <w:ind w:left="567" w:hanging="567"/>
      </w:pPr>
      <w:r w:rsidRPr="00F16897">
        <w:t>D.</w:t>
      </w:r>
      <w:r w:rsidRPr="00F16897">
        <w:tab/>
        <w:t>I artikel 21 i fördraget om Europeiska unionens funktionssätt (EUF-fördraget) fastställs att varje unionsmedborgare ska ha rätt att fritt röra sig och uppehålla sig inom medlemsstaternas territorier.</w:t>
      </w:r>
    </w:p>
    <w:p w:rsidR="00C55DE7" w:rsidRPr="00F16897" w:rsidRDefault="00C55DE7" w:rsidP="00C55DE7">
      <w:pPr>
        <w:pStyle w:val="NormalHanging12a"/>
        <w:widowControl/>
      </w:pPr>
      <w:r w:rsidRPr="00F16897">
        <w:t>E.</w:t>
      </w:r>
      <w:r w:rsidRPr="00F16897">
        <w:tab/>
        <w:t>Alla medlemsstater har i enlighet med internationell rätt och EU-fördragen åtagit sig att respektera, garantera, skydda och förverkliga grundläggande rättigheter.</w:t>
      </w:r>
    </w:p>
    <w:p w:rsidR="00C55DE7" w:rsidRPr="00F16897" w:rsidRDefault="00C55DE7" w:rsidP="00C55DE7">
      <w:pPr>
        <w:pStyle w:val="NormalHanging12a"/>
        <w:widowControl/>
      </w:pPr>
      <w:r w:rsidRPr="00F16897">
        <w:t>F.</w:t>
      </w:r>
      <w:r w:rsidRPr="00F16897">
        <w:tab/>
        <w:t>Framsteg har gjorts när det gäller att skydda och främja hbtqi-personers rättigheter i vissa medlemsstater.</w:t>
      </w:r>
    </w:p>
    <w:p w:rsidR="00C55DE7" w:rsidRPr="00F16897" w:rsidRDefault="00C55DE7" w:rsidP="00C55DE7">
      <w:pPr>
        <w:pStyle w:val="NormalHanging12a"/>
        <w:widowControl/>
      </w:pPr>
      <w:r w:rsidRPr="00F16897">
        <w:t>G.</w:t>
      </w:r>
      <w:r w:rsidRPr="00F16897">
        <w:tab/>
        <w:t>Diskriminering på grund av faktisk eller upplevd sexuell läggning, könsidentitet, könsuttryck och könskarakteristika (SOGIESC) lever kvar i hela EU.</w:t>
      </w:r>
    </w:p>
    <w:p w:rsidR="00C55DE7" w:rsidRPr="00F16897" w:rsidRDefault="00C55DE7" w:rsidP="00C55DE7">
      <w:pPr>
        <w:pStyle w:val="NormalHanging12a"/>
        <w:widowControl/>
      </w:pPr>
      <w:r w:rsidRPr="00F16897">
        <w:t>H.</w:t>
      </w:r>
      <w:r w:rsidRPr="00F16897">
        <w:tab/>
        <w:t>Utvecklingen i vissa medlemsstater har visat att framstegen i fråga om hbtqi-personers rättigheter inte kan tas för givna.</w:t>
      </w:r>
    </w:p>
    <w:p w:rsidR="00C55DE7" w:rsidRPr="00F16897" w:rsidRDefault="00C55DE7" w:rsidP="00C55DE7">
      <w:pPr>
        <w:pStyle w:val="NormalHanging12a"/>
        <w:widowControl/>
      </w:pPr>
      <w:r w:rsidRPr="00F16897">
        <w:t>I.</w:t>
      </w:r>
      <w:r w:rsidRPr="00F16897">
        <w:tab/>
        <w:t>År 2022 hänsköt kommissionen, tillsammans med parlamentet och femton medlemsstater, Ungern till Europeiska unionens domstol för kränkningar av hbtqi-personers rättigheter.</w:t>
      </w:r>
    </w:p>
    <w:p w:rsidR="00C55DE7" w:rsidRPr="00F16897" w:rsidRDefault="00C55DE7" w:rsidP="00C55DE7">
      <w:pPr>
        <w:pStyle w:val="NormalHanging12a"/>
        <w:widowControl/>
      </w:pPr>
      <w:r w:rsidRPr="00F16897">
        <w:t>J.</w:t>
      </w:r>
      <w:r w:rsidRPr="00F16897">
        <w:tab/>
        <w:t xml:space="preserve">Lettland bör ansluta sig till den arbetsgrupp för jämlikhet för hbtqi-personer som inrättats inom högnivågruppen för icke-diskriminering, jämlikhet och mångfald – i egenskap av den enda medlemsstat som ännu inte anslutit sig, sedan Cypern nyligen uttryckt sitt intresse – i syfte att förbättra genomförandet av jämlikhetsstrategin för hbtqi-personer i alla medlemsstater. </w:t>
      </w:r>
    </w:p>
    <w:p w:rsidR="00C55DE7" w:rsidRPr="00F16897" w:rsidRDefault="00C55DE7" w:rsidP="00C55DE7">
      <w:pPr>
        <w:pStyle w:val="NormalHanging12a"/>
        <w:widowControl/>
      </w:pPr>
      <w:r w:rsidRPr="00F16897">
        <w:t>K.</w:t>
      </w:r>
      <w:r w:rsidRPr="00F16897">
        <w:tab/>
        <w:t>Parlamentet fördömer i starkast möjliga ordalag diskriminerande lagstiftning, politik och praxis mot hbtqi-personer, såsom Ugandas lagförslag mot homosexualitet.</w:t>
      </w:r>
    </w:p>
    <w:p w:rsidR="00C55DE7" w:rsidRPr="00F16897" w:rsidRDefault="00C55DE7" w:rsidP="00C55DE7">
      <w:pPr>
        <w:pStyle w:val="NormalHanging12a"/>
        <w:widowControl/>
      </w:pPr>
      <w:r w:rsidRPr="00F16897">
        <w:t>L.</w:t>
      </w:r>
      <w:r w:rsidRPr="00F16897">
        <w:tab/>
        <w:t>Rysslands högsta domstol förbjöd den 30 november 2023 den ”internationella hbt-rörelsen” och förklarade att den är en extremistorganisation. Detta beslut är ett allvarligt angrepp mot hbtqi-personer och människorättsförsvarare i Ryssland och kommer att få allvarliga konsekvenser för deras situation. Hbtqi-personer i Kina har utsatts för alltmer trakasserier och censur, även på nätet.</w:t>
      </w:r>
    </w:p>
    <w:p w:rsidR="00C55DE7" w:rsidRPr="00F16897" w:rsidRDefault="00C55DE7" w:rsidP="00C55DE7">
      <w:pPr>
        <w:pStyle w:val="NormalHanging12a"/>
        <w:widowControl/>
      </w:pPr>
      <w:r w:rsidRPr="00F16897">
        <w:lastRenderedPageBreak/>
        <w:t>M.</w:t>
      </w:r>
      <w:r w:rsidRPr="00F16897">
        <w:tab/>
        <w:t>Internationella sammanslutningen för lesbiska, homosexuella, trans- och intersexuella (ILGA) i Europa har dokumenterat det högsta antalet våldshandlingar mot hbtqi-personer på 12 år.</w:t>
      </w:r>
    </w:p>
    <w:p w:rsidR="00C55DE7" w:rsidRPr="00F16897" w:rsidRDefault="00C55DE7" w:rsidP="00C55DE7">
      <w:pPr>
        <w:pStyle w:val="NormalHanging12a"/>
        <w:widowControl/>
      </w:pPr>
      <w:r w:rsidRPr="00F16897">
        <w:t>N.</w:t>
      </w:r>
      <w:r w:rsidRPr="00F16897">
        <w:tab/>
        <w:t>Ökningen av rättighetsfientlig retorik, även från folkvalda politiker, har bidragit till att skapa en fientlig miljö för hbtqi-personer och dem som förespråkar hbtqi-personers rättigheter.</w:t>
      </w:r>
    </w:p>
    <w:p w:rsidR="00C55DE7" w:rsidRPr="00F16897" w:rsidRDefault="00C55DE7" w:rsidP="00C55DE7">
      <w:pPr>
        <w:pStyle w:val="NormalHanging12a"/>
        <w:widowControl/>
      </w:pPr>
      <w:r w:rsidRPr="00F16897">
        <w:t>O.</w:t>
      </w:r>
      <w:r w:rsidRPr="00F16897">
        <w:tab/>
        <w:t>För att kunna bygga trygga, fria och inkluderande samhällen för hbtqi-personer behöver man ta itu med flera sammanfallande yttringar av diskriminering, utestängning och våld.</w:t>
      </w:r>
    </w:p>
    <w:p w:rsidR="00C55DE7" w:rsidRPr="00F16897" w:rsidRDefault="00C55DE7" w:rsidP="00C55DE7">
      <w:pPr>
        <w:pStyle w:val="NormalHanging12a"/>
        <w:widowControl/>
      </w:pPr>
      <w:r w:rsidRPr="00F16897">
        <w:t>P.</w:t>
      </w:r>
      <w:r w:rsidRPr="00F16897">
        <w:tab/>
        <w:t>Hbtqi-personer utsätts för diskriminering och våld i hela världen.</w:t>
      </w:r>
    </w:p>
    <w:p w:rsidR="00C55DE7" w:rsidRPr="00F16897" w:rsidRDefault="00C55DE7" w:rsidP="00C55DE7">
      <w:pPr>
        <w:pStyle w:val="NormalHanging12a"/>
        <w:widowControl/>
      </w:pPr>
      <w:r w:rsidRPr="00F16897">
        <w:t>Q.</w:t>
      </w:r>
      <w:r w:rsidRPr="00F16897">
        <w:tab/>
        <w:t>Europeiska unionen har åtagit sig att främja och skydda hbtqi-personers rättigheter i hela världen.</w:t>
      </w:r>
    </w:p>
    <w:p w:rsidR="00C55DE7" w:rsidRPr="00F16897" w:rsidRDefault="00C55DE7" w:rsidP="00C55DE7">
      <w:pPr>
        <w:pStyle w:val="NormalHanging12a"/>
        <w:widowControl/>
      </w:pPr>
      <w:r w:rsidRPr="00F16897">
        <w:t>R.</w:t>
      </w:r>
      <w:r w:rsidRPr="00F16897">
        <w:tab/>
        <w:t>Alla former och yttringar av hat och intolerans, inbegripet hatpropaganda och hatbrott, är oförenliga med EU:s värden</w:t>
      </w:r>
      <w:r w:rsidR="00BF5932" w:rsidRPr="00F16897">
        <w:t>,</w:t>
      </w:r>
      <w:r w:rsidRPr="00F16897">
        <w:t xml:space="preserve"> människans värdighet, frihet, demokrati, jämlikhet, rättsstaten och respekt för de mänskliga rättigheterna, såsom fastställs i artikel 2 i EU-fördraget.</w:t>
      </w:r>
    </w:p>
    <w:p w:rsidR="00C55DE7" w:rsidRPr="00F16897" w:rsidRDefault="00C55DE7" w:rsidP="00C55DE7">
      <w:pPr>
        <w:pStyle w:val="NormalHanging12a"/>
        <w:widowControl/>
      </w:pPr>
      <w:r w:rsidRPr="00F16897">
        <w:t>S.</w:t>
      </w:r>
      <w:r w:rsidRPr="00F16897">
        <w:tab/>
        <w:t>Bland de så kallade olika omvandlingsterapierna ingår elchocker, hormonbehandling och exorcism, som utgör tortyr, och det uppskattas att 2 % av alla hbtqi-personer i EU faktiskt har utsatts för sådana omvandlingsterapier medan 5 % har erbjudits dem, men de verkliga siffrorna kan vara mycket högre.</w:t>
      </w:r>
    </w:p>
    <w:p w:rsidR="00A0052C" w:rsidRPr="00F16897" w:rsidRDefault="0066493E" w:rsidP="00C55DE7">
      <w:pPr>
        <w:pStyle w:val="NormalHanging12a"/>
        <w:widowControl/>
      </w:pPr>
      <w:r w:rsidRPr="00F16897">
        <w:t>T</w:t>
      </w:r>
      <w:r w:rsidR="00A0052C" w:rsidRPr="00F16897">
        <w:t>.</w:t>
      </w:r>
      <w:r w:rsidR="00A0052C" w:rsidRPr="00F16897">
        <w:tab/>
        <w:t>Det europeiska medborgarinitiativet ”Förbjud omvändelseterapi i Europeiska unionen” lades fram för kommissionen den 27 november 2023. Det uppmanar EU att vidta åtgärder för att föreslå ett bindande rättsligt förbud mot omvändelseterapi som riktar sig till hbtqi-medborgare i Europeiska unionen. Kommissionen registrerade detta medborgarinitiativ helt och hållet den 21 januari 2024.</w:t>
      </w:r>
    </w:p>
    <w:p w:rsidR="00C55DE7" w:rsidRPr="00F16897" w:rsidRDefault="00C55DE7" w:rsidP="00C55DE7">
      <w:pPr>
        <w:pStyle w:val="NormalHanging12a"/>
        <w:widowControl/>
        <w:rPr>
          <w:b/>
          <w:i/>
        </w:rPr>
      </w:pPr>
      <w:r w:rsidRPr="00F16897">
        <w:rPr>
          <w:b/>
          <w:i/>
        </w:rPr>
        <w:t>Huvudsakliga slutsatser</w:t>
      </w:r>
    </w:p>
    <w:p w:rsidR="00C55DE7" w:rsidRPr="00F16897" w:rsidRDefault="00C55DE7" w:rsidP="00C55DE7">
      <w:pPr>
        <w:pStyle w:val="NormalHanging12a"/>
        <w:widowControl/>
      </w:pPr>
      <w:r w:rsidRPr="00F16897">
        <w:t>1.</w:t>
      </w:r>
      <w:r w:rsidRPr="00F16897">
        <w:tab/>
        <w:t>Europaparlamentet välkomnar kommissionens jämlikhetsstrategi för hbtqi-personer 2020–2025, som antogs av kommissionen den 12 november 2020 (COM(2020)0698), samt dess senaste lägesrapport om genomförandet av strategin. Parlamentet noterar kommissionens åtagande att stödja medlemsstaterna i deras genomförande av strategin och uttrycker djup oro över skillnaderna i öppenhet gentemot strategin mellan olika medlemsstater. Parlamentet välkomnar kommissionens insatser för att främja jämlikhet för hbtqi-personer på alla områden som ingår i strategin. Parlamentet beklagar att vissa nyckelåtgärder som kommissionen ursprungligen planerade hittills inte har genomförts.</w:t>
      </w:r>
    </w:p>
    <w:p w:rsidR="00C55DE7" w:rsidRPr="00F16897" w:rsidRDefault="00C55DE7" w:rsidP="00C55DE7">
      <w:pPr>
        <w:pStyle w:val="NormalHanging12a"/>
        <w:widowControl/>
      </w:pPr>
      <w:r w:rsidRPr="00F16897">
        <w:t>2.</w:t>
      </w:r>
      <w:r w:rsidRPr="00F16897">
        <w:tab/>
        <w:t>Europaparlamentet erkänner de framsteg som gjorts med genomförandet av jämlikhetsstrategin för hbtqi-personer 2020–2025, men betonar samtidigt att det är en lång väg kvar till verklig jämlikhet för hbtqi-personer i EU om man jämför med den aktuella situationen. Parlamentet uttrycker oro över den diskriminering och det våld som hbtqi-personer utsätts för i EU och de konsekvenser som detta får för möjligheten att leva ett fullständigt fritt och värdigt liv.</w:t>
      </w:r>
    </w:p>
    <w:p w:rsidR="00C55DE7" w:rsidRPr="00F16897" w:rsidRDefault="00C55DE7" w:rsidP="00C55DE7">
      <w:pPr>
        <w:pStyle w:val="NormalHanging12a"/>
        <w:widowControl/>
      </w:pPr>
      <w:r w:rsidRPr="00F16897">
        <w:t>3.</w:t>
      </w:r>
      <w:r w:rsidRPr="00F16897">
        <w:tab/>
        <w:t xml:space="preserve">Europaparlamentet beklagar att det övergripande antidiskrimineringsdirektivet har blockerats i rådet sedan 2008. Parlamentet anser att alla uppdateringar som kommissionen gör av förslaget måste bygga på parlamentets ståndpunkt, behandla </w:t>
      </w:r>
      <w:r w:rsidRPr="00F16897">
        <w:lastRenderedPageBreak/>
        <w:t>diskriminering på flera grunder och uttryckligen förbjuda diskriminering på alla de kombinationer av diskrimineringsgrunder som anges i stadgan. Parlamentet beklagar att rådet har ignorerat dessa krav och uppmanar rådet att integrera dem i sitt mandat och vidta alla lämpliga åtgärder för att bekämpa diskriminering i EU.</w:t>
      </w:r>
    </w:p>
    <w:p w:rsidR="00C55DE7" w:rsidRPr="00F16897" w:rsidRDefault="00C55DE7" w:rsidP="00C55DE7">
      <w:pPr>
        <w:pStyle w:val="NormalHanging12a"/>
        <w:widowControl/>
      </w:pPr>
      <w:r w:rsidRPr="00F16897">
        <w:t>4.</w:t>
      </w:r>
      <w:r w:rsidRPr="00F16897">
        <w:tab/>
        <w:t xml:space="preserve">Europaparlamentet </w:t>
      </w:r>
      <w:r w:rsidR="001E0441" w:rsidRPr="00F16897">
        <w:t xml:space="preserve">uppmanar till </w:t>
      </w:r>
      <w:r w:rsidRPr="00F16897">
        <w:t>att grunderna sexuell läggning, könsidentitet, könsuttryck och könskarakteristika alla inkluderas i EU:s lagstiftning mot diskriminering på grundval av en bred tolkning av grunderna sexuell läggning och kön och principen om jämställdhet mellan kvinnor och män i fördragen. Parlamentet konstaterar att detta kommer att garantera rättssäkerhet och ett heltäckande skydd för hbtqi-personer.</w:t>
      </w:r>
    </w:p>
    <w:p w:rsidR="00C55DE7" w:rsidRPr="00F16897" w:rsidRDefault="00C55DE7" w:rsidP="00C55DE7">
      <w:pPr>
        <w:pStyle w:val="NormalHanging12a"/>
        <w:widowControl/>
      </w:pPr>
      <w:r w:rsidRPr="00F16897">
        <w:t>5.</w:t>
      </w:r>
      <w:r w:rsidRPr="00F16897">
        <w:tab/>
        <w:t>Europaparlamentet understryker att hbtqi-personer drabbas av hemlöshet, fattigdom och socioekonomisk utestängning i oproportionerligt stor omfattning. Parlamentet uttrycker oro över effekterna av covid-19-pandemin</w:t>
      </w:r>
      <w:r w:rsidR="00D9228E" w:rsidRPr="00F16897">
        <w:t xml:space="preserve"> och</w:t>
      </w:r>
      <w:r w:rsidRPr="00F16897">
        <w:t xml:space="preserve"> levnadskostnads- och bostadskrisen på hbtqi-personers liv. Parlamentet upprepar att rätten till bostad är en grundläggande rättighet.</w:t>
      </w:r>
    </w:p>
    <w:p w:rsidR="00C55DE7" w:rsidRPr="00F16897" w:rsidRDefault="00C55DE7" w:rsidP="00C55DE7">
      <w:pPr>
        <w:pStyle w:val="NormalHanging12a"/>
        <w:widowControl/>
      </w:pPr>
      <w:r w:rsidRPr="00F16897">
        <w:t>6.</w:t>
      </w:r>
      <w:r w:rsidRPr="00F16897">
        <w:tab/>
        <w:t>Europaparlamentet beklagar att hbtqi+-personer, trots EU-lagstiftning som förbjuder diskriminering på grund av sexuell läggning i arbetslivet, fortfarande stöter på hinder när det gäller att få anställning, särskilt anständiga arbeten. Parlamentet anser att hbtqi-personer har samma rättigheter som andra arbetstagare.</w:t>
      </w:r>
    </w:p>
    <w:p w:rsidR="00C55DE7" w:rsidRPr="00F16897" w:rsidRDefault="00C55DE7" w:rsidP="00C55DE7">
      <w:pPr>
        <w:pStyle w:val="NormalHanging12a"/>
        <w:widowControl/>
      </w:pPr>
      <w:r w:rsidRPr="00F16897">
        <w:t>7.</w:t>
      </w:r>
      <w:r w:rsidRPr="00F16897">
        <w:tab/>
      </w:r>
      <w:r w:rsidR="00DB380A" w:rsidRPr="00F16897">
        <w:t>Europaparlamentet understryker att diskriminering på grund av faktisk eller upplevd sexuell läggning, könsidentitet, könsuttryck och kön fortfarande har en betydande inverkan på hbtqi-personers fysiska, psykiska och sexuella hälsa och välbefinnande. Parlamentet beklagar att hbtqi-personer fortfarande diskrimineras när det gäller tillgång till hälso- och sjukvård. Parlamentet understryker att tillgång till hälso- och sjukvård bör erbjudas i form av en allmän och tillgänglig offentlig tjänst i rätt tid</w:t>
      </w:r>
      <w:r w:rsidRPr="00F16897">
        <w:t>.</w:t>
      </w:r>
    </w:p>
    <w:p w:rsidR="00C55DE7" w:rsidRPr="00F16897" w:rsidRDefault="00C55DE7" w:rsidP="00C55DE7">
      <w:pPr>
        <w:pStyle w:val="NormalHanging12a"/>
        <w:widowControl/>
      </w:pPr>
      <w:r w:rsidRPr="00F16897">
        <w:t>8.</w:t>
      </w:r>
      <w:r w:rsidRPr="00F16897">
        <w:tab/>
        <w:t xml:space="preserve">Europaparlamentet betonar behovet av en inkluderande och säker utbildning för hbtqi-personer i alla medlemsstater, särskilt för unga hbtqi-personer. </w:t>
      </w:r>
    </w:p>
    <w:p w:rsidR="00C55DE7" w:rsidRPr="00F16897" w:rsidRDefault="00C55DE7" w:rsidP="00C55DE7">
      <w:pPr>
        <w:pStyle w:val="NormalHanging12a"/>
        <w:widowControl/>
      </w:pPr>
      <w:r w:rsidRPr="00F16897">
        <w:t>9.</w:t>
      </w:r>
      <w:r w:rsidRPr="00F16897">
        <w:tab/>
        <w:t>Europaparlamentet beklagar att hbtqi-personer fortfarande diskrimineras i vissa medlemsstater när det gäller tillgång till socialt skydd, social trygghet, leveranser av varor och andra sektorer eller tjänster.</w:t>
      </w:r>
    </w:p>
    <w:p w:rsidR="00C55DE7" w:rsidRPr="00F16897" w:rsidRDefault="00C55DE7" w:rsidP="00C55DE7">
      <w:pPr>
        <w:pStyle w:val="NormalHanging12a"/>
        <w:widowControl/>
      </w:pPr>
      <w:r w:rsidRPr="00F16897">
        <w:t>10.</w:t>
      </w:r>
      <w:r w:rsidRPr="00F16897">
        <w:tab/>
        <w:t>Europaparlamentet beklagar att framför allt äldre hbtqi-personer drabbas av bristen på hbtqi-rättigheter, vilket ytterligare förvärrar känslan av social isolering och hinder när det gäller tillgången till samhällsviktiga tjänster. Parlamentet framhåller att äldre hbtqi-personer ofta förbises vid utformningen av den offentliga politiken och projekt, även när dessa är anpassade till hbtqi-personer. Parlamentet understryker att äldre hbtqi-personer drabbas oproportionerligt hårt av fattigdom och den bristande tillgången till anständiga bostäder och lämpliga vårdnätverk. Parlamentet understryker att en europeisk frihetszon för hbtqi-personer inte får lämna någon utanför.</w:t>
      </w:r>
    </w:p>
    <w:p w:rsidR="00C55DE7" w:rsidRPr="00F16897" w:rsidRDefault="00C55DE7" w:rsidP="00C55DE7">
      <w:pPr>
        <w:pStyle w:val="NormalHanging12a"/>
        <w:widowControl/>
      </w:pPr>
      <w:r w:rsidRPr="00F16897">
        <w:t>11.</w:t>
      </w:r>
      <w:r w:rsidRPr="00F16897">
        <w:tab/>
        <w:t>Europaparlamentet betonar att vårdtjänster för hbtqi-personer alltid ska säkerställa värdighet, oberoende, självständighet, välbefinnande och deltagande i det sociala livet för vårdmottagarna, inbegripet möjligheten till hemtjänst och samhällsbaserad vård.</w:t>
      </w:r>
    </w:p>
    <w:p w:rsidR="00C55DE7" w:rsidRPr="00F16897" w:rsidRDefault="00C55DE7" w:rsidP="00C55DE7">
      <w:pPr>
        <w:pStyle w:val="NormalHanging12a"/>
        <w:widowControl/>
      </w:pPr>
      <w:r w:rsidRPr="00F16897">
        <w:lastRenderedPageBreak/>
        <w:t>12.</w:t>
      </w:r>
      <w:r w:rsidRPr="00F16897">
        <w:tab/>
        <w:t xml:space="preserve">Europaparlamentet konstaterar att hbtqi-personer i landsbygdsområden, randområden och yttersta randområden upplever särskilda svårigheter och hinder när det gäller att få tillgång till samhällsviktiga tjänster. </w:t>
      </w:r>
    </w:p>
    <w:p w:rsidR="00C55DE7" w:rsidRPr="00F16897" w:rsidRDefault="00C55DE7" w:rsidP="00C55DE7">
      <w:pPr>
        <w:pStyle w:val="NormalHanging12a"/>
        <w:widowControl/>
      </w:pPr>
      <w:r w:rsidRPr="00F16897">
        <w:t>13.</w:t>
      </w:r>
      <w:r w:rsidRPr="00F16897">
        <w:tab/>
        <w:t>Europaparlamentet uttrycker djup oro över hbtqi-personer som behöver utöva sin rätt att ansöka om asyl i Europeiska unionen. Parlamentet uttrycker oro över att transpersoner och intersexuella möter ännu fler hinder i asylansökningsprocessen. Parlamentet understryker vikten av att situationen för hbtqi-personer beaktas vid utformningen av unionens asyl- och migrationspolitik.</w:t>
      </w:r>
    </w:p>
    <w:p w:rsidR="00C55DE7" w:rsidRPr="00F16897" w:rsidRDefault="00C55DE7" w:rsidP="00C55DE7">
      <w:pPr>
        <w:pStyle w:val="NormalHanging12a"/>
        <w:widowControl/>
      </w:pPr>
      <w:r w:rsidRPr="00F16897">
        <w:t>14.</w:t>
      </w:r>
      <w:r w:rsidRPr="00F16897">
        <w:tab/>
        <w:t>Europaparlamentet uttrycker djup oro över ökningen av hatpropaganda, hatbrott och våld mot hbtqi-personer, även på onlineplattformar, där detta skulle kunna leda till att rätten till integritet kränks för tittare av hbtqi-innehåll. Parlamentet påminner om behovet av förebyggande och skyddande offentlig politik när det gäller fördomsbaserad hatpropaganda, hatbrott och våld mot hbtqi-personer. Parlamentet erkänner att hatpropaganda och brott mot hbtqi-personer underrapporteras på grund av bristande förtroende för myndigheter när det gäller hanteringen av sådana brott.</w:t>
      </w:r>
    </w:p>
    <w:p w:rsidR="00C55DE7" w:rsidRPr="00F16897" w:rsidRDefault="00C55DE7" w:rsidP="00C55DE7">
      <w:pPr>
        <w:pStyle w:val="NormalHanging12a"/>
        <w:widowControl/>
      </w:pPr>
      <w:r w:rsidRPr="00F16897">
        <w:t>15.</w:t>
      </w:r>
      <w:r w:rsidRPr="00F16897">
        <w:tab/>
        <w:t>Europaparlamentet fördömer det faktum att framväxten av högerextrema politiska krafter har gett upphov till en ökad stigmatisering, allt fler trakasserier och förföljelser av och alltmer våld mot hbtqi-personer, hbtqi-organisationer i det civila samhället och hbtqi-aktivister. Parlamentet fördömer att hbtqi-personer allt oftare utses till syndabockar och att främjandet av hbtqi-personers rättigheter utpekas som en ”ideologi”, vilket har en skadlig inverkan.</w:t>
      </w:r>
    </w:p>
    <w:p w:rsidR="00C55DE7" w:rsidRPr="00F16897" w:rsidRDefault="00C55DE7" w:rsidP="00C55DE7">
      <w:pPr>
        <w:pStyle w:val="NormalHanging12a"/>
        <w:widowControl/>
      </w:pPr>
      <w:r w:rsidRPr="00F16897">
        <w:t>16.</w:t>
      </w:r>
      <w:r w:rsidRPr="00F16897">
        <w:tab/>
        <w:t>Europaparlamentet understryker att EU måste ta itu med situationen för hbtqi-personer i formella förhandlingar med kandidatländer och stödja alla utvidgningsländer för att täppa till luckor i lagstiftningen och garantera hbtqi-personers grundläggande rättigheter.</w:t>
      </w:r>
    </w:p>
    <w:p w:rsidR="00C55DE7" w:rsidRPr="00F16897" w:rsidRDefault="00C55DE7" w:rsidP="00C55DE7">
      <w:pPr>
        <w:pStyle w:val="NormalHanging12a"/>
        <w:widowControl/>
      </w:pPr>
      <w:r w:rsidRPr="00F16897">
        <w:t>17.</w:t>
      </w:r>
      <w:r w:rsidRPr="00F16897">
        <w:tab/>
        <w:t>Europaparlamentet insisterar på att EU måste anta en gemensam strategi för rättsligt erkännande av samkönade äktenskap och partnerskap samt av regnbågsföräldrar, inbegripet transföräldrar, och för rättsligt erkännande av könstillhörighet för att därmed säkerställa barnets bästa i enlighet med EU-domstolens och Europadomstolens rättspraxis.</w:t>
      </w:r>
    </w:p>
    <w:p w:rsidR="00C55DE7" w:rsidRPr="00F16897" w:rsidRDefault="00C55DE7" w:rsidP="00C55DE7">
      <w:pPr>
        <w:pStyle w:val="NormalHanging12a"/>
        <w:widowControl/>
      </w:pPr>
      <w:r w:rsidRPr="00F16897">
        <w:t>18.</w:t>
      </w:r>
      <w:r w:rsidRPr="00F16897">
        <w:tab/>
        <w:t>Europaparlamentet framhåller de svårigheter som transpersoner, icke-binära och intersexpersoner i EU upplever, särskilt när det gäller deras socioekonomiska och sociodemografiska status. Parlamentet betonar hur avsaknaden av processer för att ändra juridiskt kön eller hindren för att få tillgång till dem i medlemsstaterna kränker rättigheterna och hindrar ambitionerna för transpersoner, icke-binära och intersexpersoner i hela unionen.</w:t>
      </w:r>
    </w:p>
    <w:p w:rsidR="00C55DE7" w:rsidRPr="00F16897" w:rsidRDefault="00C55DE7" w:rsidP="00C55DE7">
      <w:pPr>
        <w:pStyle w:val="NormalHanging12a"/>
        <w:widowControl/>
      </w:pPr>
      <w:r w:rsidRPr="00F16897">
        <w:t>19.</w:t>
      </w:r>
      <w:r w:rsidRPr="00F16897">
        <w:tab/>
        <w:t>Europaparlamentet insisterar på att regnbågsfamiljer har rätt till fri rörlighet i EU och att barn i regnbågsfamiljer inte bör diskrimineras vid förvärv av EU-medborgarskap.</w:t>
      </w:r>
    </w:p>
    <w:p w:rsidR="00C55DE7" w:rsidRPr="00F16897" w:rsidRDefault="00C55DE7" w:rsidP="00C55DE7">
      <w:pPr>
        <w:pStyle w:val="NormalHanging12a"/>
        <w:widowControl/>
      </w:pPr>
      <w:r w:rsidRPr="00F16897">
        <w:t>20.</w:t>
      </w:r>
      <w:r w:rsidRPr="00F16897">
        <w:tab/>
        <w:t>Europaparlamentet uttrycker oro över att ansiktsigenkännings- och profilering</w:t>
      </w:r>
      <w:r w:rsidR="00BF5932" w:rsidRPr="00F16897">
        <w:t>s</w:t>
      </w:r>
      <w:r w:rsidRPr="00F16897">
        <w:t xml:space="preserve">teknik kan ge upphov till större risker för hbtqi-personer, särskilt transpersoner, icke-binära och intersexpersoner. </w:t>
      </w:r>
    </w:p>
    <w:p w:rsidR="00C55DE7" w:rsidRPr="00F16897" w:rsidRDefault="00C55DE7" w:rsidP="00C55DE7">
      <w:pPr>
        <w:pStyle w:val="NormalHanging12a"/>
        <w:widowControl/>
      </w:pPr>
      <w:r w:rsidRPr="00F16897">
        <w:lastRenderedPageBreak/>
        <w:t>21.</w:t>
      </w:r>
      <w:r w:rsidRPr="00F16897">
        <w:tab/>
        <w:t>Europaparlamentet beklagar bristen på en sammanhängande översikt över EU:s finansiering av jämlikhet för hbtqi-personer inom ramen för de olika program som stöder strategin.</w:t>
      </w:r>
    </w:p>
    <w:p w:rsidR="00C55DE7" w:rsidRPr="00F16897" w:rsidRDefault="00C55DE7" w:rsidP="00C55DE7">
      <w:pPr>
        <w:pStyle w:val="NormalHanging12a"/>
        <w:widowControl/>
      </w:pPr>
      <w:r w:rsidRPr="00F16897">
        <w:t>22.</w:t>
      </w:r>
      <w:r w:rsidRPr="00F16897">
        <w:tab/>
        <w:t>Europaparlamentet betonar att kommissionen brådskande måste säkerställa tillgången till finansiering för organisationer i det civila samhället som arbetar för hbtqi-personers mänskliga rättigheter i unionen och i tredjeländer. Parlamentet noterar att lämplig och flexibel finansiering för organisationer i det civila samhället som förespråkar hbtqi-personers rättigheter är en nödvändig förutsättning för att skydda och främja dessa rättigheter i Europeiska unionen och i tredjeländer.</w:t>
      </w:r>
    </w:p>
    <w:p w:rsidR="00C55DE7" w:rsidRPr="00F16897" w:rsidRDefault="00C55DE7" w:rsidP="00C55DE7">
      <w:pPr>
        <w:pStyle w:val="NormalHanging12a"/>
        <w:widowControl/>
      </w:pPr>
      <w:r w:rsidRPr="00F16897">
        <w:t>23.</w:t>
      </w:r>
      <w:r w:rsidRPr="00F16897">
        <w:tab/>
        <w:t>Europaparlamentet välkomnar EU-initiativ som syftar till att skydda hbtqi-människorättsaktivister och underlätta deras arbete med att försvara de grundläggande rättigheterna. Parlamentet betonar behovet av att EU fortsätter att bekämpa stigmatiseringen av samt hoten och trakasserierna mot hbtqi-människorättsaktivister över hela världen. Parlamentet välkomnar kommissionens stöd till hbtqi-aktivister i Ukraina, särskilt genom direktupphandlingsmetoden sedan den ryska invasionen av och anfallskriget mot Ukraina inleddes.</w:t>
      </w:r>
    </w:p>
    <w:p w:rsidR="00C55DE7" w:rsidRPr="00F16897" w:rsidRDefault="00C55DE7" w:rsidP="00C55DE7">
      <w:pPr>
        <w:pStyle w:val="NormalHanging12a"/>
        <w:widowControl/>
      </w:pPr>
      <w:r w:rsidRPr="00F16897">
        <w:t>24.</w:t>
      </w:r>
      <w:r w:rsidRPr="00F16897">
        <w:tab/>
        <w:t>Europaparlamentet påminner om att europeiskt humanitärt bistånd bör ta hänsyn till kön, ålder, skyddsbehov och hbtqi-aspekter, med intersektionalitet som en tvärgående princip, och överensstämma med humanitära principer.</w:t>
      </w:r>
    </w:p>
    <w:p w:rsidR="00C55DE7" w:rsidRPr="00F16897" w:rsidRDefault="00C55DE7" w:rsidP="00C55DE7">
      <w:pPr>
        <w:pStyle w:val="NormalHanging12a"/>
        <w:widowControl/>
      </w:pPr>
      <w:r w:rsidRPr="00F16897">
        <w:t>25.</w:t>
      </w:r>
      <w:r w:rsidRPr="00F16897">
        <w:tab/>
        <w:t>Europaparlamentet understryker att EU inte får lämna någon utanför när det gäller skyddet av de grundläggande rättigheterna.</w:t>
      </w:r>
    </w:p>
    <w:p w:rsidR="00C55DE7" w:rsidRPr="00F16897" w:rsidRDefault="00C55DE7" w:rsidP="00C55DE7">
      <w:pPr>
        <w:pStyle w:val="NormalHanging12a"/>
        <w:widowControl/>
      </w:pPr>
      <w:r w:rsidRPr="00F16897">
        <w:rPr>
          <w:b/>
          <w:i/>
        </w:rPr>
        <w:t>Rekommendationer</w:t>
      </w:r>
    </w:p>
    <w:p w:rsidR="00C55DE7" w:rsidRPr="00F16897" w:rsidRDefault="00C55DE7" w:rsidP="00C55DE7">
      <w:pPr>
        <w:pStyle w:val="NormalHanging12a"/>
        <w:widowControl/>
      </w:pPr>
      <w:r w:rsidRPr="00F16897">
        <w:t>26.</w:t>
      </w:r>
      <w:r w:rsidRPr="00F16897">
        <w:tab/>
        <w:t>Europaparlamentet uppmanar EU och medlemsstaterna att verkligen integrera hbtqi-personers rättigheter i all EU-politik. Parlamentet efterlyser en politik som tar itu med diskriminering på flera grunder, däribland socioekonomisk status, ålder, ras, religion, faktisk eller upplevd sexuell läggning, könsidentitet, könsuttryck och könskarakteristika eller funktionsnedsättning. Parlamentet efterlyser en politik som tar hänsyn till de särskilda förhållandena i landsbygdsområden, randområden och yttersta randområden.</w:t>
      </w:r>
    </w:p>
    <w:p w:rsidR="00C55DE7" w:rsidRPr="00F16897" w:rsidRDefault="00C55DE7" w:rsidP="00C55DE7">
      <w:pPr>
        <w:pStyle w:val="NormalHanging12a"/>
        <w:widowControl/>
      </w:pPr>
      <w:r w:rsidRPr="00F16897">
        <w:t>27.</w:t>
      </w:r>
      <w:r w:rsidRPr="00F16897">
        <w:tab/>
        <w:t>Europaparlamentet uppmanar EU och medlemsstaterna att inkludera SOGIESC i de grunder som beaktas i EU:s antidiskrimineringslagstiftning i linje med parlamentets mandat för förslaget till direktiv om standarder för likabehandlingsorgan</w:t>
      </w:r>
      <w:r w:rsidRPr="00F16897">
        <w:rPr>
          <w:rStyle w:val="FootnoteReference"/>
        </w:rPr>
        <w:footnoteReference w:id="9"/>
      </w:r>
      <w:r w:rsidRPr="00F16897">
        <w:t>.</w:t>
      </w:r>
    </w:p>
    <w:p w:rsidR="00C55DE7" w:rsidRPr="00F16897" w:rsidRDefault="00C55DE7" w:rsidP="00C55DE7">
      <w:pPr>
        <w:widowControl/>
        <w:spacing w:after="240"/>
        <w:ind w:left="567" w:hanging="567"/>
      </w:pPr>
      <w:r w:rsidRPr="00F16897">
        <w:t>28.</w:t>
      </w:r>
      <w:r w:rsidRPr="00F16897">
        <w:tab/>
        <w:t>Europaparlamentet uppmanar EU och medlemsstaterna att involvera hbtqi-personer i beslutsfattandet, inbegripet i utformningen och genomförandet av den socioekonomiska politiken samt bostads- och utbildningspolitiken. Parlamentet uppmanar medlemsstaterna att ta itu med levnadskostnads- och bostadskrisen, bland annat genom att fastställa särskilda åtgärder för hbtqi-personer.</w:t>
      </w:r>
    </w:p>
    <w:p w:rsidR="00C55DE7" w:rsidRPr="00F16897" w:rsidRDefault="00C55DE7" w:rsidP="00C55DE7">
      <w:pPr>
        <w:pStyle w:val="NormalHanging12a"/>
        <w:widowControl/>
      </w:pPr>
      <w:r w:rsidRPr="00F16897">
        <w:lastRenderedPageBreak/>
        <w:t>29.</w:t>
      </w:r>
      <w:r w:rsidRPr="00F16897">
        <w:tab/>
        <w:t>Europaparlamentet uppmanar medlemsstaterna att genomföra direktivet om likabehandling i arbetslivet.</w:t>
      </w:r>
    </w:p>
    <w:p w:rsidR="00C55DE7" w:rsidRPr="00F16897" w:rsidRDefault="00C55DE7" w:rsidP="00C55DE7">
      <w:pPr>
        <w:pStyle w:val="NormalHanging12a"/>
        <w:widowControl/>
      </w:pPr>
      <w:r w:rsidRPr="00F16897">
        <w:t>30.</w:t>
      </w:r>
      <w:r w:rsidRPr="00F16897">
        <w:tab/>
        <w:t xml:space="preserve">Europaparlamentet välkomnar kommissionens förslag till förordning om behörighet, tillämplig lag, erkännande av domar samt godkännande av officiella handlingar i samband med föräldraskap och om införande av ett europeiskt intyg om föräldraskap för att skydda alla barns rättigheter genom att se till att föräldraband, bland annat och i synnerhet till samkönade föräldrar, som är etablerade i en medlemsstat, erkänns i alla EU-medlemsstater. Parlamentet uppmanar kommissionen att undersöka potentialen hos andra rättsliga grunder i fördragen, särskilt artiklarna 19 och 21 i EUF-fördraget, för att säkerställa att hbtqi-personers äktenskap, partnerskap, föräldraskap och familjeliv erkänns fullt ut och villkorslöst av alla medlemsstater utan diskriminering och hinder för den fria rörligheten. </w:t>
      </w:r>
    </w:p>
    <w:p w:rsidR="00C55DE7" w:rsidRPr="00F16897" w:rsidRDefault="00C55DE7" w:rsidP="00C55DE7">
      <w:pPr>
        <w:pStyle w:val="NormalHanging12a"/>
        <w:widowControl/>
      </w:pPr>
      <w:r w:rsidRPr="00F16897">
        <w:t>31.</w:t>
      </w:r>
      <w:r w:rsidRPr="00F16897">
        <w:tab/>
        <w:t xml:space="preserve">Europaparlamentet välkomnar kommissionens beslut av den 15 juli 2021 om att vidta rättsliga åtgärder mot medlemsstater för kränkningar av hbtqi-personers grundläggande rättigheter. Parlamentet uppmanar kommissionen att fortsätta att noga övervaka genomförandet av EU-lagstiftningen i medlemsstaterna och att inleda överträdelseförfaranden i fall där hbtqi-personers grundläggande rättigheter har kränkts, på grundval av artikel 2 i EU-fördraget, stadgan om de grundläggande rättigheterna eller sekundärrätten, i tillämpliga fall. Parlamentet uppmanar kommissionen att systematiskt använda sig av påskyndade förfaranden och ansökningar om interimistiska åtgärder inför EU-domstolen. </w:t>
      </w:r>
    </w:p>
    <w:p w:rsidR="00C55DE7" w:rsidRPr="00F16897" w:rsidRDefault="00C55DE7" w:rsidP="00C55DE7">
      <w:pPr>
        <w:pStyle w:val="NormalHanging12a"/>
        <w:widowControl/>
      </w:pPr>
      <w:r w:rsidRPr="00F16897">
        <w:t>32.</w:t>
      </w:r>
      <w:r w:rsidRPr="00F16897">
        <w:tab/>
        <w:t>Europaparlamentet uppmanar kommissionen att säkerställa att medlemsstaterna följer EU-domstolens och Europadomstolens domar genom att ta itu med fall av bristande efterlevnad med hjälp av de åtgärder som avses i artikel 260.2 i EUF-fördraget och villkorlighetsförordningen, särskilt om hbtqi-personer och regnbågsfamiljer som passerar EU:s inre gränser.</w:t>
      </w:r>
    </w:p>
    <w:p w:rsidR="00C55DE7" w:rsidRPr="00F16897" w:rsidRDefault="00C55DE7" w:rsidP="00C55DE7">
      <w:pPr>
        <w:pStyle w:val="NormalHanging12a"/>
        <w:widowControl/>
      </w:pPr>
      <w:r w:rsidRPr="00F16897">
        <w:t>33.</w:t>
      </w:r>
      <w:r w:rsidRPr="00F16897">
        <w:tab/>
        <w:t>Europaparlamentet uppmanar alla medlemsstater att följa de riktlinjer för strategier och handlingsplaner för att förbättra jämlikheten för hbtqi-personer</w:t>
      </w:r>
      <w:r w:rsidRPr="00F16897">
        <w:rPr>
          <w:rStyle w:val="FootnoteReference"/>
        </w:rPr>
        <w:footnoteReference w:id="10"/>
      </w:r>
      <w:r w:rsidRPr="00F16897">
        <w:t xml:space="preserve"> som utarbetats av arbetsgruppen för jämlikhet för hbtqi-personer.</w:t>
      </w:r>
    </w:p>
    <w:p w:rsidR="00C55DE7" w:rsidRPr="00F16897" w:rsidRDefault="00C55DE7" w:rsidP="00C55DE7">
      <w:pPr>
        <w:pStyle w:val="NormalHanging12a"/>
        <w:widowControl/>
      </w:pPr>
      <w:r w:rsidRPr="00F16897">
        <w:t>34.</w:t>
      </w:r>
      <w:r w:rsidRPr="00F16897">
        <w:tab/>
        <w:t>Europaparlamentet uppmanar medlemsstaterna att öka hälso- och sjukvårdstjänsters täckning så att hbtqi-personer kan söka särskild vård, inbegripet sexuell och reproduktiv hälsa och därtill hörande behandlingar. Parlamentet uppmanar med kraft kommissionen och medlemsstaterna att vidta åtgärder för att bekämpa diskriminering av hbtqi-personer inom hälso- och sjukvårdssektorn.</w:t>
      </w:r>
    </w:p>
    <w:p w:rsidR="00C55DE7" w:rsidRPr="00F16897" w:rsidRDefault="00C55DE7" w:rsidP="00C55DE7">
      <w:pPr>
        <w:pStyle w:val="NormalHanging12a"/>
        <w:widowControl/>
        <w:rPr>
          <w:rFonts w:eastAsiaTheme="minorHAnsi"/>
        </w:rPr>
      </w:pPr>
      <w:r w:rsidRPr="00F16897">
        <w:t>35.</w:t>
      </w:r>
      <w:r w:rsidRPr="00F16897">
        <w:tab/>
        <w:t>Europaparlamentet uppmanar medlemsstaterna att öka finansieringen för tillhandahållande av tjänster för offer för könsrelaterat våld och att stödja hbtqi-brottsoffer, särskilt hbtqi-kvinnor, genom att beakta deras särskilda behov och erfarenheter.</w:t>
      </w:r>
    </w:p>
    <w:p w:rsidR="00C55DE7" w:rsidRPr="00F16897" w:rsidRDefault="00C55DE7" w:rsidP="00C55DE7">
      <w:pPr>
        <w:pStyle w:val="NormalHanging12a"/>
        <w:widowControl/>
      </w:pPr>
      <w:r w:rsidRPr="00F16897">
        <w:t>36.</w:t>
      </w:r>
      <w:r w:rsidRPr="00F16897">
        <w:tab/>
        <w:t xml:space="preserve">Europaparlamentet påminner om behovet av att säkerställa att ansiktsigenkännings- och profileringsteknik styrs av principerna om transparens, förklarbarhet, rättvisa och </w:t>
      </w:r>
      <w:r w:rsidRPr="00F16897">
        <w:lastRenderedPageBreak/>
        <w:t>ansvarsskyldighet för att ta itu med de snedvridningar och risker som skapas för hbtqi ± personer.</w:t>
      </w:r>
    </w:p>
    <w:p w:rsidR="00C55DE7" w:rsidRPr="00F16897" w:rsidRDefault="00C55DE7" w:rsidP="00C55DE7">
      <w:pPr>
        <w:pStyle w:val="NormalHanging12a"/>
        <w:widowControl/>
      </w:pPr>
      <w:r w:rsidRPr="00F16897">
        <w:t>37.</w:t>
      </w:r>
      <w:r w:rsidRPr="00F16897">
        <w:tab/>
        <w:t>Europaparlamentet uppmanar EU att ge hbtqi-personer, även personer från tredjeländer som betecknas som säkra länder, tillgång till asyl.</w:t>
      </w:r>
    </w:p>
    <w:p w:rsidR="00C55DE7" w:rsidRPr="00F16897" w:rsidRDefault="00C55DE7" w:rsidP="00C55DE7">
      <w:pPr>
        <w:pStyle w:val="NormalHanging12a"/>
        <w:widowControl/>
      </w:pPr>
      <w:r w:rsidRPr="00F16897">
        <w:t>38.</w:t>
      </w:r>
      <w:r w:rsidRPr="00F16897">
        <w:tab/>
        <w:t>Europaparlamentet uppmanar kommissionen att säkerställa stöd för jämlikhet för hbtqi-personer vid åtgärder inom ramen för asyl-, migrations- och integrationsfonden, såsom anges i jämlikhetsstrategin för hbtqi-personer 2020–2025, och att inkludera det stödet i arbetsprogrammet 2023–2025.</w:t>
      </w:r>
    </w:p>
    <w:p w:rsidR="00C55DE7" w:rsidRPr="00F16897" w:rsidRDefault="00C55DE7" w:rsidP="00C55DE7">
      <w:pPr>
        <w:pStyle w:val="NormalHanging12a"/>
        <w:widowControl/>
      </w:pPr>
      <w:r w:rsidRPr="00F16897">
        <w:t>39.</w:t>
      </w:r>
      <w:r w:rsidRPr="00F16897">
        <w:tab/>
        <w:t>Europaparlamentet uppmanar Europeiska unionens asylbyrå att skyndsamt färdigställa sin praktiska vägledning om ansökningar grundade på sexuell läggning, könsidentitet, könsuttryck och könskarakteristika, och uppmanar medlemsstaterna att därefter följa denna vägledning.</w:t>
      </w:r>
    </w:p>
    <w:p w:rsidR="00C55DE7" w:rsidRPr="00F16897" w:rsidRDefault="00C55DE7" w:rsidP="00C55DE7">
      <w:pPr>
        <w:pStyle w:val="NormalHanging12a"/>
        <w:widowControl/>
      </w:pPr>
      <w:r w:rsidRPr="00F16897">
        <w:t>40.</w:t>
      </w:r>
      <w:r w:rsidRPr="00F16897">
        <w:tab/>
        <w:t>Europaparlamentet uppmanar kommissionen att övervaka effekterna och finansiera organisationer i det civila samhället och akademiska projekt som utreder antigenusrörelsen, i syfte att hantera den på ett ändamålsenligt sätt.</w:t>
      </w:r>
    </w:p>
    <w:p w:rsidR="00C55DE7" w:rsidRPr="00F16897" w:rsidRDefault="00C55DE7" w:rsidP="00C55DE7">
      <w:pPr>
        <w:pStyle w:val="NormalHanging12a"/>
        <w:widowControl/>
      </w:pPr>
      <w:r w:rsidRPr="00F16897">
        <w:t>41.</w:t>
      </w:r>
      <w:r w:rsidRPr="00F16897">
        <w:tab/>
        <w:t>Europaparlamentet uppmanar kommissionen och medlemsstaterna att utnyttja den empiriska och systematiska kunskap som samlats in av organisationer i det civila samhället och akademiska forskare vid utformningen av politik och program till stöd för hbtqi-personer i Europa och runt om i världen.</w:t>
      </w:r>
    </w:p>
    <w:p w:rsidR="00C55DE7" w:rsidRPr="00F16897" w:rsidRDefault="00C55DE7" w:rsidP="00C55DE7">
      <w:pPr>
        <w:pStyle w:val="NormalHanging12a"/>
        <w:widowControl/>
      </w:pPr>
      <w:r w:rsidRPr="00F16897">
        <w:t>42.</w:t>
      </w:r>
      <w:r w:rsidRPr="00F16897">
        <w:tab/>
        <w:t>Europaparlamentet uppmanar unionen och medlemsstaterna att erkänna faktisk eller upplevd sexuell läggning, könsidentitet, könsuttryck och könskarakteristika som fördomsrelaterade motiv. Parlamentet uppmanar kommissionen och medlemsstaterna att ta itu med hatpropaganda, hatbrott och våld som motiveras av SOGIESC-relaterade fördomar, inbegripet på nätet. Parlamentet välkomnar kommissionens initiativ att utvidga förteckningen över EU-brott enligt artikel 83.1 i EUF-fördraget till att omfatta hatpropaganda och hatbrott, vilket skulle innebära fastställandet av minimiregler rörande definitionen av brott och påföljder som skulle vara tillämpliga i alla EU-medlemsstater. Parlamentet betonar behovet av att säkerställa att EU vidtar kraftfulla straffrättsliga åtgärder mot hatpropaganda och hatbrott. Europaparlamentet beklagar djupt att det har gått nästan två år sedan kommissionens meddelande offentliggjordes och att rådet inte har kommit någonvart med det, trots att det snabbt kunde utöka förteckningen över EU-brott för andra ändamål. Parlamentet beklagar denna passivitet inför ökningen av hatpropaganda och hatbrott. Parlamentet upprepar sin uppmaning till rådet att arbeta ihärdigt för att nå samförstånd, så att kommissionen kan inleda de</w:t>
      </w:r>
      <w:r w:rsidR="00BF5932" w:rsidRPr="00F16897">
        <w:t>t</w:t>
      </w:r>
      <w:r w:rsidRPr="00F16897">
        <w:t xml:space="preserve"> andra steget i förfarandet.</w:t>
      </w:r>
    </w:p>
    <w:p w:rsidR="00C55DE7" w:rsidRPr="00F16897" w:rsidRDefault="00C55DE7" w:rsidP="00C55DE7">
      <w:pPr>
        <w:pStyle w:val="NormalHanging12a"/>
        <w:widowControl/>
        <w:rPr>
          <w:rFonts w:eastAsiaTheme="minorHAnsi"/>
        </w:rPr>
      </w:pPr>
      <w:r w:rsidRPr="00F16897">
        <w:t>43.</w:t>
      </w:r>
      <w:r w:rsidRPr="00F16897">
        <w:tab/>
        <w:t>Europaparlamentet uppmanar eftertryckligen kommissionen att lägga fram ett arbetsprogram för att öka medvetenheten om och uppmuntra rapporteringen av hatbrott som motiveras av SOGIESC-relaterade fördomar. Parlamentet uppmanar eftertryckligen kommissionen och medlemsstaterna att säkerställa att poliser och domare får utbildning i hbtqi-frågor, så att de bättre kan stödja hbtqi-personer och på lämpligt sätt utreda och lagföra hatbrott.</w:t>
      </w:r>
    </w:p>
    <w:p w:rsidR="00C55DE7" w:rsidRPr="00F16897" w:rsidRDefault="00C55DE7" w:rsidP="00C55DE7">
      <w:pPr>
        <w:pStyle w:val="NormalHanging12a"/>
        <w:widowControl/>
      </w:pPr>
      <w:r w:rsidRPr="00F16897">
        <w:t>44.</w:t>
      </w:r>
      <w:r w:rsidRPr="00F16897">
        <w:tab/>
        <w:t xml:space="preserve">Europaparlamentet uppmanar kommissionen att granska EU:s rättsliga ram och de möjliga åtgärder som skulle kunna vidtas för att motverka och förbjuda </w:t>
      </w:r>
      <w:r w:rsidRPr="00F16897">
        <w:lastRenderedPageBreak/>
        <w:t>omvandlingsterapier på EU-nivå och att driva på medlemsstaterna att förbjuda så kallade omvandlingsterapier som baseras på SOGIESC.</w:t>
      </w:r>
    </w:p>
    <w:p w:rsidR="008D127A" w:rsidRPr="00F16897" w:rsidRDefault="0066493E" w:rsidP="00C55DE7">
      <w:pPr>
        <w:pStyle w:val="NormalHanging12a"/>
        <w:widowControl/>
      </w:pPr>
      <w:r w:rsidRPr="00F16897">
        <w:t>45</w:t>
      </w:r>
      <w:r w:rsidR="008D127A" w:rsidRPr="00F16897">
        <w:t>.</w:t>
      </w:r>
      <w:r w:rsidR="008D127A" w:rsidRPr="00F16897">
        <w:tab/>
        <w:t>Europaparlamentet välkomnar som ett första steg kommissionens formella registrering av medborgarinitiativet ”Förbjud omvändelseterapi i Europeiska unionen”, eftersom detta erkänner de rättsliga grunderna på EU-nivå för att agera i denna fråga. Parlamentet uttrycker sitt stöd för detta medborgarinitiativ. Parlamentet uppmanar kommissionen att agera med anledning av detta och att lägga fram lagstiftningsförslag som bygger på fördragen och förordningen om medborgarinitiativet</w:t>
      </w:r>
      <w:r w:rsidR="008D127A" w:rsidRPr="00F16897">
        <w:rPr>
          <w:rStyle w:val="FootnoteReference"/>
        </w:rPr>
        <w:footnoteReference w:id="11"/>
      </w:r>
      <w:r w:rsidR="008D127A" w:rsidRPr="00F16897">
        <w:t>.</w:t>
      </w:r>
    </w:p>
    <w:p w:rsidR="00C55DE7" w:rsidRPr="00F16897" w:rsidRDefault="00C55DE7" w:rsidP="00C55DE7">
      <w:pPr>
        <w:pStyle w:val="NormalHanging12a"/>
        <w:widowControl/>
      </w:pPr>
      <w:r w:rsidRPr="00F16897">
        <w:t>4</w:t>
      </w:r>
      <w:r w:rsidR="0066493E" w:rsidRPr="00F16897">
        <w:t>6</w:t>
      </w:r>
      <w:r w:rsidRPr="00F16897">
        <w:t>.</w:t>
      </w:r>
      <w:r w:rsidRPr="00F16897">
        <w:tab/>
        <w:t>Europaparlamentet efterlyser ett förbud mot könsstympning, särskilt könsstympning av intersexuella och kvinnlig könsstympning.</w:t>
      </w:r>
    </w:p>
    <w:p w:rsidR="00C55DE7" w:rsidRPr="00F16897" w:rsidRDefault="00C55DE7" w:rsidP="00C55DE7">
      <w:pPr>
        <w:pStyle w:val="NormalHanging12a"/>
        <w:widowControl/>
      </w:pPr>
      <w:r w:rsidRPr="00F16897">
        <w:t>4</w:t>
      </w:r>
      <w:r w:rsidR="0066493E" w:rsidRPr="00F16897">
        <w:t>7</w:t>
      </w:r>
      <w:r w:rsidRPr="00F16897">
        <w:t>.</w:t>
      </w:r>
      <w:r w:rsidRPr="00F16897">
        <w:tab/>
        <w:t>Europaparlamentet uppmanar medlemsstaterna att fortsätta att utbyta bästa praxis för att skydda de grundläggande rättigheterna för intersexuella barn.</w:t>
      </w:r>
    </w:p>
    <w:p w:rsidR="00C55DE7" w:rsidRPr="00F16897" w:rsidRDefault="00C55DE7" w:rsidP="00C55DE7">
      <w:pPr>
        <w:pStyle w:val="NormalHanging12a"/>
        <w:widowControl/>
      </w:pPr>
      <w:r w:rsidRPr="00F16897">
        <w:t>4</w:t>
      </w:r>
      <w:r w:rsidR="0066493E" w:rsidRPr="00F16897">
        <w:t>8</w:t>
      </w:r>
      <w:r w:rsidRPr="00F16897">
        <w:t>.</w:t>
      </w:r>
      <w:r w:rsidRPr="00F16897">
        <w:tab/>
        <w:t>Europaparlamentet efterlyser ett förbud mot tvångsaborter och tvångssteriliseringar. Parlamentet understryker vikten av hbtqi-personers rätt till självbestämmande, självständighet samt fysisk och psykisk hälsa. Parlamentet understryker att dess ståndpunkt om förslaget till direktiv om bekämpning av våld mot kvinnor och våld i nära relationer inbegriper att kvinnlig könsstympning, könsstympning av intersexpersoner samt tvångssterilisering läggs till förteckningen över straffbara handlingar i EU (EU-brott).</w:t>
      </w:r>
    </w:p>
    <w:p w:rsidR="00C55DE7" w:rsidRPr="00F16897" w:rsidRDefault="00C55DE7" w:rsidP="00C55DE7">
      <w:pPr>
        <w:pStyle w:val="NormalHanging12a"/>
        <w:widowControl/>
      </w:pPr>
      <w:r w:rsidRPr="00F16897">
        <w:t>4</w:t>
      </w:r>
      <w:r w:rsidR="0066493E" w:rsidRPr="00F16897">
        <w:t>9</w:t>
      </w:r>
      <w:r w:rsidRPr="00F16897">
        <w:t>.</w:t>
      </w:r>
      <w:r w:rsidRPr="00F16897">
        <w:tab/>
        <w:t xml:space="preserve">Europaparlamentet uppmanar medlemsstaterna att erkänna äktenskap och föräldraskap för par av samma kön så att de kan utöva sina rättigheter enligt EU-rätten, såsom krävs av EU-domstol. </w:t>
      </w:r>
    </w:p>
    <w:p w:rsidR="00C55DE7" w:rsidRPr="00F16897" w:rsidRDefault="0066493E" w:rsidP="00C55DE7">
      <w:pPr>
        <w:pStyle w:val="NormalHanging12a"/>
        <w:widowControl/>
      </w:pPr>
      <w:r w:rsidRPr="00F16897">
        <w:t>50</w:t>
      </w:r>
      <w:r w:rsidR="00C55DE7" w:rsidRPr="00F16897">
        <w:t>.</w:t>
      </w:r>
      <w:r w:rsidR="00C55DE7" w:rsidRPr="00F16897">
        <w:tab/>
        <w:t>Europaparlamentet uppmanar medlemsstaterna att införa tillgänglig lagstiftning och tillgängliga förfaranden för rättsligt erkännande av könsidentitet med stöd av kommissionen.</w:t>
      </w:r>
    </w:p>
    <w:p w:rsidR="00C55DE7" w:rsidRPr="00F16897" w:rsidRDefault="00C55DE7" w:rsidP="00C55DE7">
      <w:pPr>
        <w:pStyle w:val="NormalHanging12a"/>
        <w:widowControl/>
      </w:pPr>
      <w:r w:rsidRPr="00F16897">
        <w:t>5</w:t>
      </w:r>
      <w:r w:rsidR="0066493E" w:rsidRPr="00F16897">
        <w:t>1</w:t>
      </w:r>
      <w:r w:rsidRPr="00F16897">
        <w:t>.</w:t>
      </w:r>
      <w:r w:rsidRPr="00F16897">
        <w:tab/>
        <w:t>Europaparlamentet uppmanar kommissionen och medlemsstaterna att verka för trygga och inkluderande miljöer inom utbildning, kultur, idrott och andra sektorer.</w:t>
      </w:r>
    </w:p>
    <w:p w:rsidR="00C55DE7" w:rsidRPr="00F16897" w:rsidRDefault="00C55DE7" w:rsidP="00C55DE7">
      <w:pPr>
        <w:pStyle w:val="NormalHanging12a"/>
        <w:widowControl/>
      </w:pPr>
      <w:r w:rsidRPr="00F16897">
        <w:t>5</w:t>
      </w:r>
      <w:r w:rsidR="0066493E" w:rsidRPr="00F16897">
        <w:t>2</w:t>
      </w:r>
      <w:r w:rsidRPr="00F16897">
        <w:t>.</w:t>
      </w:r>
      <w:r w:rsidRPr="00F16897">
        <w:tab/>
        <w:t>Europaparlamentet uppmanar medlemsstaterna att vidta ytterligare åtgärder för att garantera lika rättigheter för hbtqi-personer med funktionsnedsättning genom uttryckliga skyddsåtgärder mot diskriminering på grund av sexuell läggning och könsidentitet, något som är nödvändigt på alla livets områden, däribland sysselsättning, boende, utbildning, offentliga bostäder och lån.</w:t>
      </w:r>
    </w:p>
    <w:p w:rsidR="00C55DE7" w:rsidRPr="00F16897" w:rsidRDefault="00C55DE7" w:rsidP="00C55DE7">
      <w:pPr>
        <w:pStyle w:val="NormalHanging12a"/>
        <w:widowControl/>
      </w:pPr>
      <w:r w:rsidRPr="00F16897">
        <w:t>5</w:t>
      </w:r>
      <w:r w:rsidR="0066493E" w:rsidRPr="00F16897">
        <w:t>3</w:t>
      </w:r>
      <w:r w:rsidRPr="00F16897">
        <w:t>.</w:t>
      </w:r>
      <w:r w:rsidRPr="00F16897">
        <w:tab/>
        <w:t xml:space="preserve">Europaparlamentet uppmanar medlemsstaterna att genomföra rådets rekommendationer om vägar till en framgångsrik skolgång och framför allt inkludera åtgärder mot diskriminering av hbtqi-personer, särskilt unga hbtqi-personer, för att alla ska få en säker och inkluderande utbildning. </w:t>
      </w:r>
    </w:p>
    <w:p w:rsidR="00C55DE7" w:rsidRPr="00F16897" w:rsidRDefault="00C55DE7" w:rsidP="00C55DE7">
      <w:pPr>
        <w:pStyle w:val="NormalHanging12a"/>
        <w:widowControl/>
      </w:pPr>
      <w:r w:rsidRPr="00F16897">
        <w:t>5</w:t>
      </w:r>
      <w:r w:rsidR="0066493E" w:rsidRPr="00F16897">
        <w:t>4</w:t>
      </w:r>
      <w:r w:rsidRPr="00F16897">
        <w:t>.</w:t>
      </w:r>
      <w:r w:rsidRPr="00F16897">
        <w:tab/>
        <w:t xml:space="preserve">Europaparlamentet uppmanar med kraft kommissionen och medlemsstaterna att intensifiera åtgärderna för att ta itu med mobbning och trakasserier av hbtqi-barn och </w:t>
      </w:r>
      <w:r w:rsidRPr="00F16897">
        <w:lastRenderedPageBreak/>
        <w:t xml:space="preserve">hbtqi-ungdomar i skolorna och att öka medvetenheten om sådana fall. Parlamentet understryker att sådana situationer bidrar till social utestängning. </w:t>
      </w:r>
    </w:p>
    <w:p w:rsidR="00C55DE7" w:rsidRPr="00F16897" w:rsidRDefault="00C55DE7" w:rsidP="00C55DE7">
      <w:pPr>
        <w:pStyle w:val="NormalHanging12a"/>
        <w:widowControl/>
      </w:pPr>
      <w:r w:rsidRPr="00F16897">
        <w:t>5</w:t>
      </w:r>
      <w:r w:rsidR="0066493E" w:rsidRPr="00F16897">
        <w:t>5</w:t>
      </w:r>
      <w:r w:rsidRPr="00F16897">
        <w:t>.</w:t>
      </w:r>
      <w:r w:rsidRPr="00F16897">
        <w:tab/>
        <w:t>Europaparlamentet uppmanar kommissionen att utöka finansieringen till Erasmus+ under rubriken ”Främja jämlikhet för hbtqi-personer” genom aktiva kommunikationsinsatser i samarbete med de nationella myndigheterna.</w:t>
      </w:r>
    </w:p>
    <w:p w:rsidR="00C55DE7" w:rsidRPr="00F16897" w:rsidRDefault="00C55DE7" w:rsidP="00C55DE7">
      <w:pPr>
        <w:pStyle w:val="NormalHanging12a"/>
        <w:widowControl/>
      </w:pPr>
      <w:r w:rsidRPr="00F16897">
        <w:t>5</w:t>
      </w:r>
      <w:r w:rsidR="0066493E" w:rsidRPr="00F16897">
        <w:t>6</w:t>
      </w:r>
      <w:r w:rsidRPr="00F16897">
        <w:t>.</w:t>
      </w:r>
      <w:r w:rsidRPr="00F16897">
        <w:tab/>
        <w:t>Europaparlamentet uppmanar EU att föregå med gott exempel och att inta en ledande roll i arbetet med att främja hbtqi-personers rättigheter runt om i världen i överensstämmelse med EU:s riktlinjer om mänskliga rättigheter – icke-diskriminering inom de yttre åtgärderna.</w:t>
      </w:r>
    </w:p>
    <w:p w:rsidR="00C55DE7" w:rsidRPr="00F16897" w:rsidRDefault="00C55DE7" w:rsidP="00C55DE7">
      <w:pPr>
        <w:pStyle w:val="NormalHanging12a"/>
        <w:widowControl/>
      </w:pPr>
      <w:r w:rsidRPr="00F16897">
        <w:t>5</w:t>
      </w:r>
      <w:r w:rsidR="0066493E" w:rsidRPr="00F16897">
        <w:t>7</w:t>
      </w:r>
      <w:r w:rsidRPr="00F16897">
        <w:t>.</w:t>
      </w:r>
      <w:r w:rsidRPr="00F16897">
        <w:tab/>
        <w:t>Europaparlamentet uppmanar kommissionen att tillsätta en särskild representant för jämlikhet för hbtqi-personer vid Europeiska utrikestjänsten i syfte att säkerställa ett övergripande genomförande av jämlikhetsstrategin för hbtqi-personer 2020–2025 i utlandet.</w:t>
      </w:r>
    </w:p>
    <w:p w:rsidR="00C55DE7" w:rsidRPr="00F16897" w:rsidRDefault="00C55DE7" w:rsidP="00C55DE7">
      <w:pPr>
        <w:pStyle w:val="NormalHanging12a"/>
        <w:widowControl/>
      </w:pPr>
      <w:r w:rsidRPr="00F16897">
        <w:t>5</w:t>
      </w:r>
      <w:r w:rsidR="0066493E" w:rsidRPr="00F16897">
        <w:t>8</w:t>
      </w:r>
      <w:r w:rsidRPr="00F16897">
        <w:t>.</w:t>
      </w:r>
      <w:r w:rsidRPr="00F16897">
        <w:tab/>
        <w:t>Europaparlamentet uttrycker oro över situationen för hbtqi-rättigheter över hela världen. Parlamentet uppmanar kommissionen och Europeiska utrikestjänsten att använda utvecklingspolitiken som en hävstång för att genomdriva reformer i utvecklingsländerna, ta itu med bakslaget i erkännandet och skyddet av dessa rättigheter och säkerställa hbtqi-personers rättigheter.</w:t>
      </w:r>
    </w:p>
    <w:p w:rsidR="00C55DE7" w:rsidRPr="00F16897" w:rsidRDefault="00C55DE7" w:rsidP="00C55DE7">
      <w:pPr>
        <w:pStyle w:val="NormalHanging12a"/>
        <w:widowControl/>
      </w:pPr>
      <w:r w:rsidRPr="00F16897">
        <w:t>5</w:t>
      </w:r>
      <w:r w:rsidR="0066493E" w:rsidRPr="00F16897">
        <w:t>9</w:t>
      </w:r>
      <w:r w:rsidRPr="00F16897">
        <w:t>.</w:t>
      </w:r>
      <w:r w:rsidRPr="00F16897">
        <w:tab/>
        <w:t>Europaparlamentet uppmanar kommissionen att se till att hbtqi-personer får stöd som en del av budget- och finansieringsinstrument samt inom ramen för bredare utvecklingsbiståndsprogram.</w:t>
      </w:r>
    </w:p>
    <w:p w:rsidR="00C55DE7" w:rsidRPr="00F16897" w:rsidRDefault="0066493E" w:rsidP="00C55DE7">
      <w:pPr>
        <w:pStyle w:val="NormalHanging12a"/>
        <w:widowControl/>
      </w:pPr>
      <w:r w:rsidRPr="00F16897">
        <w:t>60</w:t>
      </w:r>
      <w:r w:rsidR="00C55DE7" w:rsidRPr="00F16897">
        <w:t>.</w:t>
      </w:r>
      <w:r w:rsidR="00C55DE7" w:rsidRPr="00F16897">
        <w:tab/>
        <w:t>Europaparlamentet uppmanar kommissionen att stödja kandidatländer och potentiella kandidatländer i genomförandet av EU-lagstiftningen, bland annat när det gäller hbtqi-personers rättigheter, och övervaka deras framsteg.</w:t>
      </w:r>
    </w:p>
    <w:p w:rsidR="00C55DE7" w:rsidRPr="00F16897" w:rsidRDefault="00C55DE7" w:rsidP="00C55DE7">
      <w:pPr>
        <w:pStyle w:val="NormalHanging12a"/>
        <w:widowControl/>
      </w:pPr>
      <w:r w:rsidRPr="00F16897">
        <w:t>6</w:t>
      </w:r>
      <w:r w:rsidR="0066493E" w:rsidRPr="00F16897">
        <w:t>1</w:t>
      </w:r>
      <w:r w:rsidRPr="00F16897">
        <w:t>.</w:t>
      </w:r>
      <w:r w:rsidRPr="00F16897">
        <w:tab/>
        <w:t>Europaparlamentet uppmanar kommissionen att ytterligare förbättra möjligheten till omfördelning och att tillhandahålla flexibel finansiering, så att små gräsrotsorganisationer med fokus på mänskliga rättigheter och andra aktörer i det civila samhället som arbetar för att främja hbtqi-personers rättigheter får tillgång till sådan finansiering, både i unionen och i tredjeländer, i enlighet med EU-rätten.</w:t>
      </w:r>
    </w:p>
    <w:p w:rsidR="00C55DE7" w:rsidRPr="00F16897" w:rsidRDefault="00C55DE7" w:rsidP="00C55DE7">
      <w:pPr>
        <w:pStyle w:val="NormalHanging12a"/>
        <w:widowControl/>
      </w:pPr>
      <w:r w:rsidRPr="00F16897">
        <w:t>6</w:t>
      </w:r>
      <w:r w:rsidR="0066493E" w:rsidRPr="00F16897">
        <w:t>2</w:t>
      </w:r>
      <w:r w:rsidRPr="00F16897">
        <w:t>.</w:t>
      </w:r>
      <w:r w:rsidRPr="00F16897">
        <w:tab/>
        <w:t xml:space="preserve">Europaparlamentet uppmanar kommissionen att ytterligare förbättra sin kommunikation om finansieringsmöjligheter för att främja jämlikhet för hbtqi-personer, särskilt i de medlemsstater där jämlikheten är på tillbakagång. </w:t>
      </w:r>
    </w:p>
    <w:p w:rsidR="00C55DE7" w:rsidRPr="00F16897" w:rsidRDefault="00C55DE7" w:rsidP="00C55DE7">
      <w:pPr>
        <w:pStyle w:val="NormalHanging12a"/>
        <w:widowControl/>
      </w:pPr>
      <w:r w:rsidRPr="00F16897">
        <w:t>6</w:t>
      </w:r>
      <w:r w:rsidR="0066493E" w:rsidRPr="00F16897">
        <w:t>3</w:t>
      </w:r>
      <w:r w:rsidRPr="00F16897">
        <w:t>.</w:t>
      </w:r>
      <w:r w:rsidRPr="00F16897">
        <w:tab/>
        <w:t>Europaparlamentet uppmanar kommissionen att se till att medlemsstaterna förvaltar EU-medel i enlighet med stadgan, inklusive rätten till icke-diskriminering, såsom krävs av en övergripande grundförutsättning i förordningen om gemensamma bestämmelser</w:t>
      </w:r>
      <w:r w:rsidRPr="00F16897">
        <w:rPr>
          <w:rStyle w:val="FootnoteReference"/>
        </w:rPr>
        <w:footnoteReference w:id="12"/>
      </w:r>
      <w:r w:rsidRPr="00F16897">
        <w:t xml:space="preserve">. </w:t>
      </w:r>
      <w:r w:rsidRPr="00F16897">
        <w:lastRenderedPageBreak/>
        <w:t>Parlamentet betonar att inga utgifter kan ersättas av kommissionen förrän de tillämpliga nödvändiga villkoren är uppfyllda.</w:t>
      </w:r>
    </w:p>
    <w:p w:rsidR="00C55DE7" w:rsidRPr="00F16897" w:rsidRDefault="00C55DE7" w:rsidP="00C55DE7">
      <w:pPr>
        <w:pStyle w:val="NormalHanging12a"/>
        <w:widowControl/>
      </w:pPr>
      <w:r w:rsidRPr="00F16897">
        <w:t>6</w:t>
      </w:r>
      <w:r w:rsidR="0066493E" w:rsidRPr="00F16897">
        <w:t>4</w:t>
      </w:r>
      <w:r w:rsidRPr="00F16897">
        <w:t>.</w:t>
      </w:r>
      <w:r w:rsidRPr="00F16897">
        <w:tab/>
        <w:t>Europaparlamentet uppmanar EU att fortsätta att bekämpa stigmatiseringen och trakasserierna av hbtqi-människorättsförsvarare samt skydda hbtqi-människorättsförsvarare i tredjeländer. Parlamentet uppmanar eftertryckligen EU att utvidga sådana mekanismer till att omfatta människorättsförsvarare i EU, i syfte att skydda hbtqi-människorättsförsvarare i medlemsstaterna.</w:t>
      </w:r>
    </w:p>
    <w:p w:rsidR="00C55DE7" w:rsidRPr="00F16897" w:rsidRDefault="00C55DE7" w:rsidP="00C55DE7">
      <w:pPr>
        <w:pStyle w:val="NormalHanging12a"/>
        <w:widowControl/>
      </w:pPr>
      <w:r w:rsidRPr="00F16897">
        <w:t>6</w:t>
      </w:r>
      <w:r w:rsidR="0066493E" w:rsidRPr="00F16897">
        <w:t>5</w:t>
      </w:r>
      <w:r w:rsidRPr="00F16897">
        <w:t>.</w:t>
      </w:r>
      <w:r w:rsidRPr="00F16897">
        <w:tab/>
        <w:t>Europaparlamentet uppmanar EU med kraft att utvidga detta skydd till människorättsförsvarare i EU:s medlemsstater.</w:t>
      </w:r>
    </w:p>
    <w:p w:rsidR="00C55DE7" w:rsidRPr="00F16897" w:rsidRDefault="00C55DE7" w:rsidP="00C55DE7">
      <w:pPr>
        <w:pStyle w:val="NormalHanging12a"/>
        <w:widowControl/>
      </w:pPr>
      <w:r w:rsidRPr="00F16897">
        <w:t>6</w:t>
      </w:r>
      <w:r w:rsidR="0066493E" w:rsidRPr="00F16897">
        <w:t>6</w:t>
      </w:r>
      <w:r w:rsidRPr="00F16897">
        <w:t>.</w:t>
      </w:r>
      <w:r w:rsidRPr="00F16897">
        <w:tab/>
        <w:t>Europaparlamentet uppmanar kommissionen att öka datainsamlingen om diskriminering på grundval av SOGIESC och att använda dessa data för att föra en inkluderande offentlig politik som är anpassad till hbtqi-personer och att stödja medlemsstaternas användning av dessa data.</w:t>
      </w:r>
    </w:p>
    <w:p w:rsidR="00C55DE7" w:rsidRPr="00F16897" w:rsidRDefault="00C55DE7" w:rsidP="00C55DE7">
      <w:pPr>
        <w:pStyle w:val="NormalHanging12a"/>
        <w:widowControl/>
      </w:pPr>
      <w:r w:rsidRPr="00F16897">
        <w:t>6</w:t>
      </w:r>
      <w:r w:rsidR="0066493E" w:rsidRPr="00F16897">
        <w:t>7</w:t>
      </w:r>
      <w:r w:rsidRPr="00F16897">
        <w:t>.</w:t>
      </w:r>
      <w:r w:rsidRPr="00F16897">
        <w:tab/>
        <w:t>Europaparlamentet uppmanar alla medlemsstater att bedöma sina framsteg med genomförandet av jämlikhetsstrategin för hbtqi-personer och dela med sig av sina resultat till kommissionen och parlamentet.</w:t>
      </w:r>
    </w:p>
    <w:p w:rsidR="00C55DE7" w:rsidRPr="00F16897" w:rsidRDefault="00C55DE7" w:rsidP="00C55DE7">
      <w:pPr>
        <w:pStyle w:val="NormalHanging12a"/>
        <w:widowControl/>
      </w:pPr>
      <w:r w:rsidRPr="00F16897">
        <w:t>6</w:t>
      </w:r>
      <w:r w:rsidR="0066493E" w:rsidRPr="00F16897">
        <w:t>8</w:t>
      </w:r>
      <w:r w:rsidRPr="00F16897">
        <w:t>.</w:t>
      </w:r>
      <w:r w:rsidRPr="00F16897">
        <w:tab/>
        <w:t>Europaparlamentet uppmanar alla medlemsstater att anta nationella handlingsplaner och strategier för jämlikhet för hbtqi-personer fram till 2025.</w:t>
      </w:r>
    </w:p>
    <w:p w:rsidR="00C55DE7" w:rsidRPr="00F16897" w:rsidRDefault="00C55DE7" w:rsidP="00C55DE7">
      <w:pPr>
        <w:pStyle w:val="NormalHanging12a"/>
        <w:widowControl/>
      </w:pPr>
      <w:r w:rsidRPr="00F16897">
        <w:t>6</w:t>
      </w:r>
      <w:r w:rsidR="0066493E" w:rsidRPr="00F16897">
        <w:t>9</w:t>
      </w:r>
      <w:r w:rsidRPr="00F16897">
        <w:t>.</w:t>
      </w:r>
      <w:r w:rsidRPr="00F16897">
        <w:tab/>
        <w:t>Europaparlamentet uppmanar kommissionen att utarbeta en ny jämlikhetsstrategi för hbtqi-personer för 2025–2030, som bygger på starka åtaganden och återspeglar stadgan samt uppmaningarna och förväntningarna från parlamentet, organisationer i det civila samhället och hbtqi-personer i Europa och runt om i världen. Parlamentet uppmanar kommissionen att fastställa en tidsplan för jämlikhetsstrategin för hbtqi-personer före valet till Europaparlamentet 2024.</w:t>
      </w:r>
    </w:p>
    <w:p w:rsidR="00C55DE7" w:rsidRPr="00F16897" w:rsidRDefault="0066493E" w:rsidP="00C55DE7">
      <w:pPr>
        <w:pStyle w:val="NormalHanging12a"/>
        <w:widowControl/>
      </w:pPr>
      <w:r w:rsidRPr="00F16897">
        <w:t>70</w:t>
      </w:r>
      <w:r w:rsidR="00C55DE7" w:rsidRPr="00F16897">
        <w:t>.</w:t>
      </w:r>
      <w:r w:rsidR="00C55DE7" w:rsidRPr="00F16897">
        <w:tab/>
        <w:t>Europaparlamentet uppmanar kommissionen att se till att nästa jämlikhetsstrategi för hbtqi-personer styrs av en mer robust del som åtföljs av en målinriktad genomförandeplan, en stark integreringsstruktur som säkerställer att hbtqi-personers rättigheter integreras i all EU-politik, inbegripet frågor som rör sexuell läggning, könsidentitet, könsuttryck och könskarakteristika, och resursfördelning och att inkludera en tidsplan och delmål som säkerställer övervakning, utvärdering, ansvarsskyldighet och erfarenhetsöverföring, inbegripet samråd med hbtqi-organisationer. Parlamentet uppmanar vidare kommissionen att särskilt uppmärksamma grupper i utsatta situationer, såsom hbtqi-barn och hbtqi-ungdomar.</w:t>
      </w:r>
    </w:p>
    <w:p w:rsidR="00C55DE7" w:rsidRPr="00F16897" w:rsidRDefault="00C55DE7" w:rsidP="00C55DE7">
      <w:pPr>
        <w:pStyle w:val="NormalHanging12a"/>
        <w:widowControl/>
      </w:pPr>
      <w:r w:rsidRPr="00F16897">
        <w:t>7</w:t>
      </w:r>
      <w:r w:rsidR="0066493E" w:rsidRPr="00F16897">
        <w:t>1</w:t>
      </w:r>
      <w:r w:rsidRPr="00F16897">
        <w:t>.</w:t>
      </w:r>
      <w:r w:rsidRPr="00F16897">
        <w:tab/>
        <w:t>Europaparlamentet uppmanar kommissionen att säkra en portfölj för en kommissionsledamot med ansvar för jämlikhet och mångfald under nästa mandatperiod.</w:t>
      </w:r>
    </w:p>
    <w:p w:rsidR="00C55DE7" w:rsidRPr="00F16897" w:rsidRDefault="00C55DE7" w:rsidP="00C55DE7">
      <w:pPr>
        <w:pStyle w:val="NormalHanging12a"/>
        <w:widowControl/>
      </w:pPr>
      <w:r w:rsidRPr="00F16897">
        <w:t>7</w:t>
      </w:r>
      <w:r w:rsidR="0066493E" w:rsidRPr="00F16897">
        <w:t>2</w:t>
      </w:r>
      <w:r w:rsidRPr="00F16897">
        <w:t>.</w:t>
      </w:r>
      <w:r w:rsidRPr="00F16897">
        <w:tab/>
        <w:t>Europaparlamentet uppmuntrar därför tillsättandet av en samordnare för hbtqi-personers rättigheter vid kommissionen.</w:t>
      </w:r>
    </w:p>
    <w:p w:rsidR="00930AC3" w:rsidRPr="00F16897" w:rsidRDefault="00930AC3" w:rsidP="00930AC3">
      <w:pPr>
        <w:pStyle w:val="NormalHanging12a"/>
        <w:widowControl/>
        <w:ind w:left="0" w:firstLine="0"/>
        <w:jc w:val="center"/>
      </w:pPr>
      <w:r w:rsidRPr="00F16897">
        <w:t>°</w:t>
      </w:r>
    </w:p>
    <w:p w:rsidR="00930AC3" w:rsidRPr="00F16897" w:rsidRDefault="00930AC3" w:rsidP="00930AC3">
      <w:pPr>
        <w:pStyle w:val="NormalHanging12a"/>
        <w:widowControl/>
        <w:ind w:left="0" w:firstLine="0"/>
        <w:jc w:val="center"/>
      </w:pPr>
      <w:r w:rsidRPr="00F16897">
        <w:t>°     °</w:t>
      </w:r>
    </w:p>
    <w:p w:rsidR="00C55DE7" w:rsidRPr="002B798A" w:rsidRDefault="00C55DE7" w:rsidP="00C55DE7">
      <w:pPr>
        <w:pStyle w:val="NormalHanging12a"/>
        <w:widowControl/>
        <w:ind w:left="560" w:hanging="560"/>
      </w:pPr>
      <w:r w:rsidRPr="00F16897">
        <w:t>7</w:t>
      </w:r>
      <w:r w:rsidR="0066493E" w:rsidRPr="00F16897">
        <w:t>3</w:t>
      </w:r>
      <w:r w:rsidRPr="00F16897">
        <w:t>.</w:t>
      </w:r>
      <w:r w:rsidRPr="00F16897">
        <w:tab/>
        <w:t xml:space="preserve">Europaparlamentet uppdrar åt talmannen att översända denna resolution till rådet och kommissionen samt till medlemsstaternas och kandidatländernas regeringar och </w:t>
      </w:r>
      <w:r w:rsidRPr="00F16897">
        <w:lastRenderedPageBreak/>
        <w:t>parlament och till medlemsstaternas och kandidatländernas regionala parlament och lokala myndigheter.</w:t>
      </w:r>
    </w:p>
    <w:p w:rsidR="00E365E1" w:rsidRPr="002B798A" w:rsidRDefault="00E365E1" w:rsidP="00BE5524">
      <w:bookmarkStart w:id="9" w:name="TextBodyEnd"/>
      <w:bookmarkEnd w:id="9"/>
    </w:p>
    <w:sectPr w:rsidR="00E365E1" w:rsidRPr="002B798A" w:rsidSect="002B79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524" w:rsidRPr="002B798A" w:rsidRDefault="00BE5524">
      <w:r w:rsidRPr="002B798A">
        <w:separator/>
      </w:r>
    </w:p>
  </w:endnote>
  <w:endnote w:type="continuationSeparator" w:id="0">
    <w:p w:rsidR="00BE5524" w:rsidRPr="002B798A" w:rsidRDefault="00BE5524">
      <w:r w:rsidRPr="002B79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524" w:rsidRPr="002B798A" w:rsidRDefault="00BE5524">
      <w:r w:rsidRPr="002B798A">
        <w:separator/>
      </w:r>
    </w:p>
  </w:footnote>
  <w:footnote w:type="continuationSeparator" w:id="0">
    <w:p w:rsidR="00BE5524" w:rsidRPr="002B798A" w:rsidRDefault="00BE5524">
      <w:r w:rsidRPr="002B798A">
        <w:continuationSeparator/>
      </w:r>
    </w:p>
  </w:footnote>
  <w:footnote w:id="1">
    <w:p w:rsidR="00C55DE7" w:rsidRPr="00F16897" w:rsidRDefault="00C55DE7" w:rsidP="002B798A">
      <w:pPr>
        <w:pStyle w:val="FootnoteText"/>
        <w:ind w:left="567" w:hanging="567"/>
        <w:rPr>
          <w:sz w:val="24"/>
        </w:rPr>
      </w:pPr>
      <w:r w:rsidRPr="00F16897">
        <w:rPr>
          <w:rStyle w:val="FootnoteReference"/>
          <w:sz w:val="24"/>
          <w:lang w:val="sv-SE"/>
        </w:rPr>
        <w:footnoteRef/>
      </w:r>
      <w:r w:rsidR="002B798A" w:rsidRPr="00F16897">
        <w:rPr>
          <w:sz w:val="24"/>
        </w:rPr>
        <w:t xml:space="preserve"> </w:t>
      </w:r>
      <w:r w:rsidR="002B798A" w:rsidRPr="00F16897">
        <w:rPr>
          <w:sz w:val="24"/>
        </w:rPr>
        <w:tab/>
      </w:r>
      <w:r w:rsidRPr="00F16897">
        <w:rPr>
          <w:sz w:val="24"/>
        </w:rPr>
        <w:t>EUT C 117, 11.3.2022, s. 2.</w:t>
      </w:r>
    </w:p>
  </w:footnote>
  <w:footnote w:id="2">
    <w:p w:rsidR="00C55DE7" w:rsidRPr="00F16897" w:rsidRDefault="00C55DE7" w:rsidP="002B798A">
      <w:pPr>
        <w:pStyle w:val="FootnoteText"/>
        <w:ind w:left="567" w:hanging="567"/>
        <w:rPr>
          <w:sz w:val="24"/>
        </w:rPr>
      </w:pPr>
      <w:r w:rsidRPr="00F16897">
        <w:rPr>
          <w:rStyle w:val="FootnoteReference"/>
          <w:sz w:val="24"/>
          <w:lang w:val="sv-SE"/>
        </w:rPr>
        <w:footnoteRef/>
      </w:r>
      <w:r w:rsidR="002B798A" w:rsidRPr="00F16897">
        <w:rPr>
          <w:sz w:val="24"/>
        </w:rPr>
        <w:t xml:space="preserve"> </w:t>
      </w:r>
      <w:r w:rsidR="002B798A" w:rsidRPr="00F16897">
        <w:rPr>
          <w:sz w:val="24"/>
        </w:rPr>
        <w:tab/>
      </w:r>
      <w:r w:rsidRPr="00F16897">
        <w:rPr>
          <w:sz w:val="24"/>
        </w:rPr>
        <w:t>EUT C 474, 24.11.2021, s. 140.</w:t>
      </w:r>
    </w:p>
  </w:footnote>
  <w:footnote w:id="3">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Antagna texter, P9_TA(2020)0225.</w:t>
      </w:r>
    </w:p>
  </w:footnote>
  <w:footnote w:id="4">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Antagna texter, P9_TA(2021)0362.</w:t>
      </w:r>
    </w:p>
  </w:footnote>
  <w:footnote w:id="5">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Antagna texter, P9_TA(2022)0372.</w:t>
      </w:r>
    </w:p>
  </w:footnote>
  <w:footnote w:id="6">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Antagna texter, P9_TA(2023)0120.</w:t>
      </w:r>
    </w:p>
  </w:footnote>
  <w:footnote w:id="7">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 xml:space="preserve">Studie – </w:t>
      </w:r>
      <w:r w:rsidRPr="00F16897">
        <w:rPr>
          <w:i/>
          <w:iCs/>
          <w:sz w:val="24"/>
          <w:lang w:val="sv-SE"/>
        </w:rPr>
        <w:t>The LGBTIQ+ Equality Strategy 2020–2025 – Implementation Overview</w:t>
      </w:r>
      <w:r w:rsidRPr="00F16897">
        <w:rPr>
          <w:sz w:val="24"/>
          <w:lang w:val="sv-SE"/>
        </w:rPr>
        <w:t>, Europaparlamentet, generaldirektoratet för parlamentarisk utredning och analys, 2023.</w:t>
      </w:r>
    </w:p>
  </w:footnote>
  <w:footnote w:id="8">
    <w:p w:rsidR="00B44F7D" w:rsidRPr="00F16897" w:rsidRDefault="00B44F7D" w:rsidP="00F16897">
      <w:pPr>
        <w:pStyle w:val="FootnoteText"/>
        <w:ind w:left="567" w:hanging="567"/>
        <w:rPr>
          <w:sz w:val="24"/>
          <w:szCs w:val="24"/>
          <w:lang w:val="fi-FI"/>
        </w:rPr>
      </w:pPr>
      <w:r w:rsidRPr="00F16897">
        <w:rPr>
          <w:rStyle w:val="FootnoteReference"/>
          <w:sz w:val="24"/>
          <w:szCs w:val="24"/>
        </w:rPr>
        <w:footnoteRef/>
      </w:r>
      <w:r w:rsidRPr="00F16897">
        <w:rPr>
          <w:sz w:val="24"/>
          <w:szCs w:val="24"/>
          <w:lang w:val="fi-FI"/>
        </w:rPr>
        <w:t xml:space="preserve"> </w:t>
      </w:r>
      <w:r w:rsidRPr="00F16897">
        <w:rPr>
          <w:sz w:val="24"/>
          <w:szCs w:val="24"/>
          <w:lang w:val="fi-FI"/>
        </w:rPr>
        <w:tab/>
        <w:t>EUT L, 2024/442, 5.2.2024, ELI: http://data.europa.eu/eli/dec_impl/2024/442/oj.</w:t>
      </w:r>
    </w:p>
  </w:footnote>
  <w:footnote w:id="9">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Kommissionens förslag av den 7 december 2022 till Europaparlamentets och rådets direktiv om standarder för likabehandlingsorgan på området likabehandling av och lika möjligheter för kvinnor och män i fråga om anställning och yrke och om strykning av artikel 20 i direktiv 2006/54/EG och artikel 11 i direktiv 2010/41/EU (COM(2022)0688).</w:t>
      </w:r>
    </w:p>
  </w:footnote>
  <w:footnote w:id="10">
    <w:p w:rsidR="00C55DE7" w:rsidRPr="00F16897"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 xml:space="preserve">Rådets direktiv 2000/78/EG av den 27 november 2000 om inrättande av en allmän ram för likabehandling i arbetslivet (EGT L 303, 2.12.2000, s. 16). </w:t>
      </w:r>
    </w:p>
  </w:footnote>
  <w:footnote w:id="11">
    <w:p w:rsidR="008D127A" w:rsidRPr="00F16897" w:rsidRDefault="008D127A" w:rsidP="00F16897">
      <w:pPr>
        <w:pStyle w:val="FootnoteText"/>
        <w:ind w:left="567" w:hanging="567"/>
        <w:rPr>
          <w:lang w:val="sv-SE"/>
        </w:rPr>
      </w:pPr>
      <w:r w:rsidRPr="00F16897">
        <w:rPr>
          <w:rStyle w:val="FootnoteReference"/>
        </w:rPr>
        <w:footnoteRef/>
      </w:r>
      <w:r w:rsidRPr="00F16897">
        <w:rPr>
          <w:lang w:val="sv-SE"/>
        </w:rPr>
        <w:t xml:space="preserve"> </w:t>
      </w:r>
      <w:r w:rsidRPr="00F16897">
        <w:rPr>
          <w:lang w:val="sv-SE"/>
        </w:rPr>
        <w:tab/>
      </w:r>
      <w:r w:rsidRPr="00F16897">
        <w:rPr>
          <w:sz w:val="24"/>
          <w:szCs w:val="24"/>
          <w:lang w:val="sv-SE"/>
        </w:rPr>
        <w:t>Europaparlamentets och rådets förordning (EU) 2019/788 av den 17 april 2019 om det europeiska medborgarinitiativet (EUT L 130, 17.5.2019, s. 55).</w:t>
      </w:r>
    </w:p>
  </w:footnote>
  <w:footnote w:id="12">
    <w:p w:rsidR="00C55DE7" w:rsidRPr="002B798A" w:rsidRDefault="00C55DE7" w:rsidP="002B798A">
      <w:pPr>
        <w:pStyle w:val="FootnoteText"/>
        <w:ind w:left="567" w:hanging="567"/>
        <w:rPr>
          <w:sz w:val="24"/>
          <w:lang w:val="sv-SE"/>
        </w:rPr>
      </w:pPr>
      <w:r w:rsidRPr="00F16897">
        <w:rPr>
          <w:rStyle w:val="FootnoteReference"/>
          <w:sz w:val="24"/>
          <w:lang w:val="sv-SE"/>
        </w:rPr>
        <w:footnoteRef/>
      </w:r>
      <w:r w:rsidR="002B798A" w:rsidRPr="00F16897">
        <w:rPr>
          <w:sz w:val="24"/>
          <w:lang w:val="sv-SE"/>
        </w:rPr>
        <w:t xml:space="preserve"> </w:t>
      </w:r>
      <w:r w:rsidR="002B798A" w:rsidRPr="00F16897">
        <w:rPr>
          <w:sz w:val="24"/>
          <w:lang w:val="sv-SE"/>
        </w:rPr>
        <w:tab/>
      </w:r>
      <w:r w:rsidRPr="00F16897">
        <w:rPr>
          <w:sz w:val="24"/>
          <w:lang w:val="sv-SE"/>
        </w:rPr>
        <w:t xml:space="preserve">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 </w:t>
      </w:r>
      <w:r w:rsidR="00BF5932" w:rsidRPr="00F16897">
        <w:rPr>
          <w:sz w:val="24"/>
          <w:lang w:val="sv-SE"/>
        </w:rPr>
        <w:t>(</w:t>
      </w:r>
      <w:r w:rsidRPr="00F16897">
        <w:rPr>
          <w:sz w:val="24"/>
          <w:lang w:val="sv-SE"/>
        </w:rPr>
        <w:t>EUT L 231, 30.6.2021, s. 159</w:t>
      </w:r>
      <w:r w:rsidR="00BF5932" w:rsidRPr="00F16897">
        <w:rPr>
          <w:sz w:val="24"/>
          <w:lang w:val="sv-SE"/>
        </w:rPr>
        <w:t>)</w:t>
      </w:r>
      <w:r w:rsidRPr="00F16897">
        <w:rPr>
          <w:sz w:val="24"/>
          <w:lang w:val="sv-S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SV"/>
    <w:docVar w:name="dvnumam" w:val="0"/>
    <w:docVar w:name="dvpe" w:val="756.097"/>
    <w:docVar w:name="dvrapporteur" w:val="Föredragande: "/>
    <w:docVar w:name="dvtitre" w:val="Europaparlamentets resolution av den xx xx 2024 om genomförandet av EU:s jämlikhetsstrategi för hbtqi-personer 2020–2025(2023/2082(INI))"/>
  </w:docVars>
  <w:rsids>
    <w:rsidRoot w:val="00BE5524"/>
    <w:rsid w:val="00002272"/>
    <w:rsid w:val="00064002"/>
    <w:rsid w:val="000677B9"/>
    <w:rsid w:val="000831BA"/>
    <w:rsid w:val="000A42CC"/>
    <w:rsid w:val="000E7DD9"/>
    <w:rsid w:val="0010095E"/>
    <w:rsid w:val="00125B37"/>
    <w:rsid w:val="0016169C"/>
    <w:rsid w:val="00187494"/>
    <w:rsid w:val="001E0441"/>
    <w:rsid w:val="001F32AE"/>
    <w:rsid w:val="00250810"/>
    <w:rsid w:val="002767FF"/>
    <w:rsid w:val="002B18FE"/>
    <w:rsid w:val="002B5493"/>
    <w:rsid w:val="002B798A"/>
    <w:rsid w:val="00322F5C"/>
    <w:rsid w:val="00343214"/>
    <w:rsid w:val="00361C00"/>
    <w:rsid w:val="00395FA1"/>
    <w:rsid w:val="003E15D4"/>
    <w:rsid w:val="00411CCE"/>
    <w:rsid w:val="004146A2"/>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141D"/>
    <w:rsid w:val="006631B6"/>
    <w:rsid w:val="0066493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27A"/>
    <w:rsid w:val="00930AC3"/>
    <w:rsid w:val="00930C23"/>
    <w:rsid w:val="0093193B"/>
    <w:rsid w:val="009509D8"/>
    <w:rsid w:val="00950B64"/>
    <w:rsid w:val="00981893"/>
    <w:rsid w:val="009D6FB4"/>
    <w:rsid w:val="00A0052C"/>
    <w:rsid w:val="00A1687D"/>
    <w:rsid w:val="00A43E52"/>
    <w:rsid w:val="00A44EA8"/>
    <w:rsid w:val="00A4678D"/>
    <w:rsid w:val="00A778C7"/>
    <w:rsid w:val="00AB441E"/>
    <w:rsid w:val="00AB6293"/>
    <w:rsid w:val="00AE0928"/>
    <w:rsid w:val="00AF3B82"/>
    <w:rsid w:val="00B12E95"/>
    <w:rsid w:val="00B22876"/>
    <w:rsid w:val="00B44F7D"/>
    <w:rsid w:val="00B558F0"/>
    <w:rsid w:val="00BD48FE"/>
    <w:rsid w:val="00BD7BD8"/>
    <w:rsid w:val="00BE5524"/>
    <w:rsid w:val="00BE6ADC"/>
    <w:rsid w:val="00BF5932"/>
    <w:rsid w:val="00C05BFE"/>
    <w:rsid w:val="00C23CD4"/>
    <w:rsid w:val="00C55DE7"/>
    <w:rsid w:val="00C61C0C"/>
    <w:rsid w:val="00C941CB"/>
    <w:rsid w:val="00CC2357"/>
    <w:rsid w:val="00CF071A"/>
    <w:rsid w:val="00D058B8"/>
    <w:rsid w:val="00D56C11"/>
    <w:rsid w:val="00D834A0"/>
    <w:rsid w:val="00D872DF"/>
    <w:rsid w:val="00D91E21"/>
    <w:rsid w:val="00D9228E"/>
    <w:rsid w:val="00DA7FCD"/>
    <w:rsid w:val="00DB380A"/>
    <w:rsid w:val="00E365E1"/>
    <w:rsid w:val="00E820A4"/>
    <w:rsid w:val="00E908EE"/>
    <w:rsid w:val="00EB006A"/>
    <w:rsid w:val="00EB4772"/>
    <w:rsid w:val="00ED169E"/>
    <w:rsid w:val="00ED4235"/>
    <w:rsid w:val="00F04346"/>
    <w:rsid w:val="00F075DC"/>
    <w:rsid w:val="00F149E9"/>
    <w:rsid w:val="00F1689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1272A"/>
  <w15:chartTrackingRefBased/>
  <w15:docId w15:val="{0F640224-1921-4B8C-80C7-5D6516FF4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5DE7"/>
    <w:pPr>
      <w:spacing w:after="240"/>
      <w:ind w:left="567" w:hanging="567"/>
    </w:pPr>
  </w:style>
  <w:style w:type="paragraph" w:customStyle="1" w:styleId="EPComma">
    <w:name w:val="EPComma"/>
    <w:basedOn w:val="Normal"/>
    <w:rsid w:val="00C55DE7"/>
    <w:pPr>
      <w:spacing w:before="480" w:after="240"/>
    </w:pPr>
  </w:style>
  <w:style w:type="paragraph" w:styleId="BalloonText">
    <w:name w:val="Balloon Text"/>
    <w:basedOn w:val="Normal"/>
    <w:link w:val="BalloonTextChar"/>
    <w:rsid w:val="00930AC3"/>
    <w:rPr>
      <w:rFonts w:ascii="Segoe UI" w:hAnsi="Segoe UI" w:cs="Segoe UI"/>
      <w:sz w:val="18"/>
      <w:szCs w:val="18"/>
    </w:rPr>
  </w:style>
  <w:style w:type="character" w:customStyle="1" w:styleId="BalloonTextChar">
    <w:name w:val="Balloon Text Char"/>
    <w:basedOn w:val="DefaultParagraphFont"/>
    <w:link w:val="BalloonText"/>
    <w:rsid w:val="00930AC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31124-D709-4AB1-B543-0C902A600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4209</Words>
  <Characters>29074</Characters>
  <Application>Microsoft Office Word</Application>
  <DocSecurity>4</DocSecurity>
  <Lines>242</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Lukas Lemcke</cp:lastModifiedBy>
  <cp:revision>2</cp:revision>
  <cp:lastPrinted>2004-11-19T15:42:00Z</cp:lastPrinted>
  <dcterms:created xsi:type="dcterms:W3CDTF">2024-06-14T09:11:00Z</dcterms:created>
  <dcterms:modified xsi:type="dcterms:W3CDTF">2024-06-14T09:11:00Z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A9-0030/2024</vt:lpwstr>
  </property>
  <property fmtid="{D5CDD505-2E9C-101B-9397-08002B2CF9AE}" pid="4" name="&lt;Type&gt;">
    <vt:lpwstr>RR</vt:lpwstr>
  </property>
</Properties>
</file>