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58EF" w:rsidTr="0010095E">
        <w:trPr>
          <w:trHeight w:hRule="exact" w:val="1418"/>
        </w:trPr>
        <w:tc>
          <w:tcPr>
            <w:tcW w:w="6804" w:type="dxa"/>
            <w:shd w:val="clear" w:color="auto" w:fill="auto"/>
            <w:vAlign w:val="center"/>
          </w:tcPr>
          <w:p w:rsidR="00751A4A" w:rsidRPr="000C58EF" w:rsidRDefault="00C77609" w:rsidP="0010095E">
            <w:pPr>
              <w:pStyle w:val="EPName"/>
            </w:pPr>
            <w:r w:rsidRPr="000C58EF">
              <w:t>Европейски</w:t>
            </w:r>
            <w:r w:rsidR="00203D81" w:rsidRPr="000C58EF">
              <w:t xml:space="preserve"> парламент</w:t>
            </w:r>
          </w:p>
          <w:p w:rsidR="00751A4A" w:rsidRPr="000C58EF" w:rsidRDefault="00817416" w:rsidP="00756632">
            <w:pPr>
              <w:pStyle w:val="EPTerm"/>
              <w:rPr>
                <w:rStyle w:val="HideTWBExt"/>
                <w:noProof w:val="0"/>
                <w:vanish w:val="0"/>
                <w:color w:val="auto"/>
              </w:rPr>
            </w:pPr>
            <w:r w:rsidRPr="000C58EF">
              <w:t>2019</w:t>
            </w:r>
            <w:r w:rsidR="00C77609">
              <w:t> – </w:t>
            </w:r>
            <w:r w:rsidRPr="000C58EF">
              <w:t>2024</w:t>
            </w:r>
          </w:p>
        </w:tc>
        <w:tc>
          <w:tcPr>
            <w:tcW w:w="2268" w:type="dxa"/>
            <w:shd w:val="clear" w:color="auto" w:fill="auto"/>
          </w:tcPr>
          <w:p w:rsidR="00751A4A" w:rsidRPr="000C58EF" w:rsidRDefault="00187494" w:rsidP="0010095E">
            <w:pPr>
              <w:pStyle w:val="EPLogo"/>
            </w:pPr>
            <w:r w:rsidRPr="000C58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58EF" w:rsidRDefault="00D058B8" w:rsidP="004C5D52">
      <w:pPr>
        <w:pStyle w:val="LineTop"/>
      </w:pPr>
    </w:p>
    <w:p w:rsidR="00680577" w:rsidRPr="000C58EF" w:rsidRDefault="00203D81" w:rsidP="00680577">
      <w:pPr>
        <w:pStyle w:val="EPBodyTA1"/>
      </w:pPr>
      <w:r w:rsidRPr="000C58EF">
        <w:t>ПРИЕТИ ТЕКСТОВЕ</w:t>
      </w:r>
    </w:p>
    <w:p w:rsidR="00D058B8" w:rsidRPr="000C58EF" w:rsidRDefault="00D058B8" w:rsidP="00D058B8">
      <w:pPr>
        <w:pStyle w:val="LineBottom"/>
      </w:pPr>
    </w:p>
    <w:p w:rsidR="00203D81" w:rsidRPr="000C58EF" w:rsidRDefault="00203D81" w:rsidP="00203D81">
      <w:pPr>
        <w:pStyle w:val="ATHeading1"/>
      </w:pPr>
      <w:bookmarkStart w:id="0" w:name="TANumber"/>
      <w:r w:rsidRPr="000C58EF">
        <w:t>P9_TA(2024)00</w:t>
      </w:r>
      <w:r w:rsidR="00CE2F0B">
        <w:t>77</w:t>
      </w:r>
      <w:bookmarkStart w:id="1" w:name="_GoBack"/>
      <w:bookmarkEnd w:id="0"/>
      <w:bookmarkEnd w:id="1"/>
    </w:p>
    <w:p w:rsidR="00203D81" w:rsidRPr="000C58EF" w:rsidRDefault="00203D81" w:rsidP="00203D81">
      <w:pPr>
        <w:pStyle w:val="ATHeading2"/>
      </w:pPr>
      <w:bookmarkStart w:id="2" w:name="title"/>
      <w:r w:rsidRPr="000C58EF">
        <w:t>Споразумения за асоцииране за участието на трети държави в програми на Съюза</w:t>
      </w:r>
      <w:bookmarkEnd w:id="2"/>
    </w:p>
    <w:p w:rsidR="00203D81" w:rsidRPr="000C58EF" w:rsidRDefault="00203D81" w:rsidP="00203D81">
      <w:pPr>
        <w:rPr>
          <w:i/>
          <w:vanish/>
        </w:rPr>
      </w:pPr>
      <w:r w:rsidRPr="000C58EF">
        <w:rPr>
          <w:i/>
        </w:rPr>
        <w:fldChar w:fldCharType="begin"/>
      </w:r>
      <w:r w:rsidRPr="000C58EF">
        <w:rPr>
          <w:i/>
        </w:rPr>
        <w:instrText xml:space="preserve"> TC"(</w:instrText>
      </w:r>
      <w:bookmarkStart w:id="3" w:name="DocNumber"/>
      <w:r w:rsidRPr="000C58EF">
        <w:rPr>
          <w:i/>
        </w:rPr>
        <w:instrText>B9-0096/2024</w:instrText>
      </w:r>
      <w:bookmarkEnd w:id="3"/>
      <w:r w:rsidRPr="000C58EF">
        <w:rPr>
          <w:i/>
        </w:rPr>
        <w:instrText xml:space="preserve">)"\l3 \n&gt; \* MERGEFORMAT </w:instrText>
      </w:r>
      <w:r w:rsidRPr="000C58EF">
        <w:rPr>
          <w:i/>
        </w:rPr>
        <w:fldChar w:fldCharType="end"/>
      </w:r>
    </w:p>
    <w:p w:rsidR="00203D81" w:rsidRPr="000C58EF" w:rsidRDefault="00203D81" w:rsidP="00203D81">
      <w:pPr>
        <w:rPr>
          <w:vanish/>
        </w:rPr>
      </w:pPr>
      <w:bookmarkStart w:id="4" w:name="PE"/>
      <w:r w:rsidRPr="000C58EF">
        <w:rPr>
          <w:vanish/>
        </w:rPr>
        <w:t>PE758.017</w:t>
      </w:r>
      <w:bookmarkEnd w:id="4"/>
    </w:p>
    <w:p w:rsidR="00203D81" w:rsidRPr="000C58EF" w:rsidRDefault="00203D81" w:rsidP="00C77609">
      <w:pPr>
        <w:pStyle w:val="ATHeading3"/>
      </w:pPr>
      <w:bookmarkStart w:id="5" w:name="Sujet"/>
      <w:r w:rsidRPr="000C58EF">
        <w:t xml:space="preserve">Резолюция на Европейския парламент от </w:t>
      </w:r>
      <w:r w:rsidR="00C77609">
        <w:t>8</w:t>
      </w:r>
      <w:r w:rsidRPr="000C58EF">
        <w:t xml:space="preserve"> </w:t>
      </w:r>
      <w:r w:rsidR="00C77609">
        <w:t xml:space="preserve">февруари </w:t>
      </w:r>
      <w:r w:rsidRPr="000C58EF">
        <w:t>2024 г. относно споразуменията за асоцииране за участието на трети държави в програми на Съюза</w:t>
      </w:r>
      <w:bookmarkEnd w:id="5"/>
      <w:r w:rsidRPr="000C58EF">
        <w:t xml:space="preserve"> </w:t>
      </w:r>
      <w:bookmarkStart w:id="6" w:name="References"/>
      <w:r w:rsidRPr="000C58EF">
        <w:t>(2023/3018(RSP))</w:t>
      </w:r>
      <w:bookmarkEnd w:id="6"/>
    </w:p>
    <w:p w:rsidR="00005419" w:rsidRPr="000C58EF" w:rsidRDefault="00005419" w:rsidP="00005419">
      <w:pPr>
        <w:pStyle w:val="EPComma"/>
      </w:pPr>
      <w:bookmarkStart w:id="7" w:name="TextBodyBegin"/>
      <w:bookmarkEnd w:id="7"/>
      <w:r w:rsidRPr="000C58EF">
        <w:rPr>
          <w:i/>
        </w:rPr>
        <w:t>Европейският парламент</w:t>
      </w:r>
      <w:r w:rsidRPr="000C58EF">
        <w:t>,</w:t>
      </w:r>
    </w:p>
    <w:p w:rsidR="00005419" w:rsidRPr="000C58EF" w:rsidRDefault="00005419" w:rsidP="00005419">
      <w:pPr>
        <w:pStyle w:val="NormalHanging12a"/>
      </w:pPr>
      <w:r w:rsidRPr="000C58EF">
        <w:t>–</w:t>
      </w:r>
      <w:r w:rsidRPr="000C58EF">
        <w:tab/>
        <w:t>като взе предвид Договора за функционирането на Европейския съюз (ДФЕС), и по-специално член 218 от него,</w:t>
      </w:r>
    </w:p>
    <w:p w:rsidR="00005419" w:rsidRPr="000C58EF" w:rsidRDefault="00005419" w:rsidP="00005419">
      <w:pPr>
        <w:pStyle w:val="NormalHanging12a"/>
      </w:pPr>
      <w:r w:rsidRPr="000C58EF">
        <w:t>–</w:t>
      </w:r>
      <w:r w:rsidRPr="000C58EF">
        <w:tab/>
        <w:t>като взе предвид Регламент (ЕС) 2021/695 на Европейския парламент и на Съвета от 28 април 2021 г. за създаване на Рамковата програма за научни изследвания и иновации „Хоризонт Европа“, за определяне на нейните правила за участие и разпространение на резултатите и за отмяна на регламенти (ЕС) № 1290/2013 и (ЕС) № 1291/2013</w:t>
      </w:r>
      <w:r w:rsidRPr="000C58EF">
        <w:rPr>
          <w:rStyle w:val="FootnoteReference"/>
          <w:rFonts w:eastAsiaTheme="minorHAnsi"/>
        </w:rPr>
        <w:footnoteReference w:id="1"/>
      </w:r>
      <w:r w:rsidRPr="000C58EF">
        <w:t xml:space="preserve"> (Регламента за „Хоризонт Европа“) и заявлението относно споразумения за асоцииране, направено в позицията на Парламента на първо четене от 17 април 2019 г. относно този регламент</w:t>
      </w:r>
      <w:r w:rsidRPr="000C58EF">
        <w:rPr>
          <w:rStyle w:val="FootnoteReference"/>
          <w:rFonts w:eastAsiaTheme="minorHAnsi"/>
        </w:rPr>
        <w:footnoteReference w:id="2"/>
      </w:r>
      <w:r w:rsidRPr="000C58EF">
        <w:t>,</w:t>
      </w:r>
    </w:p>
    <w:p w:rsidR="00005419" w:rsidRPr="000C58EF" w:rsidRDefault="00005419" w:rsidP="00005419">
      <w:pPr>
        <w:pStyle w:val="NormalHanging12a"/>
      </w:pPr>
      <w:r w:rsidRPr="000C58EF">
        <w:t>–</w:t>
      </w:r>
      <w:r w:rsidRPr="000C58EF">
        <w:tab/>
        <w:t>като взе предвид Споразумението за партньорство по въпросите на отношенията и сътрудничеството между Европейския съюз и неговите държави членки, от една страна, и Нова Зеландия, от друга страна</w:t>
      </w:r>
      <w:r w:rsidRPr="000C58EF">
        <w:rPr>
          <w:rStyle w:val="FootnoteReference"/>
          <w:rFonts w:eastAsiaTheme="minorHAnsi"/>
        </w:rPr>
        <w:footnoteReference w:id="3"/>
      </w:r>
      <w:r w:rsidRPr="000C58EF">
        <w:t>,</w:t>
      </w:r>
    </w:p>
    <w:p w:rsidR="00005419" w:rsidRPr="000C58EF" w:rsidRDefault="00005419" w:rsidP="00005419">
      <w:pPr>
        <w:pStyle w:val="NormalHanging12a"/>
      </w:pPr>
      <w:r w:rsidRPr="000C58EF">
        <w:t>–</w:t>
      </w:r>
      <w:r w:rsidRPr="000C58EF">
        <w:tab/>
        <w:t>като взе предвид проекта на споразумение между Европейския съюз, от една страна, и Нова Зеландия, от друга страна, относно участието на Нова Зеландия в програми на Съюза</w:t>
      </w:r>
      <w:r w:rsidRPr="000C58EF">
        <w:rPr>
          <w:rStyle w:val="FootnoteReference"/>
          <w:rFonts w:eastAsiaTheme="minorHAnsi"/>
        </w:rPr>
        <w:footnoteReference w:id="4"/>
      </w:r>
      <w:r w:rsidRPr="000C58EF">
        <w:t>,</w:t>
      </w:r>
    </w:p>
    <w:p w:rsidR="00005419" w:rsidRPr="000C58EF" w:rsidRDefault="00005419" w:rsidP="00005419">
      <w:pPr>
        <w:pStyle w:val="NormalHanging12a"/>
      </w:pPr>
      <w:r w:rsidRPr="000C58EF">
        <w:lastRenderedPageBreak/>
        <w:t>–</w:t>
      </w:r>
      <w:r w:rsidRPr="000C58EF">
        <w:tab/>
        <w:t>като взе предвид проекта на споразумение между Европейския съюз, от една страна, и правителството на Фарьорските острови, от друга страна, относно участието на Фарьорските острови в програми на Съюза</w:t>
      </w:r>
      <w:r w:rsidRPr="000C58EF">
        <w:rPr>
          <w:rStyle w:val="FootnoteReference"/>
          <w:rFonts w:eastAsiaTheme="minorHAnsi"/>
        </w:rPr>
        <w:footnoteReference w:id="5"/>
      </w:r>
      <w:r w:rsidRPr="000C58EF">
        <w:t>,</w:t>
      </w:r>
    </w:p>
    <w:p w:rsidR="00005419" w:rsidRPr="000C58EF" w:rsidRDefault="00005419" w:rsidP="00005419">
      <w:pPr>
        <w:pStyle w:val="NormalHanging12a"/>
      </w:pPr>
      <w:r w:rsidRPr="000C58EF">
        <w:t>–</w:t>
      </w:r>
      <w:r w:rsidRPr="000C58EF">
        <w:tab/>
        <w:t>като взе предвид Решение на Съвета (ЕС) 2022/1526 от 9 септември 2022 г. за разрешаване на започването на преговори с Канада за споразумение относно общите принципи за участието на Канада в програми на Съюза и асоциирането на Канада към Рамковата програма за научни изследвания и иновации „Хоризонт Европа“ (2021 – 2027 г.)</w:t>
      </w:r>
      <w:r w:rsidRPr="000C58EF">
        <w:rPr>
          <w:rStyle w:val="FootnoteReference"/>
          <w:rFonts w:eastAsiaTheme="minorHAnsi"/>
        </w:rPr>
        <w:footnoteReference w:id="6"/>
      </w:r>
      <w:r w:rsidRPr="000C58EF">
        <w:t>,</w:t>
      </w:r>
    </w:p>
    <w:p w:rsidR="00005419" w:rsidRPr="000C58EF" w:rsidRDefault="00005419" w:rsidP="00005419">
      <w:pPr>
        <w:pStyle w:val="NormalHanging12a"/>
      </w:pPr>
      <w:r w:rsidRPr="000C58EF">
        <w:t>–</w:t>
      </w:r>
      <w:r w:rsidRPr="000C58EF">
        <w:tab/>
        <w:t>като взе предвид Решение на Съвета (ЕС) 2023/1081 от 15 май 2023 г. за разрешаване на започването на преговори с Япония за споразумение относно общите принципи за участието на Япония в програми на Съюза и асоциирането на Япония към „Хоризонт Европа“ — рамковата програма на ЕС за научни изследвания и иновации (2021—2027 г.)</w:t>
      </w:r>
      <w:r w:rsidRPr="000C58EF">
        <w:rPr>
          <w:rStyle w:val="FootnoteReference"/>
          <w:rFonts w:eastAsiaTheme="minorHAnsi"/>
        </w:rPr>
        <w:footnoteReference w:id="7"/>
      </w:r>
      <w:r w:rsidRPr="000C58EF">
        <w:t>,</w:t>
      </w:r>
    </w:p>
    <w:p w:rsidR="00005419" w:rsidRPr="000C58EF" w:rsidRDefault="00005419" w:rsidP="00005419">
      <w:pPr>
        <w:pStyle w:val="NormalHanging12a"/>
      </w:pPr>
      <w:r w:rsidRPr="000C58EF">
        <w:t>–</w:t>
      </w:r>
      <w:r w:rsidRPr="000C58EF">
        <w:tab/>
        <w:t>като взе предвид Решение на Съвета (ЕС) 2023/1093 от 15 май 2023 г. за разрешаване на започването на преговори с Република Корея за Споразумение относно общите принципи за участие на Република Корея в програмите на Съюза и относно асоциирането на Република Корея към „Хоризонт Европа“ –</w:t>
      </w:r>
      <w:r w:rsidRPr="000C58EF">
        <w:tab/>
        <w:t>Рамкова програма за научни изследвания и иновации (2021 – 2027 г.)</w:t>
      </w:r>
      <w:r w:rsidRPr="000C58EF">
        <w:rPr>
          <w:rStyle w:val="FootnoteReference"/>
          <w:rFonts w:eastAsiaTheme="minorHAnsi"/>
        </w:rPr>
        <w:footnoteReference w:id="8"/>
      </w:r>
      <w:r w:rsidRPr="000C58EF">
        <w:t>,</w:t>
      </w:r>
    </w:p>
    <w:p w:rsidR="00005419" w:rsidRPr="000C58EF" w:rsidRDefault="00005419" w:rsidP="00005419">
      <w:pPr>
        <w:pStyle w:val="NormalHanging12a"/>
      </w:pPr>
      <w:r w:rsidRPr="000C58EF">
        <w:t>–</w:t>
      </w:r>
      <w:r w:rsidRPr="000C58EF">
        <w:tab/>
        <w:t>като взе предвид Рамковото споразумение за отношенията между Европейския парламент и Европейската комисия от 20 ноември 2010 г.</w:t>
      </w:r>
      <w:r w:rsidRPr="000C58EF">
        <w:rPr>
          <w:rStyle w:val="FootnoteReference"/>
          <w:rFonts w:eastAsiaTheme="minorHAnsi"/>
        </w:rPr>
        <w:footnoteReference w:id="9"/>
      </w:r>
      <w:r w:rsidRPr="000C58EF">
        <w:t>,</w:t>
      </w:r>
    </w:p>
    <w:p w:rsidR="00005419" w:rsidRPr="000C58EF" w:rsidRDefault="00005419" w:rsidP="00005419">
      <w:pPr>
        <w:pStyle w:val="NormalHanging12a"/>
      </w:pPr>
      <w:r w:rsidRPr="000C58EF">
        <w:t>–</w:t>
      </w:r>
      <w:r w:rsidRPr="000C58EF">
        <w:tab/>
        <w:t>като взе предвид въпроса до Комисията относно споразуменията за асоцииране за участието на трети държави в програми на Съюза (O-000004/2024 – B9-000</w:t>
      </w:r>
      <w:r w:rsidR="00736260">
        <w:t>9</w:t>
      </w:r>
      <w:r w:rsidRPr="000C58EF">
        <w:t>/2024),</w:t>
      </w:r>
    </w:p>
    <w:p w:rsidR="00005419" w:rsidRPr="000C58EF" w:rsidRDefault="00005419" w:rsidP="00005419">
      <w:pPr>
        <w:pStyle w:val="NormalHanging12a"/>
      </w:pPr>
      <w:r w:rsidRPr="000C58EF">
        <w:t>–</w:t>
      </w:r>
      <w:r w:rsidRPr="000C58EF">
        <w:tab/>
        <w:t>като взе предвид член 136, параграф 5 и член 132, параграф 2 от своя Правилник за дейността,</w:t>
      </w:r>
    </w:p>
    <w:p w:rsidR="00005419" w:rsidRPr="000C58EF" w:rsidRDefault="00005419" w:rsidP="00005419">
      <w:pPr>
        <w:pStyle w:val="NormalHanging12a"/>
      </w:pPr>
      <w:r w:rsidRPr="000C58EF">
        <w:t>–</w:t>
      </w:r>
      <w:r w:rsidRPr="000C58EF">
        <w:tab/>
        <w:t>като взе предвид предложението за резолюция на комисията по външни работи и комисията по промишленост, изследвания и енергетика,</w:t>
      </w:r>
    </w:p>
    <w:p w:rsidR="00005419" w:rsidRPr="000C58EF" w:rsidRDefault="00005419" w:rsidP="00005419">
      <w:pPr>
        <w:pStyle w:val="NormalHanging12a"/>
        <w:rPr>
          <w:b/>
          <w:i/>
        </w:rPr>
      </w:pPr>
      <w:r w:rsidRPr="000C58EF">
        <w:rPr>
          <w:b/>
          <w:i/>
        </w:rPr>
        <w:t>Общи съображения</w:t>
      </w:r>
    </w:p>
    <w:p w:rsidR="00005419" w:rsidRPr="000C58EF" w:rsidRDefault="00005419" w:rsidP="00005419">
      <w:pPr>
        <w:pStyle w:val="NormalHanging12a"/>
      </w:pPr>
      <w:r w:rsidRPr="000C58EF">
        <w:t>1.</w:t>
      </w:r>
      <w:r w:rsidRPr="000C58EF">
        <w:tab/>
        <w:t>признава потенциала за обогатяване на постиженията на програмите на Съюза чрез активно и взаимноизгодно сътрудничество с трети държави, които споделят общи демократични ценности с ЕС;</w:t>
      </w:r>
    </w:p>
    <w:p w:rsidR="00005419" w:rsidRPr="000C58EF" w:rsidRDefault="00005419" w:rsidP="00005419">
      <w:pPr>
        <w:pStyle w:val="NormalHanging12a"/>
      </w:pPr>
      <w:r w:rsidRPr="000C58EF">
        <w:t>2.</w:t>
      </w:r>
      <w:r w:rsidRPr="000C58EF">
        <w:tab/>
        <w:t>признава „Хоризонт Европа“ за най-голямата програма за съвместни научни изследвания и иновации в света за периода 2021—2027 г.;</w:t>
      </w:r>
    </w:p>
    <w:p w:rsidR="00005419" w:rsidRPr="000C58EF" w:rsidRDefault="00005419" w:rsidP="00005419">
      <w:pPr>
        <w:pStyle w:val="NormalHanging12a"/>
      </w:pPr>
      <w:r w:rsidRPr="000C58EF">
        <w:t>3.</w:t>
      </w:r>
      <w:r w:rsidRPr="000C58EF">
        <w:tab/>
        <w:t xml:space="preserve">подкрепя асоциирането към „Хоризонт Европа“ на трети държави, които имат добър капацитет в областта на науката, технологиите и иновациите, и признава, че </w:t>
      </w:r>
      <w:r w:rsidRPr="000C58EF">
        <w:lastRenderedPageBreak/>
        <w:t>това сътрудничество допринася за цялостната сила и ефективност на външната дейност на ЕС; насърчава Комисията да търси и сключва други споразумения за асоцииране с трети държави, тъй като това увеличава конкурентоспособността на ЕС на световната сцена;  подчертава необходимостта да се гарантира, че всички съответни споразумения за асоцииране спазват целите на „Хоризонт Европа“ в областта на климата;</w:t>
      </w:r>
    </w:p>
    <w:p w:rsidR="00005419" w:rsidRPr="000C58EF" w:rsidRDefault="00005419" w:rsidP="00005419">
      <w:pPr>
        <w:pStyle w:val="NormalHanging12a"/>
        <w:rPr>
          <w:i/>
        </w:rPr>
      </w:pPr>
      <w:r w:rsidRPr="000C58EF">
        <w:t>4.</w:t>
      </w:r>
      <w:r w:rsidRPr="000C58EF">
        <w:tab/>
        <w:t>подчертава, че асоциирането на трети държави към програмите на ЕС не е чисто технически акт, а по-скоро политическо решение относно отношенията на асоциираните държави с ЕС и – по-специално за „Хоризонт Европа“ – въпроса за научната и академичната свобода;</w:t>
      </w:r>
    </w:p>
    <w:p w:rsidR="00005419" w:rsidRPr="000C58EF" w:rsidRDefault="00005419" w:rsidP="00005419">
      <w:pPr>
        <w:pStyle w:val="NormalHanging12a"/>
      </w:pPr>
      <w:r w:rsidRPr="000C58EF">
        <w:t>5.</w:t>
      </w:r>
      <w:r w:rsidRPr="000C58EF">
        <w:tab/>
        <w:t xml:space="preserve">признава правилата, определени в Договорите, които трябва да бъдат спазвани в съответствие с принципите на правовата държава, за да се запази институционалният баланс, и ролята, отредена на Парламента; счита, че принципът на лоялно сътрудничество трябва да бъде зачитан, като се гарантира, че всички институции на ЕС се подпомагат взаимно при изпълнението на задачите, произтичащи от Договорите, включително за да се гарантира, че се обръща по-голямо внимание на гледната точка на Парламента като пряк представител на гражданите на ЕС; </w:t>
      </w:r>
    </w:p>
    <w:p w:rsidR="00005419" w:rsidRPr="000C58EF" w:rsidRDefault="00005419" w:rsidP="00005419">
      <w:pPr>
        <w:pStyle w:val="NormalHanging12a"/>
      </w:pPr>
      <w:r w:rsidRPr="000C58EF">
        <w:t>6.</w:t>
      </w:r>
      <w:r w:rsidRPr="000C58EF">
        <w:tab/>
        <w:t>поставя под въпрос подхода на Комисията по отношение на сключването на международни споразумения, посветени на участието на трети държави в програми на Съюза, което възпрепятства упражняването от страна на Парламента на неговите прерогативи в рамките на процедурите за сключване на международни споразумения на Съюза;</w:t>
      </w:r>
    </w:p>
    <w:p w:rsidR="00005419" w:rsidRPr="000C58EF" w:rsidRDefault="00005419" w:rsidP="00005419">
      <w:pPr>
        <w:pStyle w:val="NormalHanging12a"/>
      </w:pPr>
      <w:r w:rsidRPr="000C58EF">
        <w:t>7.</w:t>
      </w:r>
      <w:r w:rsidRPr="000C58EF">
        <w:tab/>
        <w:t>настоятелно призовава Комисията и Съвета да вземат изцяло предвид ролята на Парламента при сключването на споразумения за асоцииране, които следват тази нова структура, в съответствие с Договорите;</w:t>
      </w:r>
    </w:p>
    <w:p w:rsidR="00005419" w:rsidRPr="000C58EF" w:rsidRDefault="00005419" w:rsidP="00005419">
      <w:pPr>
        <w:pStyle w:val="NormalHanging12a"/>
        <w:rPr>
          <w:i/>
        </w:rPr>
      </w:pPr>
      <w:r w:rsidRPr="000C58EF">
        <w:t>8.</w:t>
      </w:r>
      <w:r w:rsidRPr="000C58EF">
        <w:rPr>
          <w:i/>
        </w:rPr>
        <w:tab/>
      </w:r>
      <w:r w:rsidRPr="000C58EF">
        <w:t>подчертава, че способността му да дава съдържателно съгласие за международни споразумения, отнасящи се конкретно до участието на определени държави в програми на Съюза, е възпрепятствана от факта, че тези споразумения не предвиждат структура, която да гарантира парламентарен контрол в рамките на процедура за одобрение за асоцииране към конкретна програма на Съюза;</w:t>
      </w:r>
    </w:p>
    <w:p w:rsidR="00005419" w:rsidRPr="000C58EF" w:rsidRDefault="00005419" w:rsidP="00CE2F0B">
      <w:pPr>
        <w:pStyle w:val="NormalHanging12a"/>
        <w:ind w:left="0" w:firstLine="0"/>
        <w:rPr>
          <w:b/>
          <w:i/>
        </w:rPr>
      </w:pPr>
      <w:r w:rsidRPr="000C58EF">
        <w:rPr>
          <w:b/>
          <w:i/>
        </w:rPr>
        <w:t>Споразумения за сътрудничество и асоцииране между Нова Зеландия и Европейския съюз</w:t>
      </w:r>
    </w:p>
    <w:p w:rsidR="00005419" w:rsidRPr="000C58EF" w:rsidRDefault="00005419" w:rsidP="00005419">
      <w:pPr>
        <w:pStyle w:val="NormalHanging12a"/>
        <w:rPr>
          <w:i/>
        </w:rPr>
      </w:pPr>
      <w:r w:rsidRPr="000C58EF">
        <w:t>9.</w:t>
      </w:r>
      <w:r w:rsidRPr="000C58EF">
        <w:rPr>
          <w:i/>
        </w:rPr>
        <w:tab/>
      </w:r>
      <w:r w:rsidRPr="000C58EF">
        <w:t>признава силните исторически и културни връзки между ЕС и Нова Зеландия, както и отличното състояние на двустранните отношения между тях, които се основават на споделени демократични ценности и много общи интереси; оценява отличното сътрудничество в областта на търговията, външната политика, научните изследвания и иновациите и в рамките на многостранни форуми;</w:t>
      </w:r>
    </w:p>
    <w:p w:rsidR="00005419" w:rsidRPr="000C58EF" w:rsidRDefault="00005419" w:rsidP="00005419">
      <w:pPr>
        <w:pStyle w:val="NormalHanging12a"/>
      </w:pPr>
      <w:r w:rsidRPr="000C58EF">
        <w:t>10.</w:t>
      </w:r>
      <w:r w:rsidRPr="000C58EF">
        <w:tab/>
        <w:t xml:space="preserve">подчертава важната роля на Нова Зеландия като един от ключовите </w:t>
      </w:r>
      <w:proofErr w:type="spellStart"/>
      <w:r w:rsidRPr="000C58EF">
        <w:t>единомислещи</w:t>
      </w:r>
      <w:proofErr w:type="spellEnd"/>
      <w:r w:rsidRPr="000C58EF">
        <w:t xml:space="preserve"> партньори на ЕС в динамичния и стратегически и икономически важен Индийско-Тихоокеанския регион; призовава за по-задълбочено сътрудничество в области от взаимен интерес, особено в областта на външните работи; във връзка с това подчертава продължаващото сътрудничество в областта </w:t>
      </w:r>
      <w:r w:rsidRPr="000C58EF">
        <w:lastRenderedPageBreak/>
        <w:t>на сигурността между ЕС и Нова Зеландия, особено по отношение на операциите и мисиите в рамките на общата политика за сигурнос</w:t>
      </w:r>
      <w:r w:rsidR="00FA7B1D">
        <w:t>т и отбрана на ЕС;</w:t>
      </w:r>
      <w:r w:rsidRPr="000C58EF">
        <w:t xml:space="preserve"> припомня, че Нова Зеландия прие позиция, идентична с тази на ЕС, като осъди незаконното нашествие на Русия в Украйна и подкрепи Украйна чрез предоставяне на помощ и въвеждане на санкции срещу Русия;</w:t>
      </w:r>
    </w:p>
    <w:p w:rsidR="00005419" w:rsidRPr="000C58EF" w:rsidRDefault="00005419" w:rsidP="00005419">
      <w:pPr>
        <w:pStyle w:val="NormalHanging12a"/>
        <w:rPr>
          <w:i/>
        </w:rPr>
      </w:pPr>
      <w:r w:rsidRPr="000C58EF">
        <w:t>11</w:t>
      </w:r>
      <w:r w:rsidRPr="000C58EF">
        <w:rPr>
          <w:i/>
        </w:rPr>
        <w:t>.</w:t>
      </w:r>
      <w:r w:rsidRPr="000C58EF">
        <w:rPr>
          <w:i/>
        </w:rPr>
        <w:tab/>
      </w:r>
      <w:r w:rsidRPr="000C58EF">
        <w:t>подчертава освен това наскоро сключеното споразумение за свободна търговия между ЕС и Нова Зеландия, чиято цел е да укрепи още повече двустранните отношения и да либерализира и улесни търговията и инвестициите, като създава значителни взаимни ползи и икономически възможности за предприятията и потребителите и включва силни и обвързващи социални и екологични ангажименти, свързани с Парижкото споразумение относно изменението на климата; подчертава положителната роля, която европейската диаспора в Нова Зеландия може да играе за по-нататъшното задълбочаване на отношенията между Нова Зеландия и ЕС;</w:t>
      </w:r>
    </w:p>
    <w:p w:rsidR="00005419" w:rsidRPr="000C58EF" w:rsidRDefault="00005419" w:rsidP="00005419">
      <w:pPr>
        <w:pStyle w:val="NormalHanging12a"/>
      </w:pPr>
      <w:r w:rsidRPr="000C58EF">
        <w:t>12.</w:t>
      </w:r>
      <w:r w:rsidRPr="000C58EF">
        <w:tab/>
        <w:t>признава, че ЕС и Нова Зеландия имат дълга история на сътрудничество в областта на научните изследвания; подчертава, че Нова Зеландия има отлични резултати по отношение на участието в „Хоризонт 2020“, като са финансирани 77 проекта, и че новозеландските изследователи са успели да участват в двете предишни рамкови програми за научни изследвания и иновации — РП7 и „Хоризонт 2020“, което показва потенциалните ползи от асоциирането на Нова Зеландия към „Хоризонт Европа“;</w:t>
      </w:r>
    </w:p>
    <w:p w:rsidR="00005419" w:rsidRPr="000C58EF" w:rsidRDefault="00005419" w:rsidP="00005419">
      <w:pPr>
        <w:pStyle w:val="NormalHanging12a"/>
      </w:pPr>
      <w:r w:rsidRPr="000C58EF">
        <w:t>13.</w:t>
      </w:r>
      <w:r w:rsidRPr="000C58EF">
        <w:tab/>
        <w:t>приветства предложението за засилване на партньорството на ЕС с Нова Зеландия чрез асоциирането на Нова Зеландия към програмата „Хоризонт Европа“, което допълнително ще засили сътрудничеството в областта на научните изследвания и иновациите и ще превърне Нова Зеландия в най-важния регионален партньор на ЕС в областта на науката и иновациите; отбелязва обаче липсата на разпоредби, позволяващи подходящ парламентарен контрол върху бъдещото асоцииране на Нова Зеландия към програмите на Съюза;</w:t>
      </w:r>
    </w:p>
    <w:p w:rsidR="00005419" w:rsidRPr="000C58EF" w:rsidRDefault="00005419" w:rsidP="00005419">
      <w:pPr>
        <w:pStyle w:val="NormalHanging12a"/>
      </w:pPr>
      <w:r w:rsidRPr="000C58EF">
        <w:t>14.</w:t>
      </w:r>
      <w:r w:rsidRPr="000C58EF">
        <w:tab/>
        <w:t xml:space="preserve">посочва, че в споразумението относно участието на Нова Зеландия в програми на Съюза Комисията и Съветът предоставят на Съвместния комитет, създаден съгласно това споразумение, правомощието да приема протоколи за асоцииране на Нова Зеландия към всяка програма на Съюза, въпреки че Парламентът възразява срещу този прерогатив, което </w:t>
      </w:r>
      <w:proofErr w:type="spellStart"/>
      <w:r w:rsidRPr="000C58EF">
        <w:t>de</w:t>
      </w:r>
      <w:proofErr w:type="spellEnd"/>
      <w:r w:rsidRPr="000C58EF">
        <w:t xml:space="preserve"> </w:t>
      </w:r>
      <w:proofErr w:type="spellStart"/>
      <w:r w:rsidRPr="000C58EF">
        <w:t>facto</w:t>
      </w:r>
      <w:proofErr w:type="spellEnd"/>
      <w:r w:rsidRPr="000C58EF">
        <w:t xml:space="preserve"> предоставя на Съвместния комитет изпълнителни правомощия по основни аспекти; отбелязва, че основните решения, които се делегират на Съвместния комитет, включват обхвата на асоциирането към отделни програми, както и съществени разпоредби относно механизма за автоматична корекция;</w:t>
      </w:r>
    </w:p>
    <w:p w:rsidR="00005419" w:rsidRPr="000C58EF" w:rsidRDefault="00005419" w:rsidP="00005419">
      <w:pPr>
        <w:pStyle w:val="NormalHanging12a"/>
      </w:pPr>
      <w:r w:rsidRPr="000C58EF">
        <w:t>15.</w:t>
      </w:r>
      <w:r w:rsidRPr="000C58EF">
        <w:tab/>
        <w:t xml:space="preserve">изразява съжаление, че Съвместният комитет е оправомощен да изменя всеки действащ протокол за асоцииране, което може да включва и разпоредби, свързани с прегледи, одити и финансови нередности, чрез протоколи; отчита, че такива изменения биха се случили без допълнително парламентарно участие; отчита, че като даде своето одобрение, Парламентът на практика ще предостави на Съвместния комитет неограничен мандат; посочва, че на Съвета е възложено да наблюдава действията на Комисията в Съвместния комитет, но в действителност често пренебрегва това задължение и не докладва адекватно на Парламента, което води до пълна липса на надзор и контрол в такива международни споразумения; </w:t>
      </w:r>
    </w:p>
    <w:p w:rsidR="00005419" w:rsidRPr="000C58EF" w:rsidRDefault="00005419" w:rsidP="00005419">
      <w:pPr>
        <w:pStyle w:val="NormalHanging12a"/>
      </w:pPr>
      <w:r w:rsidRPr="000C58EF">
        <w:lastRenderedPageBreak/>
        <w:t>16.</w:t>
      </w:r>
      <w:r w:rsidRPr="000C58EF">
        <w:tab/>
        <w:t>подчертава своята позиция относно споразуменията за асоцииране, свързани с „Хоризонт Европа“, приета в изявление, придружаващо приемането на Регламента за „Хоризонт Европа“, като подчертава, че орган, създаден чрез такива споразумения, не следва да заобикаля необходимостта да се търси съдържателно одобрение от Парламента; счита, че основните аспекти на участието на трета държава в „Хоризонт Европа“ не следва да се делегират на такъв орган;</w:t>
      </w:r>
    </w:p>
    <w:p w:rsidR="00005419" w:rsidRPr="000C58EF" w:rsidRDefault="00005419" w:rsidP="00005419">
      <w:pPr>
        <w:pStyle w:val="NormalHanging12a"/>
      </w:pPr>
      <w:r w:rsidRPr="000C58EF">
        <w:t>17.</w:t>
      </w:r>
      <w:r w:rsidRPr="000C58EF">
        <w:tab/>
        <w:t>изразява несъгласие с тази нова структура за международни споразумения, която не позволява на Парламента да упражнява правомощията си в съответствие с член 218, параграф 6, буква а) от ДФЕС; счита, че това е пречка за изпълнението на прерогативите на Парламента, пренебрегва необходимия институционален баланс и следователно трябва да бъде променена;</w:t>
      </w:r>
    </w:p>
    <w:p w:rsidR="00005419" w:rsidRPr="000C58EF" w:rsidRDefault="00005419" w:rsidP="00005419">
      <w:pPr>
        <w:pStyle w:val="NormalHanging12a"/>
      </w:pPr>
      <w:r w:rsidRPr="000C58EF">
        <w:t>18.</w:t>
      </w:r>
      <w:r w:rsidRPr="000C58EF">
        <w:tab/>
        <w:t>припомня във връзка с това, че член 218, параграф 10 от ДФЕС предвижда, че Парламентът следва да бъде незабавно и изчерпателно информиран на всички етапи от процедурата за водене на преговори и сключване на международните споразумения, посочени в този член, и че, както е постановил Съдът на Европейския съюз, това правило е израз на демократичните принципи, на които се основава ЕС; подчертава по-специално факта, че Съдът на ЕС вече е заявявал, че участието на Парламента в процеса на вземане на решения отразява на равнището на ЕС основния демократичен принцип, че хората следва да участват в упражняването на властта чрез представителна асамблея</w:t>
      </w:r>
      <w:r w:rsidRPr="000C58EF">
        <w:rPr>
          <w:rStyle w:val="FootnoteReference"/>
          <w:rFonts w:eastAsiaTheme="minorHAnsi"/>
          <w:color w:val="000000"/>
        </w:rPr>
        <w:footnoteReference w:id="10"/>
      </w:r>
      <w:r w:rsidRPr="000C58EF">
        <w:t>;</w:t>
      </w:r>
    </w:p>
    <w:p w:rsidR="00005419" w:rsidRPr="000C58EF" w:rsidRDefault="00005419" w:rsidP="00005419">
      <w:pPr>
        <w:pStyle w:val="NormalHanging12a"/>
      </w:pPr>
      <w:r w:rsidRPr="000C58EF">
        <w:t>19.</w:t>
      </w:r>
      <w:r w:rsidRPr="000C58EF">
        <w:tab/>
        <w:t xml:space="preserve">припомня в този контекст, че въпросните споразумения са без прецедент, тъй като позволяват участието на нов вид трета държава, и за първи път правят това чрез общо споразумение, обхващащо всички програми на Съюза; подчертава, че в миналото такова участие би било организирано чрез отделно споразумение за всяка програма на Съюза и ограничено до конкретна многогодишна финансова рамка; подчертава, че като се има предвид новаторският характер на тези споразумения, Парламентът не разполага със съответните данни или информация, които биха могли да се използват за съдържателна оценка на потенциалното им въздействие върху настоящото поколение програми на Съюза или върху бъдещите поколения програми на Съюза; </w:t>
      </w:r>
    </w:p>
    <w:p w:rsidR="00005419" w:rsidRPr="000C58EF" w:rsidRDefault="00005419" w:rsidP="00005419">
      <w:pPr>
        <w:pStyle w:val="NormalHanging12a"/>
      </w:pPr>
      <w:r w:rsidRPr="000C58EF">
        <w:t>20.</w:t>
      </w:r>
      <w:r w:rsidRPr="000C58EF">
        <w:tab/>
        <w:t>счита в този контекст, че Парламентът следва да може да гарантира по съдържателен начин участието на хората в процеса на вземане на решения, като се има предвид структурата на тези международни споразумения, при които решението за асоцииране, включително обхватът на това асоцииране, към дадена програма от трета държава се взема едва в бъдеще, често дълго след като Парламентът е дал съгласието си за сключването на първоначалното споразумение с тази трета държава;</w:t>
      </w:r>
    </w:p>
    <w:p w:rsidR="00005419" w:rsidRPr="000C58EF" w:rsidRDefault="00005419" w:rsidP="00005419">
      <w:pPr>
        <w:pStyle w:val="NormalHanging12a"/>
      </w:pPr>
      <w:r w:rsidRPr="000C58EF">
        <w:t>21.</w:t>
      </w:r>
      <w:r w:rsidRPr="000C58EF">
        <w:tab/>
        <w:t xml:space="preserve">припомня, че неговата позиция относно подхода на Комисията не следва да се тълкува като възражение срещу Нова Зеландия или като възражение срещу добре установеното и силно сътрудничество, което винаги е съществувало между тази </w:t>
      </w:r>
      <w:r w:rsidRPr="000C58EF">
        <w:lastRenderedPageBreak/>
        <w:t>държава и ЕС;</w:t>
      </w:r>
    </w:p>
    <w:p w:rsidR="00005419" w:rsidRPr="000C58EF" w:rsidRDefault="00005419" w:rsidP="00005419">
      <w:pPr>
        <w:pStyle w:val="NormalHanging12a"/>
        <w:rPr>
          <w:b/>
          <w:i/>
        </w:rPr>
      </w:pPr>
      <w:r w:rsidRPr="000C58EF">
        <w:rPr>
          <w:b/>
          <w:i/>
        </w:rPr>
        <w:t>Участие на други държави със сходни възгледи в програми на Съюза</w:t>
      </w:r>
    </w:p>
    <w:p w:rsidR="00005419" w:rsidRPr="000C58EF" w:rsidRDefault="00005419" w:rsidP="00005419">
      <w:pPr>
        <w:pStyle w:val="NormalHanging12a"/>
      </w:pPr>
      <w:r w:rsidRPr="000C58EF">
        <w:t>22.</w:t>
      </w:r>
      <w:r w:rsidRPr="000C58EF">
        <w:tab/>
        <w:t xml:space="preserve">изразява съжаление, че проектът на споразумение относно участието на Фарьорските острови и предложените сдружения на Канада, Република Корея и Япония следват същата структура като проекта на споразумение с Нова Зеландия; изисква от Комисията да се въздържа от възпрепятстване на упражняването на правото на Парламента на одобрение за асоцииране към програма на Съюза и споразумения за асоцииране с нови партньори да се сключват само когато Парламентът е могъл да упражни правото си на съдържателно одобрение; </w:t>
      </w:r>
    </w:p>
    <w:p w:rsidR="00005419" w:rsidRPr="000C58EF" w:rsidRDefault="00005419" w:rsidP="00005419">
      <w:pPr>
        <w:pStyle w:val="NormalHanging12a"/>
        <w:rPr>
          <w:i/>
        </w:rPr>
      </w:pPr>
      <w:r w:rsidRPr="000C58EF">
        <w:t>23.</w:t>
      </w:r>
      <w:r w:rsidRPr="000C58EF">
        <w:tab/>
        <w:t>изразява загриженост относно факта, че наскоро договорената автоматична отстъпка за приноса на Обединеното кралство към „Хоризонт Европа“ в случай на „по-ниско от очакваното“ участие на Обединеното кралство в програмата доведе до несъответствия с разпоредбите на Споразумението за търговия и сътрудничество между ЕС и Обединеното кралство, за което Парламентът даде одобрението си;</w:t>
      </w:r>
    </w:p>
    <w:p w:rsidR="00005419" w:rsidRPr="000C58EF" w:rsidRDefault="00005419" w:rsidP="00005419">
      <w:pPr>
        <w:pStyle w:val="NormalHanging12a"/>
        <w:rPr>
          <w:b/>
          <w:i/>
        </w:rPr>
      </w:pPr>
      <w:r w:rsidRPr="000C58EF">
        <w:rPr>
          <w:b/>
          <w:i/>
        </w:rPr>
        <w:t>Бъдещи действия</w:t>
      </w:r>
    </w:p>
    <w:p w:rsidR="00005419" w:rsidRPr="000C58EF" w:rsidRDefault="00005419" w:rsidP="00005419">
      <w:pPr>
        <w:pStyle w:val="NormalHanging12a"/>
      </w:pPr>
      <w:r w:rsidRPr="000C58EF">
        <w:t>24.</w:t>
      </w:r>
      <w:r w:rsidRPr="000C58EF">
        <w:tab/>
        <w:t>припомня, че той следва да бъде незабавно и изчерпателно информиран на всички етапи от преговорите и сключването на международни споразумения в съответствие с Рамковото споразумение за отношенията между Европейския парламент и Европейската комисия;</w:t>
      </w:r>
    </w:p>
    <w:p w:rsidR="00005419" w:rsidRPr="000C58EF" w:rsidRDefault="00005419" w:rsidP="00005419">
      <w:pPr>
        <w:pStyle w:val="NormalHanging12a"/>
      </w:pPr>
      <w:r w:rsidRPr="000C58EF">
        <w:t>25.</w:t>
      </w:r>
      <w:r w:rsidRPr="000C58EF">
        <w:tab/>
        <w:t>призовава Комисията да ѝ предоставя редовни подробни доклади относно изпълнението на споразуменията, като например актуализации на аспекти като постигнати етапни цели, предизвикателства, процент на успеваемост на предложенията от субекти от трети държави, годишни вноски на трети държави, изпълнение на бюджета и резултати от одита;</w:t>
      </w:r>
    </w:p>
    <w:p w:rsidR="00005419" w:rsidRPr="000C58EF" w:rsidRDefault="00005419" w:rsidP="00005419">
      <w:pPr>
        <w:pStyle w:val="NormalHanging12a"/>
      </w:pPr>
      <w:r w:rsidRPr="000C58EF">
        <w:t>26.</w:t>
      </w:r>
      <w:r w:rsidRPr="000C58EF">
        <w:tab/>
        <w:t>настоятелно призовава Комисията да започне преговори за междуинституционално споразумение, което да установи общите принципи на демократичен контрол от страна на Парламента върху прилагането на споразуменията относно участието на трети държави в програми на Съюза;</w:t>
      </w:r>
    </w:p>
    <w:p w:rsidR="00005419" w:rsidRPr="000C58EF" w:rsidRDefault="00005419" w:rsidP="00005419">
      <w:pPr>
        <w:pStyle w:val="NormalHanging12a"/>
      </w:pPr>
      <w:r w:rsidRPr="000C58EF">
        <w:t>27.</w:t>
      </w:r>
      <w:r w:rsidRPr="000C58EF">
        <w:tab/>
        <w:t>изразява надежда, че Комисията ще изясни положението, като даде подходящ и задоволителен отговор на въпроса на Парламента с искане за устен отговор, за да даде своето одобрение; изразява готовност за пълно сътрудничество с Комисията и Съвета за постигането на този резултат;</w:t>
      </w:r>
    </w:p>
    <w:p w:rsidR="00005419" w:rsidRPr="000C58EF" w:rsidRDefault="00005419" w:rsidP="00005419">
      <w:pPr>
        <w:pStyle w:val="NormalHanging12a"/>
        <w:jc w:val="center"/>
      </w:pPr>
      <w:r w:rsidRPr="000C58EF">
        <w:t>°</w:t>
      </w:r>
    </w:p>
    <w:p w:rsidR="00005419" w:rsidRPr="000C58EF" w:rsidRDefault="00005419" w:rsidP="00005419">
      <w:pPr>
        <w:pStyle w:val="NormalHanging12a"/>
        <w:jc w:val="center"/>
      </w:pPr>
      <w:r w:rsidRPr="000C58EF">
        <w:t>°</w:t>
      </w:r>
      <w:r w:rsidRPr="000C58EF">
        <w:tab/>
        <w:t>°</w:t>
      </w:r>
    </w:p>
    <w:p w:rsidR="00005419" w:rsidRPr="000C58EF" w:rsidRDefault="00005419" w:rsidP="00C77609">
      <w:pPr>
        <w:ind w:left="567" w:hanging="567"/>
      </w:pPr>
      <w:r w:rsidRPr="000C58EF">
        <w:t>28.</w:t>
      </w:r>
      <w:r w:rsidRPr="000C58EF">
        <w:tab/>
        <w:t xml:space="preserve">възлага на своя председател да предаде настоящата резолюция съответно </w:t>
      </w:r>
      <w:r w:rsidR="000C58EF" w:rsidRPr="000C58EF">
        <w:t>на Съвета и на Комисията.</w:t>
      </w:r>
    </w:p>
    <w:p w:rsidR="00E365E1" w:rsidRPr="000C58EF" w:rsidRDefault="00E365E1" w:rsidP="00005419">
      <w:bookmarkStart w:id="8" w:name="TextBodyEnd"/>
      <w:bookmarkEnd w:id="8"/>
    </w:p>
    <w:sectPr w:rsidR="00E365E1" w:rsidRPr="000C58EF" w:rsidSect="000C58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D81" w:rsidRPr="000C58EF" w:rsidRDefault="00203D81">
      <w:r w:rsidRPr="000C58EF">
        <w:separator/>
      </w:r>
    </w:p>
  </w:endnote>
  <w:endnote w:type="continuationSeparator" w:id="0">
    <w:p w:rsidR="00203D81" w:rsidRPr="000C58EF" w:rsidRDefault="00203D81">
      <w:r w:rsidRPr="000C58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58E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58E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58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D81" w:rsidRPr="000C58EF" w:rsidRDefault="00203D81">
      <w:r w:rsidRPr="000C58EF">
        <w:separator/>
      </w:r>
    </w:p>
  </w:footnote>
  <w:footnote w:type="continuationSeparator" w:id="0">
    <w:p w:rsidR="00203D81" w:rsidRPr="000C58EF" w:rsidRDefault="00203D81">
      <w:r w:rsidRPr="000C58EF">
        <w:continuationSeparator/>
      </w:r>
    </w:p>
  </w:footnote>
  <w:footnote w:id="1">
    <w:p w:rsidR="00005419" w:rsidRPr="000C58EF" w:rsidRDefault="00005419" w:rsidP="000C58EF">
      <w:pPr>
        <w:pStyle w:val="FootnoteText"/>
        <w:ind w:left="567" w:hanging="567"/>
        <w:rPr>
          <w:sz w:val="24"/>
          <w:lang w:val="bg-BG"/>
        </w:rPr>
      </w:pPr>
      <w:r w:rsidRPr="000C58EF">
        <w:rPr>
          <w:rStyle w:val="FootnoteReference"/>
          <w:sz w:val="24"/>
          <w:lang w:val="bg-BG"/>
        </w:rPr>
        <w:footnoteRef/>
      </w:r>
      <w:r w:rsidR="000C58EF" w:rsidRPr="000C58EF">
        <w:rPr>
          <w:sz w:val="24"/>
          <w:lang w:val="bg-BG"/>
        </w:rPr>
        <w:t xml:space="preserve"> </w:t>
      </w:r>
      <w:r w:rsidR="000C58EF" w:rsidRPr="000C58EF">
        <w:rPr>
          <w:sz w:val="24"/>
          <w:lang w:val="bg-BG"/>
        </w:rPr>
        <w:tab/>
      </w:r>
      <w:r w:rsidRPr="000C58EF">
        <w:rPr>
          <w:sz w:val="24"/>
          <w:lang w:val="bg-BG"/>
        </w:rPr>
        <w:t>ОВ L 170, 12.5.2021 г., стр. 1.</w:t>
      </w:r>
    </w:p>
  </w:footnote>
  <w:footnote w:id="2">
    <w:p w:rsidR="00005419" w:rsidRPr="000C58EF" w:rsidRDefault="00005419" w:rsidP="000C58EF">
      <w:pPr>
        <w:pStyle w:val="FootnoteText"/>
        <w:ind w:left="567" w:hanging="567"/>
        <w:rPr>
          <w:sz w:val="24"/>
          <w:lang w:val="bg-BG"/>
        </w:rPr>
      </w:pPr>
      <w:r w:rsidRPr="000C58EF">
        <w:rPr>
          <w:rStyle w:val="FootnoteReference"/>
          <w:sz w:val="24"/>
          <w:lang w:val="bg-BG"/>
        </w:rPr>
        <w:footnoteRef/>
      </w:r>
      <w:r w:rsidR="000C58EF" w:rsidRPr="000C58EF">
        <w:rPr>
          <w:sz w:val="24"/>
          <w:lang w:val="bg-BG"/>
        </w:rPr>
        <w:t xml:space="preserve"> </w:t>
      </w:r>
      <w:r w:rsidR="000C58EF" w:rsidRPr="000C58EF">
        <w:rPr>
          <w:sz w:val="24"/>
          <w:lang w:val="bg-BG"/>
        </w:rPr>
        <w:tab/>
      </w:r>
      <w:r w:rsidRPr="000C58EF">
        <w:rPr>
          <w:sz w:val="24"/>
          <w:lang w:val="bg-BG"/>
        </w:rPr>
        <w:t>Позиция на Европейския парламент на първо четене от 17 април 2019 г. относно предложението за регламент на Европейския парламент и на Съвета за създаване на Рамковата програма за научни изследвания и иновации „Хоризонт Европа“ и за определяне на нейните правила за участие и разпространение на резултатите (ОВ C 158, 30.4.2021 г., стр. 184),</w:t>
      </w:r>
    </w:p>
  </w:footnote>
  <w:footnote w:id="3">
    <w:p w:rsidR="00005419" w:rsidRPr="000C58EF" w:rsidRDefault="00005419" w:rsidP="000C58EF">
      <w:pPr>
        <w:pStyle w:val="FootnoteText"/>
        <w:ind w:left="567" w:hanging="567"/>
        <w:rPr>
          <w:sz w:val="24"/>
          <w:lang w:val="bg-BG"/>
        </w:rPr>
      </w:pPr>
      <w:r w:rsidRPr="000C58EF">
        <w:rPr>
          <w:rStyle w:val="FootnoteReference"/>
          <w:sz w:val="24"/>
          <w:lang w:val="bg-BG"/>
        </w:rPr>
        <w:footnoteRef/>
      </w:r>
      <w:r w:rsidR="000C58EF" w:rsidRPr="000C58EF">
        <w:rPr>
          <w:sz w:val="24"/>
          <w:lang w:val="bg-BG"/>
        </w:rPr>
        <w:t xml:space="preserve"> </w:t>
      </w:r>
      <w:r w:rsidR="000C58EF" w:rsidRPr="000C58EF">
        <w:rPr>
          <w:sz w:val="24"/>
          <w:lang w:val="bg-BG"/>
        </w:rPr>
        <w:tab/>
      </w:r>
      <w:r w:rsidRPr="000C58EF">
        <w:rPr>
          <w:sz w:val="24"/>
          <w:lang w:val="bg-BG"/>
        </w:rPr>
        <w:t>ОВ L 321, 29.11.2016 г., стр. 3.</w:t>
      </w:r>
    </w:p>
  </w:footnote>
  <w:footnote w:id="4">
    <w:p w:rsidR="00005419" w:rsidRPr="000C58EF" w:rsidRDefault="00005419" w:rsidP="000C58EF">
      <w:pPr>
        <w:pStyle w:val="FootnoteText"/>
        <w:ind w:left="567" w:hanging="567"/>
        <w:rPr>
          <w:sz w:val="24"/>
          <w:lang w:val="bg-BG"/>
        </w:rPr>
      </w:pPr>
      <w:r w:rsidRPr="000C58EF">
        <w:rPr>
          <w:rStyle w:val="FootnoteReference"/>
          <w:sz w:val="24"/>
          <w:lang w:val="bg-BG"/>
        </w:rPr>
        <w:footnoteRef/>
      </w:r>
      <w:r w:rsidR="000C58EF" w:rsidRPr="000C58EF">
        <w:rPr>
          <w:sz w:val="24"/>
          <w:lang w:val="bg-BG"/>
        </w:rPr>
        <w:t xml:space="preserve"> </w:t>
      </w:r>
      <w:r w:rsidR="000C58EF" w:rsidRPr="000C58EF">
        <w:rPr>
          <w:sz w:val="24"/>
          <w:lang w:val="bg-BG"/>
        </w:rPr>
        <w:tab/>
      </w:r>
      <w:r w:rsidRPr="000C58EF">
        <w:rPr>
          <w:sz w:val="24"/>
          <w:lang w:val="bg-BG"/>
        </w:rPr>
        <w:t>OВ L 182, 19.7.2023 г., стр. 4.</w:t>
      </w:r>
    </w:p>
  </w:footnote>
  <w:footnote w:id="5">
    <w:p w:rsidR="00005419" w:rsidRPr="000C58EF" w:rsidRDefault="00005419" w:rsidP="000C58EF">
      <w:pPr>
        <w:pStyle w:val="FootnoteText"/>
        <w:ind w:left="567" w:hanging="567"/>
        <w:rPr>
          <w:sz w:val="24"/>
          <w:lang w:val="bg-BG"/>
        </w:rPr>
      </w:pPr>
      <w:r w:rsidRPr="000C58EF">
        <w:rPr>
          <w:rStyle w:val="FootnoteReference"/>
          <w:sz w:val="24"/>
          <w:lang w:val="bg-BG"/>
        </w:rPr>
        <w:footnoteRef/>
      </w:r>
      <w:r w:rsidR="000C58EF" w:rsidRPr="000C58EF">
        <w:rPr>
          <w:sz w:val="24"/>
          <w:lang w:val="bg-BG"/>
        </w:rPr>
        <w:t xml:space="preserve"> </w:t>
      </w:r>
      <w:r w:rsidR="000C58EF" w:rsidRPr="000C58EF">
        <w:rPr>
          <w:sz w:val="24"/>
          <w:lang w:val="bg-BG"/>
        </w:rPr>
        <w:tab/>
      </w:r>
      <w:r w:rsidRPr="000C58EF">
        <w:rPr>
          <w:sz w:val="24"/>
          <w:lang w:val="bg-BG"/>
        </w:rPr>
        <w:t>ОВ L 154, 7.6.2022 г., стр. 4.</w:t>
      </w:r>
    </w:p>
  </w:footnote>
  <w:footnote w:id="6">
    <w:p w:rsidR="00005419" w:rsidRPr="000C58EF" w:rsidRDefault="00005419" w:rsidP="000C58EF">
      <w:pPr>
        <w:pStyle w:val="FootnoteText"/>
        <w:ind w:left="567" w:hanging="567"/>
        <w:rPr>
          <w:sz w:val="24"/>
          <w:lang w:val="bg-BG"/>
        </w:rPr>
      </w:pPr>
      <w:r w:rsidRPr="000C58EF">
        <w:rPr>
          <w:rStyle w:val="FootnoteReference"/>
          <w:sz w:val="24"/>
          <w:lang w:val="bg-BG"/>
        </w:rPr>
        <w:footnoteRef/>
      </w:r>
      <w:r w:rsidR="000C58EF" w:rsidRPr="000C58EF">
        <w:rPr>
          <w:sz w:val="24"/>
          <w:lang w:val="bg-BG"/>
        </w:rPr>
        <w:t xml:space="preserve"> </w:t>
      </w:r>
      <w:r w:rsidR="000C58EF" w:rsidRPr="000C58EF">
        <w:rPr>
          <w:sz w:val="24"/>
          <w:lang w:val="bg-BG"/>
        </w:rPr>
        <w:tab/>
      </w:r>
      <w:r w:rsidRPr="000C58EF">
        <w:rPr>
          <w:sz w:val="24"/>
          <w:lang w:val="bg-BG"/>
        </w:rPr>
        <w:t>OВ L 237, 14.9.2022 г., стр. 17.</w:t>
      </w:r>
    </w:p>
  </w:footnote>
  <w:footnote w:id="7">
    <w:p w:rsidR="00005419" w:rsidRPr="000C58EF" w:rsidRDefault="00005419" w:rsidP="000C58EF">
      <w:pPr>
        <w:pStyle w:val="FootnoteText"/>
        <w:ind w:left="567" w:hanging="567"/>
        <w:rPr>
          <w:sz w:val="24"/>
          <w:lang w:val="bg-BG"/>
        </w:rPr>
      </w:pPr>
      <w:r w:rsidRPr="000C58EF">
        <w:rPr>
          <w:rStyle w:val="FootnoteReference"/>
          <w:sz w:val="24"/>
          <w:lang w:val="bg-BG"/>
        </w:rPr>
        <w:footnoteRef/>
      </w:r>
      <w:r w:rsidR="000C58EF" w:rsidRPr="000C58EF">
        <w:rPr>
          <w:sz w:val="24"/>
          <w:lang w:val="bg-BG"/>
        </w:rPr>
        <w:t xml:space="preserve"> </w:t>
      </w:r>
      <w:r w:rsidR="000C58EF" w:rsidRPr="000C58EF">
        <w:rPr>
          <w:sz w:val="24"/>
          <w:lang w:val="bg-BG"/>
        </w:rPr>
        <w:tab/>
      </w:r>
      <w:r w:rsidRPr="000C58EF">
        <w:rPr>
          <w:sz w:val="24"/>
          <w:lang w:val="bg-BG"/>
        </w:rPr>
        <w:t>OВ L 144, 5.6.2023 г., стр. 58.</w:t>
      </w:r>
    </w:p>
  </w:footnote>
  <w:footnote w:id="8">
    <w:p w:rsidR="00005419" w:rsidRPr="000C58EF" w:rsidRDefault="00005419" w:rsidP="000C58EF">
      <w:pPr>
        <w:pStyle w:val="FootnoteText"/>
        <w:ind w:left="567" w:hanging="567"/>
        <w:rPr>
          <w:sz w:val="24"/>
          <w:lang w:val="bg-BG"/>
        </w:rPr>
      </w:pPr>
      <w:r w:rsidRPr="000C58EF">
        <w:rPr>
          <w:rStyle w:val="FootnoteReference"/>
          <w:sz w:val="24"/>
          <w:lang w:val="bg-BG"/>
        </w:rPr>
        <w:footnoteRef/>
      </w:r>
      <w:r w:rsidR="000C58EF" w:rsidRPr="000C58EF">
        <w:rPr>
          <w:sz w:val="24"/>
          <w:lang w:val="bg-BG"/>
        </w:rPr>
        <w:t xml:space="preserve"> </w:t>
      </w:r>
      <w:r w:rsidR="000C58EF" w:rsidRPr="000C58EF">
        <w:rPr>
          <w:sz w:val="24"/>
          <w:lang w:val="bg-BG"/>
        </w:rPr>
        <w:tab/>
      </w:r>
      <w:r w:rsidRPr="000C58EF">
        <w:rPr>
          <w:sz w:val="24"/>
          <w:lang w:val="bg-BG"/>
        </w:rPr>
        <w:t>OВ L 146, 6.6.2023 г., стр. 18.</w:t>
      </w:r>
    </w:p>
  </w:footnote>
  <w:footnote w:id="9">
    <w:p w:rsidR="00005419" w:rsidRPr="000C58EF" w:rsidRDefault="00005419" w:rsidP="000C58EF">
      <w:pPr>
        <w:pStyle w:val="FootnoteText"/>
        <w:ind w:left="567" w:hanging="567"/>
        <w:rPr>
          <w:sz w:val="24"/>
          <w:lang w:val="bg-BG"/>
        </w:rPr>
      </w:pPr>
      <w:r w:rsidRPr="000C58EF">
        <w:rPr>
          <w:rStyle w:val="FootnoteReference"/>
          <w:sz w:val="24"/>
          <w:lang w:val="bg-BG"/>
        </w:rPr>
        <w:footnoteRef/>
      </w:r>
      <w:r w:rsidR="000C58EF" w:rsidRPr="000C58EF">
        <w:rPr>
          <w:sz w:val="24"/>
          <w:lang w:val="bg-BG"/>
        </w:rPr>
        <w:t xml:space="preserve"> </w:t>
      </w:r>
      <w:r w:rsidR="000C58EF" w:rsidRPr="000C58EF">
        <w:rPr>
          <w:sz w:val="24"/>
          <w:lang w:val="bg-BG"/>
        </w:rPr>
        <w:tab/>
      </w:r>
      <w:r w:rsidRPr="000C58EF">
        <w:rPr>
          <w:sz w:val="24"/>
          <w:lang w:val="bg-BG"/>
        </w:rPr>
        <w:t>ОВ L 304, 20.11.2010 г., стр. 47.</w:t>
      </w:r>
    </w:p>
  </w:footnote>
  <w:footnote w:id="10">
    <w:p w:rsidR="00005419" w:rsidRPr="000C58EF" w:rsidRDefault="00005419" w:rsidP="000C58EF">
      <w:pPr>
        <w:pStyle w:val="FootnoteText"/>
        <w:ind w:left="567" w:hanging="567"/>
        <w:rPr>
          <w:sz w:val="24"/>
          <w:lang w:val="bg-BG"/>
        </w:rPr>
      </w:pPr>
      <w:r w:rsidRPr="000C58EF">
        <w:rPr>
          <w:rStyle w:val="FootnoteReference"/>
          <w:sz w:val="24"/>
          <w:lang w:val="bg-BG"/>
        </w:rPr>
        <w:footnoteRef/>
      </w:r>
      <w:r w:rsidR="000C58EF" w:rsidRPr="000C58EF">
        <w:rPr>
          <w:sz w:val="24"/>
          <w:lang w:val="bg-BG"/>
        </w:rPr>
        <w:t xml:space="preserve"> </w:t>
      </w:r>
      <w:r w:rsidR="000C58EF" w:rsidRPr="000C58EF">
        <w:rPr>
          <w:sz w:val="24"/>
          <w:lang w:val="bg-BG"/>
        </w:rPr>
        <w:tab/>
      </w:r>
      <w:r w:rsidRPr="000C58EF">
        <w:rPr>
          <w:sz w:val="24"/>
          <w:lang w:val="bg-BG"/>
        </w:rPr>
        <w:t xml:space="preserve">Решения на Съда от 29 октомври 1980 г. по дело </w:t>
      </w:r>
      <w:proofErr w:type="spellStart"/>
      <w:r w:rsidRPr="000C58EF">
        <w:rPr>
          <w:i/>
          <w:sz w:val="24"/>
          <w:lang w:val="bg-BG"/>
        </w:rPr>
        <w:t>Roquette</w:t>
      </w:r>
      <w:proofErr w:type="spellEnd"/>
      <w:r w:rsidRPr="000C58EF">
        <w:rPr>
          <w:i/>
          <w:sz w:val="24"/>
          <w:lang w:val="bg-BG"/>
        </w:rPr>
        <w:t xml:space="preserve"> </w:t>
      </w:r>
      <w:proofErr w:type="spellStart"/>
      <w:r w:rsidRPr="000C58EF">
        <w:rPr>
          <w:i/>
          <w:sz w:val="24"/>
          <w:lang w:val="bg-BG"/>
        </w:rPr>
        <w:t>Frères</w:t>
      </w:r>
      <w:proofErr w:type="spellEnd"/>
      <w:r w:rsidRPr="000C58EF">
        <w:rPr>
          <w:i/>
          <w:sz w:val="24"/>
          <w:lang w:val="bg-BG"/>
        </w:rPr>
        <w:t>/Съвет</w:t>
      </w:r>
      <w:r w:rsidRPr="000C58EF">
        <w:rPr>
          <w:sz w:val="24"/>
          <w:lang w:val="bg-BG"/>
        </w:rPr>
        <w:t xml:space="preserve">, C-138/79, ECLI:EU:C:1980:249, точка 33 и от 24 юни 2014 г. по дело </w:t>
      </w:r>
      <w:r w:rsidRPr="000C58EF">
        <w:rPr>
          <w:i/>
          <w:sz w:val="24"/>
          <w:lang w:val="bg-BG"/>
        </w:rPr>
        <w:t>Парламент/Съвет</w:t>
      </w:r>
      <w:r w:rsidRPr="000C58EF">
        <w:rPr>
          <w:sz w:val="24"/>
          <w:lang w:val="bg-BG"/>
        </w:rPr>
        <w:t>, C-658/11, ECLI:EU:C:2014:2025, точка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58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58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58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BG"/>
    <w:docVar w:name="dvnumam" w:val="0"/>
    <w:docVar w:name="dvpe" w:val="758.017"/>
    <w:docVar w:name="dvtitre" w:val="Резолюция на Европейския парламент от ... 2024 г. относно споразуменията за асоцииране за участието на трети държави в програми на Съюза(2023/3018(RSP))"/>
  </w:docVars>
  <w:rsids>
    <w:rsidRoot w:val="00203D81"/>
    <w:rsid w:val="00002272"/>
    <w:rsid w:val="00005419"/>
    <w:rsid w:val="00064002"/>
    <w:rsid w:val="000677B9"/>
    <w:rsid w:val="000831BA"/>
    <w:rsid w:val="000A42CC"/>
    <w:rsid w:val="000C58EF"/>
    <w:rsid w:val="000E7DD9"/>
    <w:rsid w:val="0010095E"/>
    <w:rsid w:val="001076D5"/>
    <w:rsid w:val="00125B37"/>
    <w:rsid w:val="00187494"/>
    <w:rsid w:val="001F32AE"/>
    <w:rsid w:val="00203D8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36260"/>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609"/>
    <w:rsid w:val="00C941CB"/>
    <w:rsid w:val="00CC2357"/>
    <w:rsid w:val="00CE2F0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7B1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C4533C"/>
  <w15:chartTrackingRefBased/>
  <w15:docId w15:val="{877911DC-5B6B-492B-98DC-77504704A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05419"/>
    <w:pPr>
      <w:spacing w:before="480" w:after="240"/>
    </w:pPr>
  </w:style>
  <w:style w:type="paragraph" w:customStyle="1" w:styleId="NormalHanging12a">
    <w:name w:val="NormalHanging12a"/>
    <w:basedOn w:val="Normal"/>
    <w:rsid w:val="00005419"/>
    <w:pPr>
      <w:spacing w:after="240"/>
      <w:ind w:left="567" w:hanging="567"/>
    </w:pPr>
  </w:style>
  <w:style w:type="paragraph" w:styleId="BalloonText">
    <w:name w:val="Balloon Text"/>
    <w:basedOn w:val="Normal"/>
    <w:link w:val="BalloonTextChar"/>
    <w:rsid w:val="00C77609"/>
    <w:rPr>
      <w:rFonts w:ascii="Segoe UI" w:hAnsi="Segoe UI" w:cs="Segoe UI"/>
      <w:sz w:val="18"/>
      <w:szCs w:val="18"/>
    </w:rPr>
  </w:style>
  <w:style w:type="character" w:customStyle="1" w:styleId="BalloonTextChar">
    <w:name w:val="Balloon Text Char"/>
    <w:basedOn w:val="DefaultParagraphFont"/>
    <w:link w:val="BalloonText"/>
    <w:rsid w:val="00C77609"/>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ED3F1-A680-4CF3-85BC-68F4D7058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2151</Words>
  <Characters>12702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2024-02-08T11:56:00Z</dcterms:created>
  <dcterms:modified xsi:type="dcterms:W3CDTF">2024-02-08T11:56:00Z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B9-0096/2024</vt:lpwstr>
  </property>
  <property fmtid="{D5CDD505-2E9C-101B-9397-08002B2CF9AE}" pid="4" name="&lt;Type&gt;">
    <vt:lpwstr>RR</vt:lpwstr>
  </property>
</Properties>
</file>