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042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10420" w:rsidRDefault="00CA555A" w:rsidP="0010095E">
            <w:pPr>
              <w:pStyle w:val="EPName"/>
            </w:pPr>
            <w:r w:rsidRPr="00C10420">
              <w:t>Evropský parlament</w:t>
            </w:r>
          </w:p>
          <w:p w:rsidR="00751A4A" w:rsidRPr="00C1042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042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10420" w:rsidRDefault="00187494" w:rsidP="0010095E">
            <w:pPr>
              <w:pStyle w:val="EPLogo"/>
            </w:pPr>
            <w:r w:rsidRPr="00C1042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10420" w:rsidRDefault="00D058B8" w:rsidP="004C5D52">
      <w:pPr>
        <w:pStyle w:val="LineTop"/>
      </w:pPr>
    </w:p>
    <w:p w:rsidR="00680577" w:rsidRPr="00C10420" w:rsidRDefault="00CA555A" w:rsidP="00680577">
      <w:pPr>
        <w:pStyle w:val="EPBodyTA1"/>
      </w:pPr>
      <w:r w:rsidRPr="00C10420">
        <w:t>PŘIJATÉ TEXTY</w:t>
      </w:r>
    </w:p>
    <w:p w:rsidR="00D058B8" w:rsidRPr="00C10420" w:rsidRDefault="00D058B8" w:rsidP="00D058B8">
      <w:pPr>
        <w:pStyle w:val="LineBottom"/>
      </w:pPr>
    </w:p>
    <w:p w:rsidR="00CA555A" w:rsidRPr="00C10420" w:rsidRDefault="00CA555A" w:rsidP="00CA555A">
      <w:pPr>
        <w:pStyle w:val="ATHeading1"/>
      </w:pPr>
      <w:bookmarkStart w:id="0" w:name="TANumber"/>
      <w:r w:rsidRPr="00C10420">
        <w:t>P9_TA(2024)00</w:t>
      </w:r>
      <w:r w:rsidR="001147EB">
        <w:t>77</w:t>
      </w:r>
      <w:bookmarkStart w:id="1" w:name="_GoBack"/>
      <w:bookmarkEnd w:id="0"/>
      <w:bookmarkEnd w:id="1"/>
    </w:p>
    <w:p w:rsidR="00CA555A" w:rsidRPr="00C10420" w:rsidRDefault="00CA555A" w:rsidP="00CA555A">
      <w:pPr>
        <w:pStyle w:val="ATHeading2"/>
      </w:pPr>
      <w:bookmarkStart w:id="2" w:name="title"/>
      <w:r w:rsidRPr="00C10420">
        <w:t>Dohody o přidružení pro účast třetích zemí na programech Unie</w:t>
      </w:r>
      <w:bookmarkEnd w:id="2"/>
    </w:p>
    <w:p w:rsidR="00CA555A" w:rsidRPr="00C10420" w:rsidRDefault="00CA555A" w:rsidP="00CA555A">
      <w:pPr>
        <w:rPr>
          <w:i/>
          <w:vanish/>
        </w:rPr>
      </w:pPr>
      <w:r w:rsidRPr="00C10420">
        <w:rPr>
          <w:i/>
        </w:rPr>
        <w:fldChar w:fldCharType="begin"/>
      </w:r>
      <w:r w:rsidRPr="00C10420">
        <w:rPr>
          <w:i/>
        </w:rPr>
        <w:instrText xml:space="preserve"> TC"(</w:instrText>
      </w:r>
      <w:bookmarkStart w:id="3" w:name="DocNumber"/>
      <w:r w:rsidRPr="00C10420">
        <w:rPr>
          <w:i/>
        </w:rPr>
        <w:instrText>B9-0096/2024</w:instrText>
      </w:r>
      <w:bookmarkEnd w:id="3"/>
      <w:r w:rsidRPr="00C10420">
        <w:rPr>
          <w:i/>
        </w:rPr>
        <w:instrText xml:space="preserve">)"\l3 \n&gt; \* MERGEFORMAT </w:instrText>
      </w:r>
      <w:r w:rsidRPr="00C10420">
        <w:rPr>
          <w:i/>
        </w:rPr>
        <w:fldChar w:fldCharType="end"/>
      </w:r>
    </w:p>
    <w:p w:rsidR="00CA555A" w:rsidRPr="00C10420" w:rsidRDefault="00CA555A" w:rsidP="00CA555A">
      <w:pPr>
        <w:rPr>
          <w:vanish/>
        </w:rPr>
      </w:pPr>
      <w:bookmarkStart w:id="4" w:name="PE"/>
      <w:r w:rsidRPr="00C10420">
        <w:rPr>
          <w:vanish/>
        </w:rPr>
        <w:t>PE758.017</w:t>
      </w:r>
      <w:bookmarkEnd w:id="4"/>
    </w:p>
    <w:p w:rsidR="00CA555A" w:rsidRPr="00C10420" w:rsidRDefault="00CA555A" w:rsidP="00CA555A">
      <w:pPr>
        <w:pStyle w:val="ATHeading3"/>
      </w:pPr>
      <w:bookmarkStart w:id="5" w:name="Sujet"/>
      <w:r w:rsidRPr="00C10420">
        <w:t>Usnesení Evropského parlamentu ze dne 8. února 2024 o dohodách o přidružení pro účast třetích zemí na programech Unie</w:t>
      </w:r>
      <w:bookmarkEnd w:id="5"/>
      <w:r w:rsidRPr="00C10420">
        <w:t xml:space="preserve"> </w:t>
      </w:r>
      <w:bookmarkStart w:id="6" w:name="References"/>
      <w:r w:rsidRPr="00C10420">
        <w:t>(2023/3018(RSP))</w:t>
      </w:r>
      <w:bookmarkEnd w:id="6"/>
    </w:p>
    <w:p w:rsidR="00286AF1" w:rsidRPr="00C10420" w:rsidRDefault="00286AF1" w:rsidP="00286AF1">
      <w:pPr>
        <w:pStyle w:val="EPComma"/>
      </w:pPr>
      <w:bookmarkStart w:id="7" w:name="TextBodyBegin"/>
      <w:bookmarkEnd w:id="7"/>
      <w:r w:rsidRPr="00C10420">
        <w:rPr>
          <w:i/>
          <w:iCs/>
        </w:rPr>
        <w:t>Evropský parlament,</w:t>
      </w:r>
    </w:p>
    <w:p w:rsidR="00286AF1" w:rsidRPr="00C10420" w:rsidRDefault="00286AF1" w:rsidP="00244EB9">
      <w:pPr>
        <w:pStyle w:val="NormalHanging12a"/>
      </w:pPr>
      <w:r w:rsidRPr="00C10420">
        <w:t>–</w:t>
      </w:r>
      <w:r w:rsidRPr="00C10420">
        <w:tab/>
        <w:t>s ohledem na Smlouvu o fungování Evropské unie</w:t>
      </w:r>
      <w:r w:rsidR="000D3023">
        <w:t xml:space="preserve"> (dále jen „Smlouva o fungování EU“)</w:t>
      </w:r>
      <w:r w:rsidRPr="00C10420">
        <w:t>, a zejména na článek 218 této smlouvy,</w:t>
      </w:r>
    </w:p>
    <w:p w:rsidR="00286AF1" w:rsidRPr="00C10420" w:rsidRDefault="00286AF1" w:rsidP="00244EB9">
      <w:pPr>
        <w:pStyle w:val="NormalHanging12a"/>
      </w:pPr>
      <w:r w:rsidRPr="00C10420">
        <w:t>–</w:t>
      </w:r>
      <w:r w:rsidRPr="00C10420">
        <w:tab/>
        <w:t>s ohledem na nařízení Evropského parlamentu a Rady (EU) 2021/695 ze dne 28. dubna 2021, kterým se zavádí rámcový program pro výzkum a inovace Horizont Evropa a stanoví pravidla pro účast a šíření výsledků a zrušují nařízení (EU) č. 1290/2013 a (EU) č. 1291/2013</w:t>
      </w:r>
      <w:r w:rsidRPr="00C10420">
        <w:rPr>
          <w:rStyle w:val="FootnoteReference"/>
          <w:rFonts w:eastAsiaTheme="minorHAnsi"/>
        </w:rPr>
        <w:footnoteReference w:id="1"/>
      </w:r>
      <w:r w:rsidRPr="00C10420">
        <w:t xml:space="preserve"> (nařízení o programu Horizont Evropa), a na prohlášení k dohodám o přidružení obsažené v postoji Parlamentu v prvním čtení dne 17. dubna 2019 k uvedenému nařízení</w:t>
      </w:r>
      <w:r w:rsidRPr="00C10420">
        <w:rPr>
          <w:rStyle w:val="FootnoteReference"/>
          <w:rFonts w:eastAsiaTheme="minorHAnsi"/>
        </w:rPr>
        <w:footnoteReference w:id="2"/>
      </w:r>
      <w:r w:rsidRPr="00C10420">
        <w:t>,</w:t>
      </w:r>
    </w:p>
    <w:p w:rsidR="00286AF1" w:rsidRPr="00C10420" w:rsidRDefault="00286AF1" w:rsidP="00244EB9">
      <w:pPr>
        <w:pStyle w:val="NormalHanging12a"/>
      </w:pPr>
      <w:r w:rsidRPr="00C10420">
        <w:t>–</w:t>
      </w:r>
      <w:r w:rsidRPr="00C10420">
        <w:tab/>
        <w:t>s ohledem na Dohodu o partnerství, vztazích a spolupráci mezi Evropskou unií a jejími členskými státy na jedné straně a Novým Zélandem na straně druhé</w:t>
      </w:r>
      <w:r w:rsidRPr="00C10420">
        <w:rPr>
          <w:rStyle w:val="FootnoteReference"/>
          <w:rFonts w:eastAsiaTheme="minorHAnsi"/>
        </w:rPr>
        <w:footnoteReference w:id="3"/>
      </w:r>
      <w:r w:rsidRPr="00C10420">
        <w:t>,</w:t>
      </w:r>
    </w:p>
    <w:p w:rsidR="00286AF1" w:rsidRPr="00C10420" w:rsidRDefault="00286AF1" w:rsidP="00244EB9">
      <w:pPr>
        <w:pStyle w:val="NormalHanging12a"/>
      </w:pPr>
      <w:r w:rsidRPr="00C10420">
        <w:t>–</w:t>
      </w:r>
      <w:r w:rsidRPr="00C10420">
        <w:tab/>
        <w:t>s ohledem na návrh Dohody mezi Evropskou unií na jedné straně a Novým Zélandem na straně druhé o účasti Nového Zélandu na programech Unie</w:t>
      </w:r>
      <w:r w:rsidRPr="00C10420">
        <w:rPr>
          <w:rStyle w:val="FootnoteReference"/>
          <w:rFonts w:eastAsiaTheme="minorHAnsi"/>
        </w:rPr>
        <w:footnoteReference w:id="4"/>
      </w:r>
      <w:r w:rsidRPr="00C10420">
        <w:t>,</w:t>
      </w:r>
    </w:p>
    <w:p w:rsidR="00286AF1" w:rsidRPr="00C10420" w:rsidRDefault="00286AF1" w:rsidP="00244EB9">
      <w:pPr>
        <w:pStyle w:val="NormalHanging12a"/>
      </w:pPr>
      <w:r w:rsidRPr="00C10420">
        <w:t>–</w:t>
      </w:r>
      <w:r w:rsidRPr="00C10420">
        <w:tab/>
        <w:t xml:space="preserve">s ohledem na návrh Dohody mezi Evropskou unií na jedné straně a vládou </w:t>
      </w:r>
      <w:proofErr w:type="spellStart"/>
      <w:r w:rsidRPr="00C10420">
        <w:t>Faerských</w:t>
      </w:r>
      <w:proofErr w:type="spellEnd"/>
      <w:r w:rsidRPr="00C10420">
        <w:t xml:space="preserve"> ostrovů na straně druhé o účasti </w:t>
      </w:r>
      <w:proofErr w:type="spellStart"/>
      <w:r w:rsidRPr="00C10420">
        <w:t>Faerských</w:t>
      </w:r>
      <w:proofErr w:type="spellEnd"/>
      <w:r w:rsidRPr="00C10420">
        <w:t xml:space="preserve"> ostrovů na programech Unie</w:t>
      </w:r>
      <w:r w:rsidRPr="00C10420">
        <w:rPr>
          <w:rStyle w:val="FootnoteReference"/>
          <w:rFonts w:eastAsiaTheme="minorHAnsi"/>
        </w:rPr>
        <w:footnoteReference w:id="5"/>
      </w:r>
      <w:r w:rsidRPr="00C10420">
        <w:t>,</w:t>
      </w:r>
    </w:p>
    <w:p w:rsidR="00286AF1" w:rsidRPr="00C10420" w:rsidRDefault="00286AF1" w:rsidP="00244EB9">
      <w:pPr>
        <w:pStyle w:val="NormalHanging12a"/>
      </w:pPr>
      <w:r w:rsidRPr="00C10420">
        <w:t>–</w:t>
      </w:r>
      <w:r w:rsidRPr="00C10420">
        <w:tab/>
        <w:t xml:space="preserve">s ohledem na rozhodnutí Rady (EU) 2022/1526 ze dne 9. září 2022 o zmocnění k zahájení jednání s Kanadou o dohodě o obecných zásadách účasti Kanady na programech Unie a o přidružení Kanady k rámcovému programu pro výzkum a inovace </w:t>
      </w:r>
      <w:r w:rsidRPr="00C10420">
        <w:lastRenderedPageBreak/>
        <w:t>Horizont Evropa (2021–2027)</w:t>
      </w:r>
      <w:r w:rsidRPr="00C10420">
        <w:rPr>
          <w:rStyle w:val="FootnoteReference"/>
          <w:rFonts w:eastAsiaTheme="minorHAnsi"/>
        </w:rPr>
        <w:footnoteReference w:id="6"/>
      </w:r>
      <w:r w:rsidRPr="00C10420">
        <w:t>,</w:t>
      </w:r>
    </w:p>
    <w:p w:rsidR="00286AF1" w:rsidRPr="00C10420" w:rsidRDefault="00286AF1" w:rsidP="00244EB9">
      <w:pPr>
        <w:pStyle w:val="NormalHanging12a"/>
      </w:pPr>
      <w:r w:rsidRPr="00C10420">
        <w:t>–</w:t>
      </w:r>
      <w:r w:rsidRPr="00C10420">
        <w:tab/>
        <w:t>s ohledem na rozhodnutí Rady (EU) 2023/1081 ze dne 15. května 2023 o zmocnění k zahájení jednání s Japonskem o dohodě o obecných zásadách účasti Japonska na programech Unie a o přidružení Japonska k rámcovému programu pro výzkum a inovace Horizont Evropa (2021–2027)</w:t>
      </w:r>
      <w:r w:rsidRPr="00C10420">
        <w:rPr>
          <w:rStyle w:val="FootnoteReference"/>
          <w:rFonts w:eastAsiaTheme="minorHAnsi"/>
        </w:rPr>
        <w:footnoteReference w:id="7"/>
      </w:r>
      <w:r w:rsidRPr="00C10420">
        <w:t>,</w:t>
      </w:r>
    </w:p>
    <w:p w:rsidR="00286AF1" w:rsidRPr="00C10420" w:rsidRDefault="00286AF1" w:rsidP="00244EB9">
      <w:pPr>
        <w:pStyle w:val="NormalHanging12a"/>
      </w:pPr>
      <w:r w:rsidRPr="00C10420">
        <w:t>–</w:t>
      </w:r>
      <w:r w:rsidRPr="00C10420">
        <w:tab/>
        <w:t>s ohledem na rozhodnutí Rady (EU) 2023/1093 ze dne 15. května 2023 o zmocnění k zahájení jednání s Korejskou republikou o dohodě o obecných zásadách účasti Korejské republiky v programech Unie a o přidružení Korejské republiky</w:t>
      </w:r>
      <w:r w:rsidR="002124C0">
        <w:t xml:space="preserve"> </w:t>
      </w:r>
      <w:r w:rsidRPr="00C10420">
        <w:t>k rámcovému programu pro výzkum a inovace Horizont Evropa (2021–2027)</w:t>
      </w:r>
      <w:r w:rsidRPr="00C10420">
        <w:rPr>
          <w:rStyle w:val="FootnoteReference"/>
          <w:rFonts w:eastAsiaTheme="minorHAnsi"/>
        </w:rPr>
        <w:footnoteReference w:id="8"/>
      </w:r>
      <w:r w:rsidRPr="00C10420">
        <w:t>,</w:t>
      </w:r>
    </w:p>
    <w:p w:rsidR="00286AF1" w:rsidRPr="00C10420" w:rsidRDefault="00286AF1" w:rsidP="00244EB9">
      <w:pPr>
        <w:pStyle w:val="NormalHanging12a"/>
      </w:pPr>
      <w:r w:rsidRPr="00C10420">
        <w:t>–</w:t>
      </w:r>
      <w:r w:rsidRPr="00C10420">
        <w:tab/>
        <w:t>s ohledem na Rámcovou dohodu o vztazích mezi Evropským parlamentem a Evropskou komisí ze dne 20. listopadu 2010</w:t>
      </w:r>
      <w:r w:rsidRPr="00C10420">
        <w:rPr>
          <w:rStyle w:val="FootnoteReference"/>
          <w:rFonts w:eastAsiaTheme="minorHAnsi"/>
        </w:rPr>
        <w:footnoteReference w:id="9"/>
      </w:r>
      <w:r w:rsidRPr="00C10420">
        <w:t>,</w:t>
      </w:r>
    </w:p>
    <w:p w:rsidR="00286AF1" w:rsidRPr="00C10420" w:rsidRDefault="00286AF1" w:rsidP="00244EB9">
      <w:pPr>
        <w:pStyle w:val="NormalHanging12a"/>
      </w:pPr>
      <w:r w:rsidRPr="00C10420">
        <w:t>–</w:t>
      </w:r>
      <w:r w:rsidRPr="00C10420">
        <w:tab/>
        <w:t>s ohledem na otázku Komisi týkající se dohod o přidružení pro účast třetích zemí na programech Unie (O-000004/2024 – B9-000</w:t>
      </w:r>
      <w:r w:rsidR="006F2F46">
        <w:t>9</w:t>
      </w:r>
      <w:r w:rsidRPr="00C10420">
        <w:t>/2024),</w:t>
      </w:r>
    </w:p>
    <w:p w:rsidR="00286AF1" w:rsidRPr="00C10420" w:rsidRDefault="00286AF1" w:rsidP="00244EB9">
      <w:pPr>
        <w:pStyle w:val="NormalHanging12a"/>
      </w:pPr>
      <w:r w:rsidRPr="00C10420">
        <w:t>–</w:t>
      </w:r>
      <w:r w:rsidRPr="00C10420">
        <w:tab/>
        <w:t>s ohledem na čl. 136 odst. 5 a čl. 132 odst. 2 jednacího řádu,</w:t>
      </w:r>
    </w:p>
    <w:p w:rsidR="00286AF1" w:rsidRPr="00C10420" w:rsidRDefault="00286AF1" w:rsidP="00244EB9">
      <w:pPr>
        <w:pStyle w:val="NormalHanging12a"/>
      </w:pPr>
      <w:r w:rsidRPr="00C10420">
        <w:t>–</w:t>
      </w:r>
      <w:r w:rsidRPr="00C10420">
        <w:tab/>
        <w:t>s ohledem na návrh usnesení Výboru pro zahraniční věci a Výboru pro průmysl, výzkum a energetiku,</w:t>
      </w:r>
    </w:p>
    <w:p w:rsidR="00286AF1" w:rsidRPr="00C10420" w:rsidRDefault="00286AF1" w:rsidP="00244EB9">
      <w:pPr>
        <w:pStyle w:val="NormalHanging12a"/>
        <w:rPr>
          <w:b/>
          <w:i/>
        </w:rPr>
      </w:pPr>
      <w:r w:rsidRPr="00C10420">
        <w:rPr>
          <w:b/>
          <w:i/>
        </w:rPr>
        <w:t>Obecné poznámky</w:t>
      </w:r>
    </w:p>
    <w:p w:rsidR="00286AF1" w:rsidRPr="00C10420" w:rsidRDefault="00286AF1" w:rsidP="00244EB9">
      <w:pPr>
        <w:pStyle w:val="NormalHanging12a"/>
      </w:pPr>
      <w:r w:rsidRPr="00C10420">
        <w:t>1.</w:t>
      </w:r>
      <w:r w:rsidRPr="00C10420">
        <w:tab/>
        <w:t>uznává potenciál obohatit výsledky programů Unie prostřednictvím aktivní a vzájemně prospěšné spolupráce se třetími zeměmi, které s EU sdílejí společné demokratické hodnoty;</w:t>
      </w:r>
    </w:p>
    <w:p w:rsidR="00286AF1" w:rsidRPr="00C10420" w:rsidRDefault="00286AF1" w:rsidP="00244EB9">
      <w:pPr>
        <w:pStyle w:val="NormalHanging12a"/>
      </w:pPr>
      <w:r w:rsidRPr="00C10420">
        <w:t>2.</w:t>
      </w:r>
      <w:r w:rsidRPr="00C10420">
        <w:tab/>
        <w:t>považuje program Horizont Evropa za největší program spolupráce v oblasti výzkumu a inovací na světě na období 2021–2027;</w:t>
      </w:r>
    </w:p>
    <w:p w:rsidR="00286AF1" w:rsidRPr="00C10420" w:rsidRDefault="00286AF1" w:rsidP="00244EB9">
      <w:pPr>
        <w:pStyle w:val="NormalHanging12a"/>
      </w:pPr>
      <w:r w:rsidRPr="00C10420">
        <w:t>3.</w:t>
      </w:r>
      <w:r w:rsidRPr="00C10420">
        <w:tab/>
        <w:t>podporuje přidružení třetích zemí, které mají dobré kapacity v oblasti vědy, technologií a inovací, k programu Horizont Evropa a uznává, že tato spolupráce přispívá k celkové síle a účinnosti vnější činnosti EU; vybízí Komisi, aby usilovala o další dohody o přidružení se třetími zeměmi a uzavírala je, neboť to zvyšuje konkurenceschopnost EU na celosvětové scéně; zdůrazňuje, že je třeba zajistit, aby všechny příslušné dohody o přidružení dodržovaly cíle programu Horizont Evropa v oblasti klimatu;</w:t>
      </w:r>
    </w:p>
    <w:p w:rsidR="00286AF1" w:rsidRPr="00C10420" w:rsidRDefault="00286AF1" w:rsidP="00244EB9">
      <w:pPr>
        <w:pStyle w:val="NormalHanging12a"/>
        <w:rPr>
          <w:i/>
        </w:rPr>
      </w:pPr>
      <w:r w:rsidRPr="00C10420">
        <w:t>4.</w:t>
      </w:r>
      <w:r w:rsidRPr="00C10420">
        <w:tab/>
        <w:t>zdůrazňuje, že přidružení třetích zemí k programům EU není pouhým technickým aktem, ale spíše politickým rozhodnutím týkajícím se vztahů přidružených zemí s EU a konkrétně v případě programu Horizont Evropa otázkou vědecké a akademické svobody;</w:t>
      </w:r>
    </w:p>
    <w:p w:rsidR="00286AF1" w:rsidRPr="00C10420" w:rsidRDefault="00286AF1" w:rsidP="00244EB9">
      <w:pPr>
        <w:pStyle w:val="NormalHanging12a"/>
      </w:pPr>
      <w:r w:rsidRPr="00C10420">
        <w:t>5.</w:t>
      </w:r>
      <w:r w:rsidRPr="00C10420">
        <w:tab/>
        <w:t xml:space="preserve">uznává pravidla stanovená ve Smlouvách, která musí být v zájmu zachování institucionální rovnováhy dodržována v souladu se zásadami právního státu, a úlohu svěřenou Parlamentu; je přesvědčen, že je třeba dodržovat zásadu loajální spolupráce, </w:t>
      </w:r>
      <w:r w:rsidRPr="00C10420">
        <w:lastRenderedPageBreak/>
        <w:t>která zaručí, že si všechny orgány EU budou vzájemně nápomocny při plnění úkolů vyplývajících ze Smluv, i proto, aby byl zajištěn větší zřetel k názoru Parlamentu jakožto přímého zástupce občanů EU;</w:t>
      </w:r>
    </w:p>
    <w:p w:rsidR="00286AF1" w:rsidRPr="00C10420" w:rsidRDefault="00286AF1" w:rsidP="00244EB9">
      <w:pPr>
        <w:pStyle w:val="NormalHanging12a"/>
      </w:pPr>
      <w:r w:rsidRPr="00C10420">
        <w:t>6.</w:t>
      </w:r>
      <w:r w:rsidRPr="00C10420">
        <w:tab/>
        <w:t>zpochybňuje přístup Komise, pokud jde o uzavírání mezinárodních dohod věnovaných účasti třetích zemí na programech Unie, což brání Parlamentu ve výkonu jeho výsad v rámci postupů pro uzavírání mezinárodních dohod Unie;</w:t>
      </w:r>
    </w:p>
    <w:p w:rsidR="00286AF1" w:rsidRPr="00C10420" w:rsidRDefault="00286AF1" w:rsidP="00244EB9">
      <w:pPr>
        <w:pStyle w:val="NormalHanging12a"/>
      </w:pPr>
      <w:r w:rsidRPr="00C10420">
        <w:t>7.</w:t>
      </w:r>
      <w:r w:rsidRPr="00C10420">
        <w:tab/>
        <w:t>naléhavě vyzývá Komisi a Radu, aby v souladu se Smlouvami plně zohlednily úlohu Parlamentu při uzavírání dohod o přidružení, které se řídí touto novou strukturou;</w:t>
      </w:r>
    </w:p>
    <w:p w:rsidR="00286AF1" w:rsidRPr="00C10420" w:rsidRDefault="00286AF1" w:rsidP="00244EB9">
      <w:pPr>
        <w:pStyle w:val="NormalHanging12a"/>
        <w:rPr>
          <w:i/>
        </w:rPr>
      </w:pPr>
      <w:r w:rsidRPr="00C10420">
        <w:t>8.</w:t>
      </w:r>
      <w:r w:rsidRPr="00C10420">
        <w:rPr>
          <w:i/>
        </w:rPr>
        <w:tab/>
      </w:r>
      <w:r w:rsidRPr="00C10420">
        <w:t>zdůrazňuje, že jeho schopnost vyslovit smysluplný souhlas s mezinárodními dohodami, které se týkají účasti konkrétních zemí na programech Unie, je ztížena tím, že tyto dohody nestanoví strukturu, která by zaručovala parlamentní kontrolu v rámci postupu souhlasu s přidružením ke konkrétnímu programu Unie;</w:t>
      </w:r>
    </w:p>
    <w:p w:rsidR="00286AF1" w:rsidRPr="00C10420" w:rsidRDefault="00286AF1" w:rsidP="00244EB9">
      <w:pPr>
        <w:pStyle w:val="NormalHanging12a"/>
        <w:rPr>
          <w:b/>
          <w:i/>
        </w:rPr>
      </w:pPr>
      <w:r w:rsidRPr="00C10420">
        <w:rPr>
          <w:b/>
          <w:i/>
        </w:rPr>
        <w:t>Dohody o spolupráci a přidružení mezi Novým Zélandem a Evropskou unií</w:t>
      </w:r>
    </w:p>
    <w:p w:rsidR="00286AF1" w:rsidRPr="00C10420" w:rsidRDefault="00286AF1" w:rsidP="00244EB9">
      <w:pPr>
        <w:pStyle w:val="NormalHanging12a"/>
        <w:rPr>
          <w:i/>
        </w:rPr>
      </w:pPr>
      <w:r w:rsidRPr="00C10420">
        <w:t>9.</w:t>
      </w:r>
      <w:r w:rsidRPr="00C10420">
        <w:rPr>
          <w:i/>
        </w:rPr>
        <w:tab/>
      </w:r>
      <w:r w:rsidRPr="00C10420">
        <w:t>uznává pevné historické a kulturní vazby mezi EU a Novým Zélandem, jakož i vynikající stav dvoustranných vztahů mezi nimi, které jsou založeny na sdílených demokratických hodnotách a mnoha společných zájmech; oceňuje vynikající spolupráci v oblasti obchodu, zahraniční politiky, výzkumu a inovací a na mnohostranných fórech;</w:t>
      </w:r>
    </w:p>
    <w:p w:rsidR="00286AF1" w:rsidRPr="00C10420" w:rsidRDefault="00286AF1" w:rsidP="00244EB9">
      <w:pPr>
        <w:pStyle w:val="NormalHanging12a"/>
      </w:pPr>
      <w:r w:rsidRPr="00C10420">
        <w:t>10.</w:t>
      </w:r>
      <w:r w:rsidRPr="00C10420">
        <w:tab/>
        <w:t>vyzdvihuje důležitou úlohu Nového Zélandu jako jednoho z klíčových podobně smýšlejících partnerů EU v dynamickém a strategicky a hospodářsky významném indicko-tichomořském regionu; vyzývá k hlubší spolupráci v oblastech společného zájmu, zejména v oblasti zahraničních věcí; v této souvislosti zdůrazňuje trvalou bezpečnostní spolupráci mezi EU a Novým Zélandem, zejména pokud jde o operace a mise v rámci společné bezpečnostní a obranné politiky EU; připomíná, že Nový Zéland zaujal postoj shodný s postojem EU, když odsoudil nezákonnou invazi Ruska na Ukrajinu a podpořil Ukrajinu poskytnutím pomoci a zavedením sankcí proti Rusku;</w:t>
      </w:r>
    </w:p>
    <w:p w:rsidR="00286AF1" w:rsidRPr="00C10420" w:rsidRDefault="00286AF1" w:rsidP="00244EB9">
      <w:pPr>
        <w:pStyle w:val="NormalHanging12a"/>
        <w:rPr>
          <w:i/>
        </w:rPr>
      </w:pPr>
      <w:r w:rsidRPr="00C10420">
        <w:t>11.</w:t>
      </w:r>
      <w:r w:rsidRPr="00C10420">
        <w:rPr>
          <w:i/>
        </w:rPr>
        <w:tab/>
      </w:r>
      <w:r w:rsidRPr="00C10420">
        <w:t>dále zdůrazňuje nedávno uzavřenou dohodu o volném obchodu mezi EU a Novým Zélandem, jejímž záměrem je ještě více posílit dvoustranné vztahy a liberalizovat a usnadnit obchod a investice a dosáhnout tak významného vzájemného prospěchu a zajistit hospodářské příležitosti pro podniky a spotřebitele a která zahrnuje rozhodné a závazné sociální a environmentální závazky týkající se Pařížské klimatické dohody; zdůrazňuje pozitivní úlohu, kterou může evropská diaspora na Novém Zélandu sehrát při dalším prohlubování vztahů mezi Novým Zélandem a EU;</w:t>
      </w:r>
    </w:p>
    <w:p w:rsidR="00286AF1" w:rsidRPr="00C10420" w:rsidRDefault="00286AF1" w:rsidP="00244EB9">
      <w:pPr>
        <w:pStyle w:val="NormalHanging12a"/>
      </w:pPr>
      <w:r w:rsidRPr="00C10420">
        <w:t>12.</w:t>
      </w:r>
      <w:r w:rsidRPr="00C10420">
        <w:tab/>
        <w:t>uznává, že EU a Nový Zéland mají za sebou dlouhou historii spolupráce v oblasti výzkumu; zdůrazňuje, že Nový Zéland má vynikající výsledky v účasti v programu Horizont 2020, v jehož rámci bylo financováno 77 projektů, a že novozélandští výzkumní pracovníci měli možnost se účastnit dvou předchozích rámcových programů pro výzkum a inovace, sedmého rámcového programu pro výzkum a technologický rozvoj a programu Horizont 2020, což ukazuje potenciální přínosy přidružení Nového Zélandu k programu Horizont Evropa;</w:t>
      </w:r>
    </w:p>
    <w:p w:rsidR="00286AF1" w:rsidRPr="00C10420" w:rsidRDefault="00286AF1" w:rsidP="00244EB9">
      <w:pPr>
        <w:pStyle w:val="NormalHanging12a"/>
      </w:pPr>
      <w:r w:rsidRPr="00C10420">
        <w:t>13.</w:t>
      </w:r>
      <w:r w:rsidRPr="00C10420">
        <w:tab/>
        <w:t xml:space="preserve">vítá návrh na posílení partnerství EU s Novým Zélandem prostřednictvím přidružení Nového Zélandu k programu Horizont Evropa, které dále posílí spolupráci v oblasti výzkumu a inovací a učiní z Nového Zélandu nejdůležitějšího regionálního partnera EU </w:t>
      </w:r>
      <w:r w:rsidRPr="00C10420">
        <w:lastRenderedPageBreak/>
        <w:t>v oblasti vědy a inovací; konstatuje však, že chybí ustanovení, která by umožnila řádnou parlamentní kontrolu budoucího přidružení Nového Zélandu k programům Unie;</w:t>
      </w:r>
    </w:p>
    <w:p w:rsidR="00286AF1" w:rsidRPr="00C10420" w:rsidRDefault="00286AF1" w:rsidP="00244EB9">
      <w:pPr>
        <w:pStyle w:val="NormalHanging12a"/>
      </w:pPr>
      <w:r w:rsidRPr="00C10420">
        <w:t>14.</w:t>
      </w:r>
      <w:r w:rsidRPr="00C10420">
        <w:tab/>
        <w:t>poukazuje na to, že v dohodě o účasti Nového Zélandu na programech Unie Komise a Rada udělují smíšenému výboru zřízenému podle této dohody pravomoc přijímat protokoly o přidružení Nového Zélandu k jakémukoli programu Unie, přestože Parlament proti této výsadě vznesl námitky, neboť to smíšenému výboru fakticky uděluje prováděcí pravomoc v zásadních aspektech; konstatuje, že mezi zásadní rozhodnutí, která jsou svěřena smíšenému výboru, patří rozsah přidružení k jednotlivým programům, jakož i zásadní ustanovení týkající se automatického mechanismu oprav;</w:t>
      </w:r>
    </w:p>
    <w:p w:rsidR="00286AF1" w:rsidRPr="00C10420" w:rsidRDefault="00286AF1" w:rsidP="00244EB9">
      <w:pPr>
        <w:pStyle w:val="NormalHanging12a"/>
      </w:pPr>
      <w:r w:rsidRPr="00C10420">
        <w:t>15.</w:t>
      </w:r>
      <w:r w:rsidRPr="00C10420">
        <w:tab/>
        <w:t>s politováním konstatuje, že smíšený výbor je oprávněn prostřednictvím protokolů měnit jakýkoli rozhodující protokol o přidružení, který může zahrnovat i ustanovení týkající se přezkumů, auditů a finančních nesrovnalostí; konstatuje, že k takovým změnám by došlo bez dalšího zapojení Parlamentu; konstatuje, že udělením souhlasu by Parlament fakticky udělil smíšenému výboru neomezený mandát; poukazuje na to, že Rada má za úkol sledovat činnost Komise ve smíšeném výboru, ale ve skutečnosti tuto povinnost často zanedbává a nepodává Parlamentu odpovídající zprávy, což vede k naprostému nedostatku dohledu a kontroly těchto mezinárodních dohod;</w:t>
      </w:r>
    </w:p>
    <w:p w:rsidR="00286AF1" w:rsidRPr="00C10420" w:rsidRDefault="00286AF1" w:rsidP="00244EB9">
      <w:pPr>
        <w:pStyle w:val="NormalHanging12a"/>
      </w:pPr>
      <w:r w:rsidRPr="00C10420">
        <w:t>16.</w:t>
      </w:r>
      <w:r w:rsidRPr="00C10420">
        <w:tab/>
        <w:t>zdůrazňuje svůj postoj k dohodám o přidružení týkajícím se programu Horizont Evropa, který přijal v prohlášení doprovázejícím přijetí nařízení o programu Horizont Evropa, a zdůrazňuje, že žádný subjekt zřízený prostřednictvím takových dohod by neměl obcházet potřebu získat smysluplný souhlas Parlamentu; domnívá se, že zásadní aspekty zapojení třetí země do programu Horizont Evropa by neměly být delegovány na takový orgán;</w:t>
      </w:r>
    </w:p>
    <w:p w:rsidR="00286AF1" w:rsidRPr="00C10420" w:rsidRDefault="00286AF1" w:rsidP="00244EB9">
      <w:pPr>
        <w:pStyle w:val="NormalHanging12a"/>
      </w:pPr>
      <w:r w:rsidRPr="00C10420">
        <w:t>17.</w:t>
      </w:r>
      <w:r w:rsidRPr="00C10420">
        <w:tab/>
        <w:t>nesouhlasí s touto novou strukturou mezinárodních dohod, která neumožňuje Parlamentu vykonávat jeho pravomoci v souladu s čl. 218 odst. 6 písm. a) S</w:t>
      </w:r>
      <w:r w:rsidR="000D3023">
        <w:t xml:space="preserve">mlouvy o fungování </w:t>
      </w:r>
      <w:r w:rsidRPr="00C10420">
        <w:t>EU; domnívá se, že se jedná o překážku plnění výsad Parlamentu, která opomíjí požadovanou institucionální rovnováhu, a proto je třeba ji změnit;</w:t>
      </w:r>
    </w:p>
    <w:p w:rsidR="00286AF1" w:rsidRPr="00C10420" w:rsidRDefault="00286AF1" w:rsidP="00244EB9">
      <w:pPr>
        <w:pStyle w:val="NormalHanging12a"/>
      </w:pPr>
      <w:r w:rsidRPr="00C10420">
        <w:t>18.</w:t>
      </w:r>
      <w:r w:rsidRPr="00C10420">
        <w:tab/>
        <w:t>v této souvislosti připomíná, že čl. 218 odst. 10 S</w:t>
      </w:r>
      <w:r w:rsidR="000D3023">
        <w:t xml:space="preserve">mlouvy o fungování </w:t>
      </w:r>
      <w:r w:rsidRPr="00C10420">
        <w:t>EU stanoví, že Parlament by měl být neprodleně a plně informován ve všech fázích postupu sjednávání a uzavírání mezinárodních dohod uvedených v tomto článku, a že toto pravidlo je podle Soudního dvora Evropské unie (</w:t>
      </w:r>
      <w:r w:rsidR="00EA415D">
        <w:t>dále jen „</w:t>
      </w:r>
      <w:r w:rsidRPr="00C10420">
        <w:t>S</w:t>
      </w:r>
      <w:r w:rsidR="00EA415D">
        <w:t>oudní dvůr“</w:t>
      </w:r>
      <w:r w:rsidRPr="00C10420">
        <w:t>) vyjádřením demokratických zásad, na nichž je EU založena; zdůrazňuje zejména skutečnost, že S</w:t>
      </w:r>
      <w:r w:rsidR="00EA415D">
        <w:t>oudní dvůr</w:t>
      </w:r>
      <w:r w:rsidRPr="00C10420">
        <w:t xml:space="preserve"> již dříve uvedl, že zapojení Parlamentu do rozhodovacího procesu je na úrovni EU odrazem základní demokratické zásady, podle níž se má obyvatelstvo podílet na výkonu moci prostřednictvím zastupitelského shromáždění</w:t>
      </w:r>
      <w:r w:rsidRPr="00C10420">
        <w:rPr>
          <w:rStyle w:val="FootnoteReference"/>
          <w:rFonts w:eastAsiaTheme="minorHAnsi"/>
          <w:color w:val="000000"/>
        </w:rPr>
        <w:footnoteReference w:id="10"/>
      </w:r>
      <w:r w:rsidRPr="00C10420">
        <w:t>;</w:t>
      </w:r>
    </w:p>
    <w:p w:rsidR="00286AF1" w:rsidRPr="00C10420" w:rsidRDefault="00286AF1" w:rsidP="00244EB9">
      <w:pPr>
        <w:pStyle w:val="NormalHanging12a"/>
      </w:pPr>
      <w:r w:rsidRPr="00C10420">
        <w:t>19.</w:t>
      </w:r>
      <w:r w:rsidRPr="00C10420">
        <w:tab/>
        <w:t xml:space="preserve">v této souvislosti připomíná, že dotčené dohody nemají precedens, neboť umožňují účast nového typu třetích zemí a poprvé tak činí prostřednictvím obecné dohody vztahující se na všechny programy Unie; zdůrazňuje, že v minulosti byla taková účast upravena prostřednictvím individuální dohody pro každý program Unie a byla omezena na konkrétní víceletý finanční rámec; zdůrazňuje, že vzhledem k nové povaze těchto dohod nemá Parlament k dispozici příslušné údaje ani informace, které by bylo možné </w:t>
      </w:r>
      <w:r w:rsidRPr="00C10420">
        <w:lastRenderedPageBreak/>
        <w:t>použít ke smysluplnému posouzení jejich možného dopadu na současnou generaci programů Unie nebo na budoucí generace programů Unie;</w:t>
      </w:r>
    </w:p>
    <w:p w:rsidR="00286AF1" w:rsidRPr="00C10420" w:rsidRDefault="00286AF1" w:rsidP="00244EB9">
      <w:pPr>
        <w:pStyle w:val="NormalHanging12a"/>
      </w:pPr>
      <w:r w:rsidRPr="00C10420">
        <w:t>20.</w:t>
      </w:r>
      <w:r w:rsidRPr="00C10420">
        <w:tab/>
        <w:t>v této souvislosti se domnívá, že Parlament by měl být schopen smysluplně zajistit účast občanů na rozhodovacím procesu vzhledem ke struktuře těchto mezinárodních dohod, v nichž se o přidružení k danému programu třetí země, včetně rozsahu tohoto přidružení, rozhoduje až v budoucnu, často dlouho poté, co Parlament vyslovil souhlas s uzavřením původní dohody s touto třetí zemí;</w:t>
      </w:r>
    </w:p>
    <w:p w:rsidR="00286AF1" w:rsidRPr="00C10420" w:rsidRDefault="00286AF1" w:rsidP="00244EB9">
      <w:pPr>
        <w:pStyle w:val="NormalHanging12a"/>
      </w:pPr>
      <w:r w:rsidRPr="00C10420">
        <w:t>21.</w:t>
      </w:r>
      <w:r w:rsidRPr="00C10420">
        <w:tab/>
        <w:t>připomíná, že jeho postoj k přístupu Komise by neměl být vykládán jako námitka vůči Novému Zélandu nebo osvědčené a úzké spolupráci, která mezi touto zemí a EU vždy existovala;</w:t>
      </w:r>
    </w:p>
    <w:p w:rsidR="00286AF1" w:rsidRPr="00C10420" w:rsidRDefault="00286AF1" w:rsidP="00244EB9">
      <w:pPr>
        <w:pStyle w:val="NormalHanging12a"/>
        <w:rPr>
          <w:b/>
          <w:i/>
        </w:rPr>
      </w:pPr>
      <w:r w:rsidRPr="00C10420">
        <w:rPr>
          <w:b/>
          <w:i/>
        </w:rPr>
        <w:t>Účast dalších podobně smýšlejících zemí na programech Unie</w:t>
      </w:r>
    </w:p>
    <w:p w:rsidR="00286AF1" w:rsidRPr="00C10420" w:rsidRDefault="00286AF1" w:rsidP="00244EB9">
      <w:pPr>
        <w:pStyle w:val="NormalHanging12a"/>
      </w:pPr>
      <w:r w:rsidRPr="00C10420">
        <w:t>22.</w:t>
      </w:r>
      <w:r w:rsidRPr="00C10420">
        <w:tab/>
        <w:t xml:space="preserve">vyjadřuje politování nad tím, že návrh dohody o účasti </w:t>
      </w:r>
      <w:proofErr w:type="spellStart"/>
      <w:r w:rsidRPr="00C10420">
        <w:t>Faerských</w:t>
      </w:r>
      <w:proofErr w:type="spellEnd"/>
      <w:r w:rsidRPr="00C10420">
        <w:t xml:space="preserve"> ostrovů a navrhovaná přidružení Kanady, Korejské republiky a Japonska mají stejnou strukturu jako návrh dohody s Novým Zélandem; žádá, aby se Komise zdržela toho, aby bránila výkonu práva Parlamentu na souhlas s jakýmkoli přidružením k programu Unie a aby dohody o přidružení s novými partnery byly uzavírány až poté, co Parlament bude moci uplatnit své právo na smysluplný souhlas;</w:t>
      </w:r>
    </w:p>
    <w:p w:rsidR="00286AF1" w:rsidRPr="00C10420" w:rsidRDefault="00286AF1" w:rsidP="00244EB9">
      <w:pPr>
        <w:pStyle w:val="NormalHanging12a"/>
        <w:rPr>
          <w:i/>
        </w:rPr>
      </w:pPr>
      <w:r w:rsidRPr="00C10420">
        <w:t>23.</w:t>
      </w:r>
      <w:r w:rsidRPr="00C10420">
        <w:tab/>
        <w:t>vyjadřuje znepokojení nad skutečností, že nedávno dohodnutá automatická sleva na příspěvku Spojeného království do programu Horizont Evropa v případě „nižší než očekávané“ účasti Spojeného království v tomto programu vedla k nesouladu s ustanoveními dohody o obchodu a spolupráci mezi EU a Spojeným královstvím, s níž Parlament vyslovil souhlas;</w:t>
      </w:r>
    </w:p>
    <w:p w:rsidR="00286AF1" w:rsidRPr="00C10420" w:rsidRDefault="00286AF1" w:rsidP="00244EB9">
      <w:pPr>
        <w:pStyle w:val="NormalHanging12a"/>
        <w:rPr>
          <w:b/>
          <w:i/>
        </w:rPr>
      </w:pPr>
      <w:r w:rsidRPr="00C10420">
        <w:rPr>
          <w:b/>
          <w:i/>
        </w:rPr>
        <w:t>Cesta vpřed</w:t>
      </w:r>
    </w:p>
    <w:p w:rsidR="00286AF1" w:rsidRPr="00C10420" w:rsidRDefault="00286AF1" w:rsidP="00244EB9">
      <w:pPr>
        <w:pStyle w:val="NormalHanging12a"/>
      </w:pPr>
      <w:r w:rsidRPr="00C10420">
        <w:t>24.</w:t>
      </w:r>
      <w:r w:rsidRPr="00C10420">
        <w:tab/>
        <w:t>připomíná, že by měl být v souladu s Rámcovou dohodou o vztazích mezi Evropským parlamentem a Evropskou komisí neprodleně a plně informován ve všech fázích vyjednávání a uzavírání mezinárodních dohod;</w:t>
      </w:r>
    </w:p>
    <w:p w:rsidR="00286AF1" w:rsidRPr="00C10420" w:rsidRDefault="00286AF1" w:rsidP="00244EB9">
      <w:pPr>
        <w:pStyle w:val="NormalHanging12a"/>
      </w:pPr>
      <w:r w:rsidRPr="00C10420">
        <w:t>25.</w:t>
      </w:r>
      <w:r w:rsidRPr="00C10420">
        <w:tab/>
        <w:t>vyzývá Komisi, aby mu pravidelně předkládala podrobné zprávy o provádění dohod, jako jsou aktuální informace o takových aspektech, jako jsou dosažené milníky, problémy, s nimiž se potýká, míra úspěšnosti návrhů subjektů ze třetích zemí, roční příspěvky třetích zemí, plnění rozpočtu a výsledky auditu;</w:t>
      </w:r>
    </w:p>
    <w:p w:rsidR="00286AF1" w:rsidRPr="00C10420" w:rsidRDefault="00286AF1" w:rsidP="00244EB9">
      <w:pPr>
        <w:pStyle w:val="NormalHanging12a"/>
      </w:pPr>
      <w:r w:rsidRPr="00C10420">
        <w:t>26.</w:t>
      </w:r>
      <w:r w:rsidRPr="00C10420">
        <w:tab/>
        <w:t>naléhavě vyzývá Komisi, aby zahájila jednání o interinstitucionální dohodě, která by stanovila obecné zásady demokratické kontroly Parlamentu ve věci provádění dohod o účasti třetích zemí na programech Unie;</w:t>
      </w:r>
    </w:p>
    <w:p w:rsidR="00286AF1" w:rsidRPr="00C10420" w:rsidRDefault="00286AF1" w:rsidP="00244EB9">
      <w:pPr>
        <w:pStyle w:val="NormalHanging12a"/>
      </w:pPr>
      <w:r w:rsidRPr="00C10420">
        <w:t>27.</w:t>
      </w:r>
      <w:r w:rsidRPr="00C10420">
        <w:tab/>
        <w:t>vyjadřuje naději, že Komise vyjasní situaci a poskytne relevantní a uspokojivou odpověď na otázku Parlamentu k ústnímu zodpovězení, aby mohl být udělen souhlas; je připraven plně spolupracovat s Komisí a Radou na dosažení tohoto výsledku;</w:t>
      </w:r>
    </w:p>
    <w:p w:rsidR="00244EB9" w:rsidRDefault="00244EB9" w:rsidP="00244EB9">
      <w:pPr>
        <w:pStyle w:val="NormalHanging12a"/>
        <w:widowControl/>
        <w:jc w:val="center"/>
      </w:pPr>
      <w:r>
        <w:t>°</w:t>
      </w:r>
    </w:p>
    <w:p w:rsidR="00244EB9" w:rsidRDefault="00244EB9" w:rsidP="00244EB9">
      <w:pPr>
        <w:pStyle w:val="NormalHanging12a"/>
        <w:widowControl/>
        <w:jc w:val="center"/>
      </w:pPr>
      <w:r>
        <w:t>°     °</w:t>
      </w:r>
    </w:p>
    <w:p w:rsidR="00E365E1" w:rsidRPr="00C10420" w:rsidRDefault="00286AF1" w:rsidP="00244EB9">
      <w:pPr>
        <w:pStyle w:val="NormalHanging12a"/>
      </w:pPr>
      <w:r w:rsidRPr="00C10420">
        <w:t>28.</w:t>
      </w:r>
      <w:r w:rsidRPr="00C10420">
        <w:tab/>
        <w:t>pověřuje svou předsedkyni, aby předala toto usnesení Radě a Komisi.</w:t>
      </w:r>
      <w:bookmarkStart w:id="8" w:name="TextBodyEnd"/>
      <w:bookmarkEnd w:id="8"/>
    </w:p>
    <w:sectPr w:rsidR="00E365E1" w:rsidRPr="00C10420" w:rsidSect="00C104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55A" w:rsidRPr="00C10420" w:rsidRDefault="00CA555A">
      <w:r w:rsidRPr="00C10420">
        <w:separator/>
      </w:r>
    </w:p>
  </w:endnote>
  <w:endnote w:type="continuationSeparator" w:id="0">
    <w:p w:rsidR="00CA555A" w:rsidRPr="00C10420" w:rsidRDefault="00CA555A">
      <w:r w:rsidRPr="00C104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04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04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04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55A" w:rsidRPr="00C10420" w:rsidRDefault="00CA555A">
      <w:r w:rsidRPr="00C10420">
        <w:separator/>
      </w:r>
    </w:p>
  </w:footnote>
  <w:footnote w:type="continuationSeparator" w:id="0">
    <w:p w:rsidR="00CA555A" w:rsidRPr="00C10420" w:rsidRDefault="00CA555A">
      <w:r w:rsidRPr="00C10420">
        <w:continuationSeparator/>
      </w:r>
    </w:p>
  </w:footnote>
  <w:footnote w:id="1">
    <w:p w:rsidR="00286AF1" w:rsidRPr="00C10420" w:rsidRDefault="00286AF1" w:rsidP="00C10420">
      <w:pPr>
        <w:pStyle w:val="FootnoteText"/>
        <w:ind w:left="567" w:hanging="567"/>
        <w:rPr>
          <w:sz w:val="24"/>
          <w:lang w:val="cs-CZ"/>
        </w:rPr>
      </w:pPr>
      <w:r w:rsidRPr="00C10420">
        <w:rPr>
          <w:rStyle w:val="FootnoteReference"/>
          <w:sz w:val="24"/>
          <w:lang w:val="cs-CZ"/>
        </w:rPr>
        <w:footnoteRef/>
      </w:r>
      <w:r w:rsidR="00C10420" w:rsidRPr="00C10420">
        <w:rPr>
          <w:sz w:val="24"/>
          <w:lang w:val="cs-CZ"/>
        </w:rPr>
        <w:t xml:space="preserve"> </w:t>
      </w:r>
      <w:r w:rsidR="00C10420" w:rsidRPr="00C10420">
        <w:rPr>
          <w:sz w:val="24"/>
          <w:lang w:val="cs-CZ"/>
        </w:rPr>
        <w:tab/>
      </w:r>
      <w:proofErr w:type="spellStart"/>
      <w:r w:rsidRPr="00C10420">
        <w:rPr>
          <w:sz w:val="24"/>
          <w:lang w:val="cs-CZ"/>
        </w:rPr>
        <w:t>Úř</w:t>
      </w:r>
      <w:proofErr w:type="spellEnd"/>
      <w:r w:rsidRPr="00C10420">
        <w:rPr>
          <w:sz w:val="24"/>
          <w:lang w:val="cs-CZ"/>
        </w:rPr>
        <w:t xml:space="preserve">. </w:t>
      </w:r>
      <w:proofErr w:type="spellStart"/>
      <w:r w:rsidRPr="00C10420">
        <w:rPr>
          <w:sz w:val="24"/>
          <w:lang w:val="cs-CZ"/>
        </w:rPr>
        <w:t>věst</w:t>
      </w:r>
      <w:proofErr w:type="spellEnd"/>
      <w:r w:rsidRPr="00C10420">
        <w:rPr>
          <w:sz w:val="24"/>
          <w:lang w:val="cs-CZ"/>
        </w:rPr>
        <w:t>. L 170, 12.5.2021, s. 1.</w:t>
      </w:r>
    </w:p>
  </w:footnote>
  <w:footnote w:id="2">
    <w:p w:rsidR="00286AF1" w:rsidRPr="00C10420" w:rsidRDefault="00286AF1" w:rsidP="00C10420">
      <w:pPr>
        <w:pStyle w:val="FootnoteText"/>
        <w:ind w:left="567" w:hanging="567"/>
        <w:rPr>
          <w:sz w:val="24"/>
          <w:lang w:val="cs-CZ"/>
        </w:rPr>
      </w:pPr>
      <w:r w:rsidRPr="00C10420">
        <w:rPr>
          <w:rStyle w:val="FootnoteReference"/>
          <w:sz w:val="24"/>
          <w:lang w:val="cs-CZ"/>
        </w:rPr>
        <w:footnoteRef/>
      </w:r>
      <w:r w:rsidR="00C10420" w:rsidRPr="00C10420">
        <w:rPr>
          <w:sz w:val="24"/>
          <w:lang w:val="cs-CZ"/>
        </w:rPr>
        <w:t xml:space="preserve"> </w:t>
      </w:r>
      <w:r w:rsidR="00C10420" w:rsidRPr="00C10420">
        <w:rPr>
          <w:sz w:val="24"/>
          <w:lang w:val="cs-CZ"/>
        </w:rPr>
        <w:tab/>
      </w:r>
      <w:r w:rsidRPr="00C10420">
        <w:rPr>
          <w:sz w:val="24"/>
          <w:lang w:val="cs-CZ"/>
        </w:rPr>
        <w:t>Postoj Evropského parlamentu v prvním čtení ze dne 17. dubna 2019 k návrhu nařízení Evropského parlamentu a Rady, kterým se zavádí rámcový program pro výzkum a inovace Horizont Evropa a stanoví pravidla pro účast a šíření výsledků (</w:t>
      </w:r>
      <w:proofErr w:type="spellStart"/>
      <w:r w:rsidRPr="00C10420">
        <w:rPr>
          <w:sz w:val="24"/>
          <w:lang w:val="cs-CZ"/>
        </w:rPr>
        <w:t>Úř</w:t>
      </w:r>
      <w:proofErr w:type="spellEnd"/>
      <w:r w:rsidRPr="00C10420">
        <w:rPr>
          <w:sz w:val="24"/>
          <w:lang w:val="cs-CZ"/>
        </w:rPr>
        <w:t xml:space="preserve">. </w:t>
      </w:r>
      <w:proofErr w:type="spellStart"/>
      <w:r w:rsidRPr="00C10420">
        <w:rPr>
          <w:sz w:val="24"/>
          <w:lang w:val="cs-CZ"/>
        </w:rPr>
        <w:t>věst</w:t>
      </w:r>
      <w:proofErr w:type="spellEnd"/>
      <w:r w:rsidRPr="00C10420">
        <w:rPr>
          <w:sz w:val="24"/>
          <w:lang w:val="cs-CZ"/>
        </w:rPr>
        <w:t>. C 158, 30.4.2021, s. 184).</w:t>
      </w:r>
    </w:p>
  </w:footnote>
  <w:footnote w:id="3">
    <w:p w:rsidR="00286AF1" w:rsidRPr="00C10420" w:rsidRDefault="00286AF1" w:rsidP="00C10420">
      <w:pPr>
        <w:pStyle w:val="FootnoteText"/>
        <w:ind w:left="567" w:hanging="567"/>
        <w:rPr>
          <w:sz w:val="24"/>
          <w:lang w:val="cs-CZ"/>
        </w:rPr>
      </w:pPr>
      <w:r w:rsidRPr="00C10420">
        <w:rPr>
          <w:rStyle w:val="FootnoteReference"/>
          <w:sz w:val="24"/>
          <w:lang w:val="cs-CZ"/>
        </w:rPr>
        <w:footnoteRef/>
      </w:r>
      <w:r w:rsidR="00C10420" w:rsidRPr="00C10420">
        <w:rPr>
          <w:sz w:val="24"/>
          <w:lang w:val="cs-CZ"/>
        </w:rPr>
        <w:t xml:space="preserve"> </w:t>
      </w:r>
      <w:r w:rsidR="00C10420" w:rsidRPr="00C10420">
        <w:rPr>
          <w:sz w:val="24"/>
          <w:lang w:val="cs-CZ"/>
        </w:rPr>
        <w:tab/>
      </w:r>
      <w:proofErr w:type="spellStart"/>
      <w:r w:rsidRPr="00C10420">
        <w:rPr>
          <w:sz w:val="24"/>
          <w:lang w:val="cs-CZ"/>
        </w:rPr>
        <w:t>Úř</w:t>
      </w:r>
      <w:proofErr w:type="spellEnd"/>
      <w:r w:rsidRPr="00C10420">
        <w:rPr>
          <w:sz w:val="24"/>
          <w:lang w:val="cs-CZ"/>
        </w:rPr>
        <w:t xml:space="preserve">. </w:t>
      </w:r>
      <w:proofErr w:type="spellStart"/>
      <w:r w:rsidRPr="00C10420">
        <w:rPr>
          <w:sz w:val="24"/>
          <w:lang w:val="cs-CZ"/>
        </w:rPr>
        <w:t>věst</w:t>
      </w:r>
      <w:proofErr w:type="spellEnd"/>
      <w:r w:rsidRPr="00C10420">
        <w:rPr>
          <w:sz w:val="24"/>
          <w:lang w:val="cs-CZ"/>
        </w:rPr>
        <w:t>. L 321, 29.11.2016, s. 3.</w:t>
      </w:r>
    </w:p>
  </w:footnote>
  <w:footnote w:id="4">
    <w:p w:rsidR="00286AF1" w:rsidRPr="00C10420" w:rsidRDefault="00286AF1" w:rsidP="00C10420">
      <w:pPr>
        <w:pStyle w:val="FootnoteText"/>
        <w:ind w:left="567" w:hanging="567"/>
        <w:rPr>
          <w:sz w:val="24"/>
          <w:lang w:val="cs-CZ"/>
        </w:rPr>
      </w:pPr>
      <w:r w:rsidRPr="00C10420">
        <w:rPr>
          <w:rStyle w:val="FootnoteReference"/>
          <w:sz w:val="24"/>
          <w:lang w:val="cs-CZ"/>
        </w:rPr>
        <w:footnoteRef/>
      </w:r>
      <w:r w:rsidR="00C10420" w:rsidRPr="00C10420">
        <w:rPr>
          <w:sz w:val="24"/>
          <w:lang w:val="cs-CZ"/>
        </w:rPr>
        <w:t xml:space="preserve"> </w:t>
      </w:r>
      <w:r w:rsidR="00C10420" w:rsidRPr="00C10420">
        <w:rPr>
          <w:sz w:val="24"/>
          <w:lang w:val="cs-CZ"/>
        </w:rPr>
        <w:tab/>
      </w:r>
      <w:proofErr w:type="spellStart"/>
      <w:r w:rsidRPr="00C10420">
        <w:rPr>
          <w:sz w:val="24"/>
          <w:lang w:val="cs-CZ"/>
        </w:rPr>
        <w:t>Úř</w:t>
      </w:r>
      <w:proofErr w:type="spellEnd"/>
      <w:r w:rsidRPr="00C10420">
        <w:rPr>
          <w:sz w:val="24"/>
          <w:lang w:val="cs-CZ"/>
        </w:rPr>
        <w:t xml:space="preserve">. </w:t>
      </w:r>
      <w:proofErr w:type="spellStart"/>
      <w:r w:rsidRPr="00C10420">
        <w:rPr>
          <w:sz w:val="24"/>
          <w:lang w:val="cs-CZ"/>
        </w:rPr>
        <w:t>věst</w:t>
      </w:r>
      <w:proofErr w:type="spellEnd"/>
      <w:r w:rsidRPr="00C10420">
        <w:rPr>
          <w:sz w:val="24"/>
          <w:lang w:val="cs-CZ"/>
        </w:rPr>
        <w:t>. L 182, 19.7.2023, s. 4.</w:t>
      </w:r>
    </w:p>
  </w:footnote>
  <w:footnote w:id="5">
    <w:p w:rsidR="00286AF1" w:rsidRPr="00C10420" w:rsidRDefault="00286AF1" w:rsidP="00C10420">
      <w:pPr>
        <w:pStyle w:val="FootnoteText"/>
        <w:ind w:left="567" w:hanging="567"/>
        <w:rPr>
          <w:sz w:val="24"/>
          <w:lang w:val="cs-CZ"/>
        </w:rPr>
      </w:pPr>
      <w:r w:rsidRPr="00C10420">
        <w:rPr>
          <w:rStyle w:val="FootnoteReference"/>
          <w:sz w:val="24"/>
          <w:lang w:val="cs-CZ"/>
        </w:rPr>
        <w:footnoteRef/>
      </w:r>
      <w:r w:rsidR="00C10420" w:rsidRPr="00C10420">
        <w:rPr>
          <w:sz w:val="24"/>
          <w:lang w:val="cs-CZ"/>
        </w:rPr>
        <w:t xml:space="preserve"> </w:t>
      </w:r>
      <w:r w:rsidR="00C10420" w:rsidRPr="00C10420">
        <w:rPr>
          <w:sz w:val="24"/>
          <w:lang w:val="cs-CZ"/>
        </w:rPr>
        <w:tab/>
      </w:r>
      <w:proofErr w:type="spellStart"/>
      <w:r w:rsidRPr="00C10420">
        <w:rPr>
          <w:sz w:val="24"/>
          <w:lang w:val="cs-CZ"/>
        </w:rPr>
        <w:t>Úř</w:t>
      </w:r>
      <w:proofErr w:type="spellEnd"/>
      <w:r w:rsidRPr="00C10420">
        <w:rPr>
          <w:sz w:val="24"/>
          <w:lang w:val="cs-CZ"/>
        </w:rPr>
        <w:t xml:space="preserve">. </w:t>
      </w:r>
      <w:proofErr w:type="spellStart"/>
      <w:r w:rsidRPr="00C10420">
        <w:rPr>
          <w:sz w:val="24"/>
          <w:lang w:val="cs-CZ"/>
        </w:rPr>
        <w:t>věst</w:t>
      </w:r>
      <w:proofErr w:type="spellEnd"/>
      <w:r w:rsidRPr="00C10420">
        <w:rPr>
          <w:sz w:val="24"/>
          <w:lang w:val="cs-CZ"/>
        </w:rPr>
        <w:t>. L 154, 7.6.2022, s. 4.</w:t>
      </w:r>
    </w:p>
  </w:footnote>
  <w:footnote w:id="6">
    <w:p w:rsidR="00286AF1" w:rsidRPr="00C10420" w:rsidRDefault="00286AF1" w:rsidP="00C10420">
      <w:pPr>
        <w:pStyle w:val="FootnoteText"/>
        <w:ind w:left="567" w:hanging="567"/>
        <w:rPr>
          <w:sz w:val="24"/>
          <w:lang w:val="cs-CZ"/>
        </w:rPr>
      </w:pPr>
      <w:r w:rsidRPr="00C10420">
        <w:rPr>
          <w:rStyle w:val="FootnoteReference"/>
          <w:sz w:val="24"/>
          <w:lang w:val="cs-CZ"/>
        </w:rPr>
        <w:footnoteRef/>
      </w:r>
      <w:r w:rsidR="00C10420" w:rsidRPr="00C10420">
        <w:rPr>
          <w:sz w:val="24"/>
          <w:lang w:val="cs-CZ"/>
        </w:rPr>
        <w:t xml:space="preserve"> </w:t>
      </w:r>
      <w:r w:rsidR="00C10420" w:rsidRPr="00C10420">
        <w:rPr>
          <w:sz w:val="24"/>
          <w:lang w:val="cs-CZ"/>
        </w:rPr>
        <w:tab/>
      </w:r>
      <w:proofErr w:type="spellStart"/>
      <w:r w:rsidRPr="00C10420">
        <w:rPr>
          <w:sz w:val="24"/>
          <w:lang w:val="cs-CZ"/>
        </w:rPr>
        <w:t>Úř</w:t>
      </w:r>
      <w:proofErr w:type="spellEnd"/>
      <w:r w:rsidRPr="00C10420">
        <w:rPr>
          <w:sz w:val="24"/>
          <w:lang w:val="cs-CZ"/>
        </w:rPr>
        <w:t xml:space="preserve">. </w:t>
      </w:r>
      <w:proofErr w:type="spellStart"/>
      <w:r w:rsidRPr="00C10420">
        <w:rPr>
          <w:sz w:val="24"/>
          <w:lang w:val="cs-CZ"/>
        </w:rPr>
        <w:t>věst</w:t>
      </w:r>
      <w:proofErr w:type="spellEnd"/>
      <w:r w:rsidRPr="00C10420">
        <w:rPr>
          <w:sz w:val="24"/>
          <w:lang w:val="cs-CZ"/>
        </w:rPr>
        <w:t>. L 237, 14.9.2022, s. 17.</w:t>
      </w:r>
    </w:p>
  </w:footnote>
  <w:footnote w:id="7">
    <w:p w:rsidR="00286AF1" w:rsidRPr="00C10420" w:rsidRDefault="00286AF1" w:rsidP="00C10420">
      <w:pPr>
        <w:pStyle w:val="FootnoteText"/>
        <w:ind w:left="567" w:hanging="567"/>
        <w:rPr>
          <w:sz w:val="24"/>
          <w:lang w:val="cs-CZ"/>
        </w:rPr>
      </w:pPr>
      <w:r w:rsidRPr="00C10420">
        <w:rPr>
          <w:rStyle w:val="FootnoteReference"/>
          <w:sz w:val="24"/>
          <w:lang w:val="cs-CZ"/>
        </w:rPr>
        <w:footnoteRef/>
      </w:r>
      <w:r w:rsidR="00C10420" w:rsidRPr="00C10420">
        <w:rPr>
          <w:sz w:val="24"/>
          <w:lang w:val="cs-CZ"/>
        </w:rPr>
        <w:t xml:space="preserve"> </w:t>
      </w:r>
      <w:r w:rsidR="00C10420" w:rsidRPr="00C10420">
        <w:rPr>
          <w:sz w:val="24"/>
          <w:lang w:val="cs-CZ"/>
        </w:rPr>
        <w:tab/>
      </w:r>
      <w:proofErr w:type="spellStart"/>
      <w:r w:rsidRPr="00C10420">
        <w:rPr>
          <w:sz w:val="24"/>
          <w:lang w:val="cs-CZ"/>
        </w:rPr>
        <w:t>Úř</w:t>
      </w:r>
      <w:proofErr w:type="spellEnd"/>
      <w:r w:rsidRPr="00C10420">
        <w:rPr>
          <w:sz w:val="24"/>
          <w:lang w:val="cs-CZ"/>
        </w:rPr>
        <w:t xml:space="preserve">. </w:t>
      </w:r>
      <w:proofErr w:type="spellStart"/>
      <w:r w:rsidRPr="00C10420">
        <w:rPr>
          <w:sz w:val="24"/>
          <w:lang w:val="cs-CZ"/>
        </w:rPr>
        <w:t>věst</w:t>
      </w:r>
      <w:proofErr w:type="spellEnd"/>
      <w:r w:rsidRPr="00C10420">
        <w:rPr>
          <w:sz w:val="24"/>
          <w:lang w:val="cs-CZ"/>
        </w:rPr>
        <w:t>. L 144, 5.6.2023, s. 58.</w:t>
      </w:r>
    </w:p>
  </w:footnote>
  <w:footnote w:id="8">
    <w:p w:rsidR="00286AF1" w:rsidRPr="00C10420" w:rsidRDefault="00286AF1" w:rsidP="00C10420">
      <w:pPr>
        <w:pStyle w:val="FootnoteText"/>
        <w:ind w:left="567" w:hanging="567"/>
        <w:rPr>
          <w:sz w:val="24"/>
          <w:lang w:val="cs-CZ"/>
        </w:rPr>
      </w:pPr>
      <w:r w:rsidRPr="00C10420">
        <w:rPr>
          <w:rStyle w:val="FootnoteReference"/>
          <w:sz w:val="24"/>
          <w:lang w:val="cs-CZ"/>
        </w:rPr>
        <w:footnoteRef/>
      </w:r>
      <w:r w:rsidR="00C10420" w:rsidRPr="00C10420">
        <w:rPr>
          <w:sz w:val="24"/>
          <w:lang w:val="cs-CZ"/>
        </w:rPr>
        <w:t xml:space="preserve"> </w:t>
      </w:r>
      <w:r w:rsidR="00C10420" w:rsidRPr="00C10420">
        <w:rPr>
          <w:sz w:val="24"/>
          <w:lang w:val="cs-CZ"/>
        </w:rPr>
        <w:tab/>
      </w:r>
      <w:proofErr w:type="spellStart"/>
      <w:r w:rsidRPr="00C10420">
        <w:rPr>
          <w:sz w:val="24"/>
          <w:lang w:val="cs-CZ"/>
        </w:rPr>
        <w:t>Úř</w:t>
      </w:r>
      <w:proofErr w:type="spellEnd"/>
      <w:r w:rsidRPr="00C10420">
        <w:rPr>
          <w:sz w:val="24"/>
          <w:lang w:val="cs-CZ"/>
        </w:rPr>
        <w:t xml:space="preserve">. </w:t>
      </w:r>
      <w:proofErr w:type="spellStart"/>
      <w:r w:rsidRPr="00C10420">
        <w:rPr>
          <w:sz w:val="24"/>
          <w:lang w:val="cs-CZ"/>
        </w:rPr>
        <w:t>věst</w:t>
      </w:r>
      <w:proofErr w:type="spellEnd"/>
      <w:r w:rsidRPr="00C10420">
        <w:rPr>
          <w:sz w:val="24"/>
          <w:lang w:val="cs-CZ"/>
        </w:rPr>
        <w:t>. L 146, 6.6.2023, s. 18.</w:t>
      </w:r>
    </w:p>
  </w:footnote>
  <w:footnote w:id="9">
    <w:p w:rsidR="00286AF1" w:rsidRPr="00C10420" w:rsidRDefault="00286AF1" w:rsidP="00C10420">
      <w:pPr>
        <w:pStyle w:val="FootnoteText"/>
        <w:ind w:left="567" w:hanging="567"/>
        <w:rPr>
          <w:sz w:val="24"/>
          <w:lang w:val="cs-CZ"/>
        </w:rPr>
      </w:pPr>
      <w:r w:rsidRPr="00C10420">
        <w:rPr>
          <w:rStyle w:val="FootnoteReference"/>
          <w:sz w:val="24"/>
          <w:lang w:val="cs-CZ"/>
        </w:rPr>
        <w:footnoteRef/>
      </w:r>
      <w:r w:rsidR="00C10420" w:rsidRPr="00C10420">
        <w:rPr>
          <w:sz w:val="24"/>
          <w:lang w:val="cs-CZ"/>
        </w:rPr>
        <w:t xml:space="preserve"> </w:t>
      </w:r>
      <w:r w:rsidR="00C10420" w:rsidRPr="00C10420">
        <w:rPr>
          <w:sz w:val="24"/>
          <w:lang w:val="cs-CZ"/>
        </w:rPr>
        <w:tab/>
      </w:r>
      <w:proofErr w:type="spellStart"/>
      <w:r w:rsidRPr="00C10420">
        <w:rPr>
          <w:sz w:val="24"/>
          <w:lang w:val="cs-CZ"/>
        </w:rPr>
        <w:t>Úř</w:t>
      </w:r>
      <w:proofErr w:type="spellEnd"/>
      <w:r w:rsidRPr="00C10420">
        <w:rPr>
          <w:sz w:val="24"/>
          <w:lang w:val="cs-CZ"/>
        </w:rPr>
        <w:t xml:space="preserve">. </w:t>
      </w:r>
      <w:proofErr w:type="spellStart"/>
      <w:r w:rsidRPr="00C10420">
        <w:rPr>
          <w:sz w:val="24"/>
          <w:lang w:val="cs-CZ"/>
        </w:rPr>
        <w:t>věst</w:t>
      </w:r>
      <w:proofErr w:type="spellEnd"/>
      <w:r w:rsidRPr="00C10420">
        <w:rPr>
          <w:sz w:val="24"/>
          <w:lang w:val="cs-CZ"/>
        </w:rPr>
        <w:t>. L 304, 20.11.2010, s. 47.</w:t>
      </w:r>
    </w:p>
  </w:footnote>
  <w:footnote w:id="10">
    <w:p w:rsidR="00286AF1" w:rsidRPr="000D3023" w:rsidRDefault="00286AF1" w:rsidP="00C10420">
      <w:pPr>
        <w:pStyle w:val="FootnoteText"/>
        <w:ind w:left="567" w:hanging="567"/>
        <w:rPr>
          <w:sz w:val="24"/>
          <w:lang w:val="cs-CZ"/>
        </w:rPr>
      </w:pPr>
      <w:r w:rsidRPr="00C10420">
        <w:rPr>
          <w:rStyle w:val="FootnoteReference"/>
          <w:sz w:val="24"/>
          <w:lang w:val="cs-CZ"/>
        </w:rPr>
        <w:footnoteRef/>
      </w:r>
      <w:r w:rsidR="00C10420" w:rsidRPr="00C10420">
        <w:rPr>
          <w:sz w:val="24"/>
          <w:lang w:val="cs-CZ"/>
        </w:rPr>
        <w:t xml:space="preserve"> </w:t>
      </w:r>
      <w:r w:rsidR="00C10420" w:rsidRPr="00C10420">
        <w:rPr>
          <w:sz w:val="24"/>
          <w:lang w:val="cs-CZ"/>
        </w:rPr>
        <w:tab/>
      </w:r>
      <w:r w:rsidRPr="00C10420">
        <w:rPr>
          <w:sz w:val="24"/>
          <w:lang w:val="cs-CZ"/>
        </w:rPr>
        <w:t xml:space="preserve">Rozsudky Soudního dvora ze dne 29. října 1980 ve věci </w:t>
      </w:r>
      <w:proofErr w:type="spellStart"/>
      <w:r w:rsidRPr="009E11E7">
        <w:rPr>
          <w:sz w:val="24"/>
          <w:lang w:val="cs-CZ"/>
        </w:rPr>
        <w:t>Roquette</w:t>
      </w:r>
      <w:proofErr w:type="spellEnd"/>
      <w:r w:rsidRPr="009E11E7">
        <w:rPr>
          <w:sz w:val="24"/>
          <w:lang w:val="cs-CZ"/>
        </w:rPr>
        <w:t xml:space="preserve"> </w:t>
      </w:r>
      <w:proofErr w:type="spellStart"/>
      <w:r w:rsidRPr="009E11E7">
        <w:rPr>
          <w:sz w:val="24"/>
          <w:lang w:val="cs-CZ"/>
        </w:rPr>
        <w:t>Frères</w:t>
      </w:r>
      <w:proofErr w:type="spellEnd"/>
      <w:r w:rsidRPr="000D3023">
        <w:rPr>
          <w:sz w:val="24"/>
          <w:lang w:val="cs-CZ"/>
        </w:rPr>
        <w:t xml:space="preserve"> v. </w:t>
      </w:r>
      <w:r w:rsidRPr="009E11E7">
        <w:rPr>
          <w:iCs/>
          <w:sz w:val="24"/>
          <w:lang w:val="cs-CZ"/>
        </w:rPr>
        <w:t>Rada</w:t>
      </w:r>
      <w:r w:rsidRPr="000D3023">
        <w:rPr>
          <w:sz w:val="24"/>
          <w:lang w:val="cs-CZ"/>
        </w:rPr>
        <w:t xml:space="preserve">, C-138/79, ECLI:EU:C:1980:249, bod 33, a ze dne 24. června 2014, </w:t>
      </w:r>
      <w:r w:rsidRPr="009E11E7">
        <w:rPr>
          <w:sz w:val="24"/>
          <w:lang w:val="cs-CZ"/>
        </w:rPr>
        <w:t>Parlament v Rada</w:t>
      </w:r>
      <w:r w:rsidRPr="000D3023">
        <w:rPr>
          <w:sz w:val="24"/>
          <w:lang w:val="cs-CZ"/>
        </w:rPr>
        <w:t>, C-658/11, ECLI:EU:C:2014:2025, bod 81.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04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04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04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6/2024"/>
    <w:docVar w:name="dvlangue" w:val="CS"/>
    <w:docVar w:name="dvnumam" w:val="0"/>
    <w:docVar w:name="dvpe" w:val="758.017"/>
    <w:docVar w:name="dvtitre" w:val="Usnesení Evropského parlamentu ze dne 8. února 2024 o dohodách o přidružení pro účast třetích zemí na programech Unie(2023/3018(RSP))"/>
  </w:docVars>
  <w:rsids>
    <w:rsidRoot w:val="00CA555A"/>
    <w:rsid w:val="00002272"/>
    <w:rsid w:val="00064002"/>
    <w:rsid w:val="000677B9"/>
    <w:rsid w:val="000831BA"/>
    <w:rsid w:val="000A42CC"/>
    <w:rsid w:val="000D3023"/>
    <w:rsid w:val="000E7DD9"/>
    <w:rsid w:val="0010095E"/>
    <w:rsid w:val="001147EB"/>
    <w:rsid w:val="00125B37"/>
    <w:rsid w:val="00187494"/>
    <w:rsid w:val="001F32AE"/>
    <w:rsid w:val="002124C0"/>
    <w:rsid w:val="00244EB9"/>
    <w:rsid w:val="002767FF"/>
    <w:rsid w:val="00286AF1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2F4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1E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420"/>
    <w:rsid w:val="00C23CD4"/>
    <w:rsid w:val="00C61C0C"/>
    <w:rsid w:val="00C941CB"/>
    <w:rsid w:val="00CA555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415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BD49A8"/>
  <w15:chartTrackingRefBased/>
  <w15:docId w15:val="{09CA8BE4-5023-48A3-8D9D-87C87D822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86AF1"/>
    <w:pPr>
      <w:spacing w:before="480" w:after="240"/>
    </w:pPr>
  </w:style>
  <w:style w:type="paragraph" w:customStyle="1" w:styleId="NormalHanging12a">
    <w:name w:val="NormalHanging12a"/>
    <w:basedOn w:val="Normal"/>
    <w:rsid w:val="00286AF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D30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D3023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3D270-F166-45E3-9420-2E4C6BA00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1496</Words>
  <Characters>11535</Characters>
  <Application>Microsoft Office Word</Application>
  <DocSecurity>0</DocSecurity>
  <Lines>411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2024-02-08T12:16:00Z</dcterms:created>
  <dcterms:modified xsi:type="dcterms:W3CDTF">2024-02-08T12:16:00Z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B9-0096/2024</vt:lpwstr>
  </property>
  <property fmtid="{D5CDD505-2E9C-101B-9397-08002B2CF9AE}" pid="4" name="&lt;Type&gt;">
    <vt:lpwstr>RR</vt:lpwstr>
  </property>
</Properties>
</file>