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4C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4CBA" w:rsidRDefault="008C6178" w:rsidP="0010095E">
            <w:pPr>
              <w:pStyle w:val="EPName"/>
            </w:pPr>
            <w:r w:rsidRPr="00684CBA">
              <w:t>Európai Parlament</w:t>
            </w:r>
          </w:p>
          <w:p w:rsidR="00751A4A" w:rsidRPr="00684C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4CB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84CBA" w:rsidRDefault="00187494" w:rsidP="0010095E">
            <w:pPr>
              <w:pStyle w:val="EPLogo"/>
            </w:pPr>
            <w:r w:rsidRPr="00684CBA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4CBA" w:rsidRDefault="00D058B8" w:rsidP="004C5D52">
      <w:pPr>
        <w:pStyle w:val="LineTop"/>
      </w:pPr>
    </w:p>
    <w:p w:rsidR="00680577" w:rsidRPr="00684CBA" w:rsidRDefault="008C6178" w:rsidP="00680577">
      <w:pPr>
        <w:pStyle w:val="EPBodyTA1"/>
      </w:pPr>
      <w:r w:rsidRPr="00684CBA">
        <w:t>ELFOGADOTT SZÖVEGEK</w:t>
      </w:r>
    </w:p>
    <w:p w:rsidR="00D058B8" w:rsidRPr="00684CBA" w:rsidRDefault="00D058B8" w:rsidP="00D058B8">
      <w:pPr>
        <w:pStyle w:val="LineBottom"/>
      </w:pPr>
    </w:p>
    <w:p w:rsidR="008C6178" w:rsidRPr="00684CBA" w:rsidRDefault="008C6178" w:rsidP="008C6178">
      <w:pPr>
        <w:pStyle w:val="ATHeading1"/>
      </w:pPr>
      <w:bookmarkStart w:id="0" w:name="TANumber"/>
      <w:r w:rsidRPr="00684CBA">
        <w:t>P9_TA(2024)</w:t>
      </w:r>
      <w:bookmarkEnd w:id="0"/>
      <w:r w:rsidR="00AF04DC" w:rsidRPr="00684CBA">
        <w:t>0077</w:t>
      </w:r>
    </w:p>
    <w:p w:rsidR="008C6178" w:rsidRPr="00684CBA" w:rsidRDefault="006F398A" w:rsidP="008C6178">
      <w:pPr>
        <w:pStyle w:val="ATHeading2"/>
      </w:pPr>
      <w:r w:rsidRPr="00684CBA">
        <w:t>A harmadik országok uniós programokban való részvételéről szóló társulási megállapodások</w:t>
      </w:r>
    </w:p>
    <w:p w:rsidR="008C6178" w:rsidRPr="00684CBA" w:rsidRDefault="008C6178" w:rsidP="008C6178">
      <w:pPr>
        <w:rPr>
          <w:i/>
          <w:vanish/>
        </w:rPr>
      </w:pPr>
      <w:r w:rsidRPr="00684CBA">
        <w:rPr>
          <w:i/>
        </w:rPr>
        <w:fldChar w:fldCharType="begin"/>
      </w:r>
      <w:r w:rsidRPr="00684CBA">
        <w:rPr>
          <w:i/>
        </w:rPr>
        <w:instrText xml:space="preserve"> TC"(</w:instrText>
      </w:r>
      <w:bookmarkStart w:id="1" w:name="DocNumber"/>
      <w:r w:rsidRPr="00684CBA">
        <w:rPr>
          <w:i/>
        </w:rPr>
        <w:instrText>B9-0096/2024</w:instrText>
      </w:r>
      <w:bookmarkEnd w:id="1"/>
      <w:r w:rsidRPr="00684CBA">
        <w:rPr>
          <w:i/>
        </w:rPr>
        <w:instrText xml:space="preserve">)"\l3 \n&gt; \* MERGEFORMAT </w:instrText>
      </w:r>
      <w:r w:rsidRPr="00684CBA">
        <w:rPr>
          <w:i/>
        </w:rPr>
        <w:fldChar w:fldCharType="end"/>
      </w:r>
    </w:p>
    <w:p w:rsidR="008C6178" w:rsidRPr="00684CBA" w:rsidRDefault="008C6178" w:rsidP="008C6178">
      <w:pPr>
        <w:rPr>
          <w:vanish/>
        </w:rPr>
      </w:pPr>
      <w:bookmarkStart w:id="2" w:name="PE"/>
      <w:r w:rsidRPr="00684CBA">
        <w:rPr>
          <w:vanish/>
        </w:rPr>
        <w:t>PE758.017</w:t>
      </w:r>
      <w:bookmarkEnd w:id="2"/>
    </w:p>
    <w:p w:rsidR="008C6178" w:rsidRPr="00684CBA" w:rsidRDefault="008C6178" w:rsidP="008C6178">
      <w:pPr>
        <w:pStyle w:val="ATHeading3"/>
      </w:pPr>
      <w:bookmarkStart w:id="3" w:name="Sujet"/>
      <w:r w:rsidRPr="00684CBA">
        <w:t xml:space="preserve">Az Európai Parlament 2024. </w:t>
      </w:r>
      <w:r w:rsidR="00044C31" w:rsidRPr="00684CBA">
        <w:t>február 8</w:t>
      </w:r>
      <w:r w:rsidRPr="00684CBA">
        <w:t xml:space="preserve">-i állásfoglalása a harmadik országok uniós </w:t>
      </w:r>
      <w:proofErr w:type="gramStart"/>
      <w:r w:rsidRPr="00684CBA">
        <w:t>programokban</w:t>
      </w:r>
      <w:proofErr w:type="gramEnd"/>
      <w:r w:rsidRPr="00684CBA">
        <w:t xml:space="preserve"> való részvételéről szóló társulási megállapodásokról</w:t>
      </w:r>
      <w:bookmarkEnd w:id="3"/>
      <w:r w:rsidRPr="00684CBA">
        <w:t xml:space="preserve"> </w:t>
      </w:r>
      <w:bookmarkStart w:id="4" w:name="References"/>
      <w:r w:rsidRPr="00684CBA">
        <w:t>(2023/3018(RSP))</w:t>
      </w:r>
      <w:bookmarkEnd w:id="4"/>
    </w:p>
    <w:p w:rsidR="006F0BF4" w:rsidRPr="00684CBA" w:rsidRDefault="006F0BF4" w:rsidP="006F0BF4">
      <w:pPr>
        <w:pStyle w:val="EPComma"/>
      </w:pPr>
      <w:bookmarkStart w:id="5" w:name="TextBodyBegin"/>
      <w:bookmarkEnd w:id="5"/>
      <w:r w:rsidRPr="00684CBA">
        <w:rPr>
          <w:i/>
        </w:rPr>
        <w:t>Az Európai Parlament,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az Európai Unió működéséről szóló szerződésre (EUMSZ) és különösen annak 218. cikkére,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 Horizont Európa kutatási és innovációs keretprogram létrehozásáról, valamint részvételi és terjesztési szabályainak megállapításáról, továbbá az 1290/2013/EU és az 1291/2013/EU rendelet hatályon kívül helyezéséről szóló, 2021. április 28-i (EU) 2021/695 európai parlamenti és tanácsi rendeletre</w:t>
      </w:r>
      <w:r w:rsidRPr="00684CBA">
        <w:rPr>
          <w:rStyle w:val="FootnoteReference"/>
          <w:rFonts w:eastAsiaTheme="minorHAnsi"/>
        </w:rPr>
        <w:footnoteReference w:id="1"/>
      </w:r>
      <w:r w:rsidRPr="00684CBA">
        <w:t xml:space="preserve"> (a Horizont Európa rendelet), valamint a Parlament által az említett rendeletre vonatkozó, 2019. április 17-i első </w:t>
      </w:r>
      <w:proofErr w:type="spellStart"/>
      <w:r w:rsidRPr="00684CBA">
        <w:t>olvasatbeli</w:t>
      </w:r>
      <w:proofErr w:type="spellEnd"/>
      <w:r w:rsidRPr="00684CBA">
        <w:t xml:space="preserve"> állásfoglalásában</w:t>
      </w:r>
      <w:r w:rsidR="00135003" w:rsidRPr="00684CBA">
        <w:t>,</w:t>
      </w:r>
      <w:r w:rsidRPr="00684CBA">
        <w:t xml:space="preserve"> a társulási megállapodásokkal kapcsolatban tett nyilatkozatára</w:t>
      </w:r>
      <w:r w:rsidRPr="00684CBA">
        <w:rPr>
          <w:rStyle w:val="FootnoteReference"/>
          <w:rFonts w:eastAsiaTheme="minorHAnsi"/>
        </w:rPr>
        <w:footnoteReference w:id="2"/>
      </w:r>
      <w:r w:rsidRPr="00684CBA">
        <w:t>;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az egyrészről az Európai Unió és tagállamai, másrészről Új-Zéland között létrejött, a kapcsolatokról és az együttműködésről szóló partnerségi megállapodásra</w:t>
      </w:r>
      <w:r w:rsidRPr="00684CBA">
        <w:rPr>
          <w:rStyle w:val="FootnoteReference"/>
          <w:rFonts w:eastAsiaTheme="minorHAnsi"/>
        </w:rPr>
        <w:footnoteReference w:id="3"/>
      </w:r>
      <w:r w:rsidRPr="00684CBA">
        <w:t>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az egyrészről az Európai Unió, másrészről Új-Zéland közötti, Új-Zéland uniós programokban való részvételéről szóló megállapodás tervezetére</w:t>
      </w:r>
      <w:r w:rsidRPr="00684CBA">
        <w:rPr>
          <w:rStyle w:val="FootnoteReference"/>
          <w:rFonts w:eastAsiaTheme="minorHAnsi"/>
        </w:rPr>
        <w:footnoteReference w:id="4"/>
      </w:r>
      <w:r w:rsidRPr="00684CBA">
        <w:t>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az egyrészről az Európai Unió, másrészről a Feröer szigetek kormánya közötti, a Feröer szigetek uniós programokban való részvételéről szóló megállapodás tervezetére</w:t>
      </w:r>
      <w:r w:rsidRPr="00684CBA">
        <w:rPr>
          <w:rStyle w:val="FootnoteReference"/>
          <w:rFonts w:eastAsiaTheme="minorHAnsi"/>
        </w:rPr>
        <w:footnoteReference w:id="5"/>
      </w:r>
      <w:r w:rsidRPr="00684CBA">
        <w:t>,</w:t>
      </w:r>
    </w:p>
    <w:p w:rsidR="006F0BF4" w:rsidRPr="00684CBA" w:rsidRDefault="006F0BF4" w:rsidP="00044C31">
      <w:pPr>
        <w:pStyle w:val="NormalHanging12a"/>
        <w:widowControl/>
      </w:pPr>
      <w:r w:rsidRPr="00684CBA">
        <w:lastRenderedPageBreak/>
        <w:t>–</w:t>
      </w:r>
      <w:r w:rsidRPr="00684CBA">
        <w:tab/>
        <w:t>tekintettel a Kanadának az uniós programokban való részvételére vonatkozó általános elvekről, valamint Kanadának a Horizont Európa kutatási és innovációs keretprogramhoz (2021–2027) való társulásáról szóló megállapodásra irányuló tárgyalások Kanadával történő megkezdésére való felhatalmazásról szóló 2022. szeptember 9-i (EU) 2022/1526 tanácsi határozatra</w:t>
      </w:r>
      <w:r w:rsidRPr="00684CBA">
        <w:rPr>
          <w:rStyle w:val="FootnoteReference"/>
          <w:rFonts w:eastAsiaTheme="minorHAnsi"/>
        </w:rPr>
        <w:footnoteReference w:id="6"/>
      </w:r>
      <w:r w:rsidRPr="00684CBA">
        <w:t>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 Japánnak az uniós programokban való részvételére vonatkozó általános elvekről és Japánnak a Horizont Európa kutatási és innovációs keretprogramhoz (2021–2027) való társulásáról szóló megállapodásra irányuló, Japánnal folytatandó tárgyalások megkezdésére való felhatalmazásról szóló 2023. május 15-i (EU) 2023/1081 tanácsi határozatra</w:t>
      </w:r>
      <w:r w:rsidRPr="00684CBA">
        <w:rPr>
          <w:rStyle w:val="FootnoteReference"/>
          <w:rFonts w:eastAsiaTheme="minorHAnsi"/>
        </w:rPr>
        <w:footnoteReference w:id="7"/>
      </w:r>
      <w:r w:rsidRPr="00684CBA">
        <w:t>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 Koreai Köztársaságnak az uniós programokban való részvételére vonatkozó általános elvekről és a Koreai Köztársaságnak a Horizont Európa kutatási és innovációs keretprogramhoz (2021–2027) való társulásáról szóló megállapodásra irányuló, a Koreai Köztársasággal folytatandó tárgyalások megkezdésére való felhatalmazásról szóló 2023. május 15-i (EU) 2023/1093 tanácsi határozatra</w:t>
      </w:r>
      <w:r w:rsidRPr="00684CBA">
        <w:rPr>
          <w:rStyle w:val="FootnoteReference"/>
          <w:rFonts w:eastAsiaTheme="minorHAnsi"/>
        </w:rPr>
        <w:footnoteReference w:id="8"/>
      </w:r>
      <w:r w:rsidRPr="00684CBA">
        <w:t>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az Európai Parlament és az Európai Bizottság közötti kapcsolatokról szóló, 2010. november 20-i keretmegállapodásra</w:t>
      </w:r>
      <w:r w:rsidRPr="00684CBA">
        <w:rPr>
          <w:rStyle w:val="FootnoteReference"/>
          <w:rFonts w:eastAsiaTheme="minorHAnsi"/>
        </w:rPr>
        <w:footnoteReference w:id="9"/>
      </w:r>
      <w:r w:rsidRPr="00684CBA">
        <w:t>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 harmadik országok uniós programokban való részvételéről szóló társulási megállapodásokra vonatkozóan a Bizottsághoz intézett kérdésre (O-000004/2024 – B9–000</w:t>
      </w:r>
      <w:r w:rsidR="00135003" w:rsidRPr="00684CBA">
        <w:t>9</w:t>
      </w:r>
      <w:r w:rsidRPr="00684CBA">
        <w:t>/2024),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eljárási szabályzata 136. cikkének (5) bekezdésére és 132. cikkének (2) bekezdésére,</w:t>
      </w:r>
    </w:p>
    <w:p w:rsidR="006F0BF4" w:rsidRPr="00684CBA" w:rsidRDefault="006F0BF4" w:rsidP="00044C31">
      <w:pPr>
        <w:pStyle w:val="NormalHanging12a"/>
        <w:widowControl/>
      </w:pPr>
      <w:r w:rsidRPr="00684CBA">
        <w:t>–</w:t>
      </w:r>
      <w:r w:rsidRPr="00684CBA">
        <w:tab/>
        <w:t>tekintettel a Külügyi Bizottság és az Ipari, Kutatási és Energiaügyi Bizottság állásfoglalási indítványára,</w:t>
      </w:r>
    </w:p>
    <w:p w:rsidR="006F0BF4" w:rsidRPr="00684CBA" w:rsidRDefault="006F0BF4" w:rsidP="00044C31">
      <w:pPr>
        <w:pStyle w:val="NormalHanging12a"/>
        <w:widowControl/>
        <w:rPr>
          <w:b/>
          <w:i/>
        </w:rPr>
      </w:pPr>
      <w:r w:rsidRPr="00684CBA">
        <w:rPr>
          <w:b/>
          <w:i/>
        </w:rPr>
        <w:t>Általános megfontolások</w:t>
      </w:r>
    </w:p>
    <w:p w:rsidR="006F0BF4" w:rsidRPr="00684CBA" w:rsidRDefault="006F0BF4" w:rsidP="00044C31">
      <w:pPr>
        <w:pStyle w:val="NormalHanging12a"/>
        <w:widowControl/>
      </w:pPr>
      <w:r w:rsidRPr="00684CBA">
        <w:t>1.</w:t>
      </w:r>
      <w:r w:rsidRPr="00684CBA">
        <w:tab/>
        <w:t xml:space="preserve">elismeri, hogy az EU-val közös demokratikus értékeket valló harmadik országokkal folytatott </w:t>
      </w:r>
      <w:proofErr w:type="gramStart"/>
      <w:r w:rsidRPr="00684CBA">
        <w:t>aktív</w:t>
      </w:r>
      <w:proofErr w:type="gramEnd"/>
      <w:r w:rsidRPr="00684CBA">
        <w:t xml:space="preserve"> és kölcsönösen előnyös együttműködés gazdagíthatja az uniós programok eredményeit;</w:t>
      </w:r>
    </w:p>
    <w:p w:rsidR="006F0BF4" w:rsidRPr="00684CBA" w:rsidRDefault="006F0BF4" w:rsidP="00044C31">
      <w:pPr>
        <w:pStyle w:val="NormalHanging12a"/>
        <w:widowControl/>
      </w:pPr>
      <w:r w:rsidRPr="00684CBA">
        <w:t>2.</w:t>
      </w:r>
      <w:r w:rsidRPr="00684CBA">
        <w:tab/>
        <w:t>elismeri, hogy a Horizont Európa a világ legnagyobb, együttműködésen alapuló kutatási és innovációs programja a 2021–2027 közötti időszakban;</w:t>
      </w:r>
    </w:p>
    <w:p w:rsidR="006F0BF4" w:rsidRPr="00684CBA" w:rsidRDefault="006F0BF4" w:rsidP="00044C31">
      <w:pPr>
        <w:pStyle w:val="NormalHanging12a"/>
        <w:widowControl/>
      </w:pPr>
      <w:proofErr w:type="gramStart"/>
      <w:r w:rsidRPr="00684CBA">
        <w:t>3.</w:t>
      </w:r>
      <w:r w:rsidRPr="00684CBA">
        <w:tab/>
        <w:t xml:space="preserve">támogatja a jó tudományos, technológiai és innovációs kapacitással rendelkező harmadik országok társulását a Horizont Európa programhoz, és elismeri, hogy ez az együttműködés hozzájárul az EU külső tevékenységének általános </w:t>
      </w:r>
      <w:proofErr w:type="spellStart"/>
      <w:r w:rsidRPr="00684CBA">
        <w:t>erejéhez</w:t>
      </w:r>
      <w:proofErr w:type="spellEnd"/>
      <w:r w:rsidRPr="00684CBA">
        <w:t xml:space="preserve"> és hatékonyságához; </w:t>
      </w:r>
      <w:proofErr w:type="spellStart"/>
      <w:r w:rsidRPr="00684CBA">
        <w:t>ösztönzi</w:t>
      </w:r>
      <w:proofErr w:type="spellEnd"/>
      <w:r w:rsidRPr="00684CBA">
        <w:t xml:space="preserve"> a Bizottságot, hogy törekedjen egyéb társulási megállapodások harmadik országokkal való megkötésére, mivel ez növeli az EU versenyképességét a globális színtéren; hangsúlyozza, hogy biztosítani kell, hogy </w:t>
      </w:r>
      <w:r w:rsidRPr="00684CBA">
        <w:lastRenderedPageBreak/>
        <w:t>minden vonatkozó társulási megállapodás tiszteletben tartsa a Horizont Európa éghajlat-politikai célkitűzéseit;</w:t>
      </w:r>
      <w:proofErr w:type="gramEnd"/>
    </w:p>
    <w:p w:rsidR="006F0BF4" w:rsidRPr="00684CBA" w:rsidRDefault="006F0BF4" w:rsidP="00044C31">
      <w:pPr>
        <w:pStyle w:val="NormalHanging12a"/>
        <w:widowControl/>
        <w:rPr>
          <w:i/>
        </w:rPr>
      </w:pPr>
      <w:r w:rsidRPr="00684CBA">
        <w:t>4.</w:t>
      </w:r>
      <w:r w:rsidRPr="00684CBA">
        <w:tab/>
        <w:t xml:space="preserve">hangsúlyozza, hogy a harmadik országok uniós programokhoz való társulása nem puszta technikai </w:t>
      </w:r>
      <w:proofErr w:type="gramStart"/>
      <w:r w:rsidRPr="00684CBA">
        <w:t>aktus</w:t>
      </w:r>
      <w:proofErr w:type="gramEnd"/>
      <w:r w:rsidRPr="00684CBA">
        <w:t>, hanem a társult országok EU-val fenntartott kapcsolatait, a Horizont Európa tekintetében pedig a tudományos élet és a felsőoktatás szabadságának kérdését érintő politikai döntés;</w:t>
      </w:r>
    </w:p>
    <w:p w:rsidR="006F0BF4" w:rsidRPr="00684CBA" w:rsidRDefault="006F0BF4" w:rsidP="00044C31">
      <w:pPr>
        <w:pStyle w:val="NormalHanging12a"/>
        <w:widowControl/>
      </w:pPr>
      <w:r w:rsidRPr="00684CBA">
        <w:t>5.</w:t>
      </w:r>
      <w:r w:rsidRPr="00684CBA">
        <w:tab/>
        <w:t xml:space="preserve">elismeri a Szerződésekben foglalt szabályokat, amelyeket a jogállamiság tiszteletben tartása mellett fenn kell tartani az intézményi egyensúly és a Parlamentre ruházott szerep megőrzése érdekében; véleménye szerint tiszteletben kell tartani a lojális együttműködés elvét, </w:t>
      </w:r>
      <w:proofErr w:type="gramStart"/>
      <w:r w:rsidRPr="00684CBA">
        <w:t>garantálva</w:t>
      </w:r>
      <w:proofErr w:type="gramEnd"/>
      <w:r w:rsidRPr="00684CBA">
        <w:t>, hogy minden uniós intézmény támogassa egymást a Szerződésekből eredő feladatok végrehajtása során, többek között annak biztosítása érdekében, hogy nagyobb mértékben figyelembe vegyék az uniós polgárok közvetlen képviselőjének szerepét betöltő Parlament álláspontját;</w:t>
      </w:r>
    </w:p>
    <w:p w:rsidR="006F0BF4" w:rsidRPr="00684CBA" w:rsidRDefault="006F0BF4" w:rsidP="00044C31">
      <w:pPr>
        <w:pStyle w:val="NormalHanging12a"/>
        <w:widowControl/>
      </w:pPr>
      <w:r w:rsidRPr="00684CBA">
        <w:t>6.</w:t>
      </w:r>
      <w:r w:rsidRPr="00684CBA">
        <w:tab/>
        <w:t>megkérdőjelezi a Bizottság megközelítését a harmadik országok uniós programokban való részvételét célzó nemzetközi megállapodások megkötése tekintetében, mivel az akadályozza a Parlamentet abban, hogy gyakorolja előjogait az Unió nemzetközi megállapodásainak megkötésére irányuló eljárásokban;</w:t>
      </w:r>
    </w:p>
    <w:p w:rsidR="006F0BF4" w:rsidRPr="00684CBA" w:rsidRDefault="006F0BF4" w:rsidP="00044C31">
      <w:pPr>
        <w:pStyle w:val="NormalHanging12a"/>
        <w:widowControl/>
      </w:pPr>
      <w:r w:rsidRPr="00684CBA">
        <w:t>7.</w:t>
      </w:r>
      <w:r w:rsidRPr="00684CBA">
        <w:tab/>
        <w:t xml:space="preserve">sürgeti a Bizottságot és a Tanácsot, hogy a Szerződésekkel összhangban maradéktalanul vegyék figyelembe a Parlament szerepét minden olyan társulási megállapodás megkötésekor, amely ezt az új </w:t>
      </w:r>
      <w:proofErr w:type="gramStart"/>
      <w:r w:rsidRPr="00684CBA">
        <w:t>struktúrát</w:t>
      </w:r>
      <w:proofErr w:type="gramEnd"/>
      <w:r w:rsidRPr="00684CBA">
        <w:t xml:space="preserve"> követi;</w:t>
      </w:r>
    </w:p>
    <w:p w:rsidR="006F0BF4" w:rsidRPr="00684CBA" w:rsidRDefault="006F0BF4" w:rsidP="00044C31">
      <w:pPr>
        <w:pStyle w:val="NormalHanging12a"/>
        <w:widowControl/>
        <w:rPr>
          <w:i/>
        </w:rPr>
      </w:pPr>
      <w:r w:rsidRPr="00684CBA">
        <w:t>8.</w:t>
      </w:r>
      <w:r w:rsidRPr="00684CBA">
        <w:rPr>
          <w:i/>
        </w:rPr>
        <w:tab/>
      </w:r>
      <w:r w:rsidRPr="00684CBA">
        <w:t xml:space="preserve">hangsúlyozza, hogy az egyes országok uniós programokban való részvételére vonatkozó nemzetközi megállapodások tekintetében hátráltatja az érdemi egyetértés megadására való képességét, hogy ezek a megállapodások nem biztosítanak olyan </w:t>
      </w:r>
      <w:proofErr w:type="gramStart"/>
      <w:r w:rsidRPr="00684CBA">
        <w:t>struktúrát</w:t>
      </w:r>
      <w:proofErr w:type="gramEnd"/>
      <w:r w:rsidRPr="00684CBA">
        <w:t>, amely egyetértési eljárás keretében garantálja a parlamenti ellenőrzést egy adott uniós programhoz való csatlakozás tekintetében;</w:t>
      </w:r>
    </w:p>
    <w:p w:rsidR="006F0BF4" w:rsidRPr="00684CBA" w:rsidRDefault="006F0BF4" w:rsidP="00044C31">
      <w:pPr>
        <w:pStyle w:val="NormalHanging12a"/>
        <w:widowControl/>
        <w:rPr>
          <w:b/>
          <w:i/>
        </w:rPr>
      </w:pPr>
      <w:r w:rsidRPr="00684CBA">
        <w:rPr>
          <w:b/>
          <w:i/>
        </w:rPr>
        <w:t>Az Új-Zéland és az Európai Unió közötti együttműködési és társulási megállapodások</w:t>
      </w:r>
    </w:p>
    <w:p w:rsidR="006F0BF4" w:rsidRPr="00684CBA" w:rsidRDefault="006F0BF4" w:rsidP="00044C31">
      <w:pPr>
        <w:pStyle w:val="NormalHanging12a"/>
        <w:widowControl/>
        <w:rPr>
          <w:i/>
        </w:rPr>
      </w:pPr>
      <w:r w:rsidRPr="00684CBA">
        <w:t>9.</w:t>
      </w:r>
      <w:r w:rsidRPr="00684CBA">
        <w:rPr>
          <w:i/>
        </w:rPr>
        <w:tab/>
      </w:r>
      <w:r w:rsidRPr="00684CBA">
        <w:t>elismeri az EU és Új-Zéland közötti szoros történelmi és kulturális kötelékeket, valamint a közöttük fennálló kiváló kétoldalú kapcsolatokat, amelyek közös demokratikus értékeken és számos közös érdeken alapulnak; nagyra értékeli a kereskedelem, a külpolitika, a kutatás és az innováció terén, valamint a többoldalú fórumokon folytatott kiváló együttműködést;</w:t>
      </w:r>
    </w:p>
    <w:p w:rsidR="006F0BF4" w:rsidRPr="00684CBA" w:rsidRDefault="006F0BF4" w:rsidP="00044C31">
      <w:pPr>
        <w:pStyle w:val="NormalHanging12a"/>
        <w:widowControl/>
      </w:pPr>
      <w:proofErr w:type="gramStart"/>
      <w:r w:rsidRPr="00684CBA">
        <w:t>10.</w:t>
      </w:r>
      <w:r w:rsidRPr="00684CBA">
        <w:tab/>
        <w:t>kiemeli Új-Zéland fontos szerepét az EU hasonló gondolkodású partnereinek egyikeként a dinamikus, stratégiai és gazdasági szempontból fontos indiai-csendes-óceáni térségben; szorgalmazza a szorosabb együttműködést a kölcsönös érdeklődésre számot tartó területeken, különösen a külügyek terén; e tekintetben hangsúlyozza az EU és Új-Zéland között zajló biztonsági együttműködést, különösen az EU közös biztonság- és védelempolitikájának keretébe tartozó műveletek és missziók tekintetében; emlékeztet arra, hogy Új-Zéland az EU-val azonos álláspontot foglalt el azzal, hogy elítélte Oroszország Ukrajna</w:t>
      </w:r>
      <w:proofErr w:type="gramEnd"/>
      <w:r w:rsidRPr="00684CBA">
        <w:t xml:space="preserve"> </w:t>
      </w:r>
      <w:proofErr w:type="gramStart"/>
      <w:r w:rsidRPr="00684CBA">
        <w:t>elleni</w:t>
      </w:r>
      <w:proofErr w:type="gramEnd"/>
      <w:r w:rsidRPr="00684CBA">
        <w:t xml:space="preserve"> jogellenes invázióját, és segítségnyújtás biztosítása, valamint Oroszország elleni szankciók bevezetése révén támogatást nyújt Ukrajnának;</w:t>
      </w:r>
    </w:p>
    <w:p w:rsidR="006F0BF4" w:rsidRPr="00684CBA" w:rsidRDefault="006F0BF4" w:rsidP="00044C31">
      <w:pPr>
        <w:pStyle w:val="NormalHanging12a"/>
        <w:widowControl/>
        <w:rPr>
          <w:i/>
        </w:rPr>
      </w:pPr>
      <w:proofErr w:type="gramStart"/>
      <w:r w:rsidRPr="00684CBA">
        <w:lastRenderedPageBreak/>
        <w:t>11</w:t>
      </w:r>
      <w:r w:rsidRPr="00684CBA">
        <w:rPr>
          <w:i/>
        </w:rPr>
        <w:t>.</w:t>
      </w:r>
      <w:r w:rsidRPr="00684CBA">
        <w:rPr>
          <w:i/>
        </w:rPr>
        <w:tab/>
      </w:r>
      <w:r w:rsidRPr="00684CBA">
        <w:t>kiemeli továbbá az EU és Új-Zéland között a közelmúltban megkötött szabadkereskedelmi megállapodást, amelynek célja a kétoldalú kapcsolatok további erősítése, valamint a kereskedelem és a beruházások liberalizálása és előmozdítása azáltal, hogy jelentős kölcsönös előnyöket és gazdasági lehetőségeket teremt a vállalkozások és a fogyasztók számára, valamint határozott és kötelező erejű szociális és környezetvédelmi kötelezettségvállalásokat tartalmaz a Párizsi Megállapodással összefüggésben; hangsúlyozza, hogy az Új-Zélandon élő európai diaszpóra pozitív szerepet játszhat az Új-Zéland és az</w:t>
      </w:r>
      <w:proofErr w:type="gramEnd"/>
      <w:r w:rsidRPr="00684CBA">
        <w:t xml:space="preserve"> EU közötti kapcsolatok további elmélyítésében;</w:t>
      </w:r>
    </w:p>
    <w:p w:rsidR="006F0BF4" w:rsidRPr="00684CBA" w:rsidRDefault="006F0BF4" w:rsidP="00044C31">
      <w:pPr>
        <w:pStyle w:val="NormalHanging12a"/>
        <w:widowControl/>
      </w:pPr>
      <w:r w:rsidRPr="00684CBA">
        <w:t>12.</w:t>
      </w:r>
      <w:r w:rsidRPr="00684CBA">
        <w:tab/>
        <w:t xml:space="preserve">elismeri, hogy az EU és Új-Zéland közötti kutatási együttműködés hosszú múltra tekint vissza; hangsúlyozza, hogy Új-Zéland 77 </w:t>
      </w:r>
      <w:proofErr w:type="gramStart"/>
      <w:r w:rsidRPr="00684CBA">
        <w:t>finanszírozott</w:t>
      </w:r>
      <w:proofErr w:type="gramEnd"/>
      <w:r w:rsidRPr="00684CBA">
        <w:t xml:space="preserve"> projekttel kiváló eredményeket mutathat fel a Horizont 2020 kezdeményezésben való részvétel terén, és hogy az új-zélandi kutatók részt vehettek az előző két kutatási és innovációs keretprogramban, a hetedik keretprogramban és a Horizont 2020-ban, ami jól mutatja Új-Zéland Horizont Európához való társulásának potenciális előnyeit;</w:t>
      </w:r>
    </w:p>
    <w:p w:rsidR="006F0BF4" w:rsidRPr="00684CBA" w:rsidRDefault="006F0BF4" w:rsidP="00044C31">
      <w:pPr>
        <w:pStyle w:val="NormalHanging12a"/>
        <w:widowControl/>
      </w:pPr>
      <w:r w:rsidRPr="00684CBA">
        <w:t>13.</w:t>
      </w:r>
      <w:r w:rsidRPr="00684CBA">
        <w:tab/>
        <w:t>üdvözli azt a javaslatot, hogy Új-Zéland Horizont Európa programhoz való társulása révén erősítsék meg az EU és Új-Zéland közötti partnerséget, ami tovább erősíti majd a kutatási és innovációs együttműködést, és Új-Zélandot az EU legfontosabb regionális partnerévé teszi a tudomány és az innováció területén; rámutat ugyanakkor azon rendelkezések hiányára, amelyek lehetővé tennék Új-Zéland uniós programokhoz való jövőbeli társulásának megfelelő parlamenti ellenőrzését;</w:t>
      </w:r>
    </w:p>
    <w:p w:rsidR="006F0BF4" w:rsidRPr="00684CBA" w:rsidRDefault="006F0BF4" w:rsidP="00044C31">
      <w:pPr>
        <w:pStyle w:val="NormalHanging12a"/>
        <w:widowControl/>
      </w:pPr>
      <w:proofErr w:type="gramStart"/>
      <w:r w:rsidRPr="00684CBA">
        <w:t>14.</w:t>
      </w:r>
      <w:r w:rsidRPr="00684CBA">
        <w:tab/>
        <w:t xml:space="preserve">rámutat arra, hogy az Új-Zéland uniós programokban való részvételéről szóló megállapodásban a Bizottság és a Tanács az említett megállapodás alapján létrehozott vegyes bizottságot felhatalmazza arra, hogy jegyzőkönyveket fogadjon el Új-Zéland bármely uniós programhoz való társulásáról, annak ellenére, hogy a Parlament kifogásolja ezen előjog megadását, amely alapvető szempontok tekintetében ruház de facto végrehajtási hatáskört a vegyes bizottságra; </w:t>
      </w:r>
      <w:proofErr w:type="spellStart"/>
      <w:r w:rsidRPr="00684CBA">
        <w:t>megjegyzi</w:t>
      </w:r>
      <w:proofErr w:type="spellEnd"/>
      <w:r w:rsidRPr="00684CBA">
        <w:t>, hogy a vegyes bizottságra ruházott alapvető döntések az egyes programokhoz való társulásra, valamint az automatikus korrekciós mechanizmusra</w:t>
      </w:r>
      <w:proofErr w:type="gramEnd"/>
      <w:r w:rsidRPr="00684CBA">
        <w:t xml:space="preserve"> </w:t>
      </w:r>
      <w:proofErr w:type="gramStart"/>
      <w:r w:rsidRPr="00684CBA">
        <w:t>vonatkozó</w:t>
      </w:r>
      <w:proofErr w:type="gramEnd"/>
      <w:r w:rsidRPr="00684CBA">
        <w:t xml:space="preserve"> alapvető rendelkezésekre is kiterjednek;</w:t>
      </w:r>
    </w:p>
    <w:p w:rsidR="006F0BF4" w:rsidRPr="00684CBA" w:rsidRDefault="006F0BF4" w:rsidP="00044C31">
      <w:pPr>
        <w:pStyle w:val="NormalHanging12a"/>
        <w:widowControl/>
      </w:pPr>
      <w:proofErr w:type="gramStart"/>
      <w:r w:rsidRPr="00684CBA">
        <w:t>15.</w:t>
      </w:r>
      <w:r w:rsidRPr="00684CBA">
        <w:tab/>
        <w:t>sajnálatosnak tartja, hogy a vegyes bizottság felhatalmazást kap arra, hogy jegyzőkönyvek révén módosítsa bármelyik érvényben lévő társulási jegyzőkönyvet, amely felülvizsgálatokkal, ellenőrzésekkel és pénzügyi szabálytalanságokkal kapcsolatos rendelkezéseket is tartalmazhat; úgy ítéli meg, hogy ezekre a módosításokra további parlamenti részvétel nélkül kerülne sor; úgy ítéli meg, hogy az egyetértés megadásával a Parlament ténylegesen korlátlan megbízatást adna a vegyes bizottságnak; rámutat arra, hogy a Bizottság vegyes bizottságon belüli tevékenységének nyomon követése a Tanács feladata,</w:t>
      </w:r>
      <w:proofErr w:type="gramEnd"/>
      <w:r w:rsidRPr="00684CBA">
        <w:t xml:space="preserve"> </w:t>
      </w:r>
      <w:proofErr w:type="gramStart"/>
      <w:r w:rsidRPr="00684CBA">
        <w:t>de</w:t>
      </w:r>
      <w:proofErr w:type="gramEnd"/>
      <w:r w:rsidRPr="00684CBA">
        <w:t xml:space="preserve"> a Tanács valójában gyakran elhanyagolja ezt a kötelezettséget, és nem megfelelően tesz jelentést a Parlamentnek, ami az ilyen nemzetközi megállapodások felügyeletének és ellenőrzésének teljes hiányához vezet;</w:t>
      </w:r>
    </w:p>
    <w:p w:rsidR="006F0BF4" w:rsidRPr="00684CBA" w:rsidRDefault="006F0BF4" w:rsidP="00044C31">
      <w:pPr>
        <w:pStyle w:val="NormalHanging12a"/>
        <w:widowControl/>
      </w:pPr>
      <w:r w:rsidRPr="00684CBA">
        <w:t>16.</w:t>
      </w:r>
      <w:r w:rsidRPr="00684CBA">
        <w:tab/>
        <w:t>hangsúlyozza a Horizont Európához kapcsolódó társulási megállapodásokra vonatkozó álláspontját, a Horizont Európáról szóló rendeletet kísérő nyilatkozat szerint, és hangsúlyozza, hogy az ilyen megállapodások révén létrehozott szervek nem kerülhetik meg a Parlament érdemi egyetértésének szükségességét; úgy véli, hogy a harmadik országok Horizont Európa programban való részvételének alapvető szempontjait nem indokolt egy ilyen szervre ruházni;</w:t>
      </w:r>
    </w:p>
    <w:p w:rsidR="006F0BF4" w:rsidRPr="00684CBA" w:rsidRDefault="006F0BF4" w:rsidP="00044C31">
      <w:pPr>
        <w:pStyle w:val="NormalHanging12a"/>
        <w:widowControl/>
      </w:pPr>
      <w:r w:rsidRPr="00684CBA">
        <w:lastRenderedPageBreak/>
        <w:t>17.</w:t>
      </w:r>
      <w:r w:rsidRPr="00684CBA">
        <w:tab/>
        <w:t xml:space="preserve">nem ért egyet a nemzetközi megállapodások ezen új </w:t>
      </w:r>
      <w:proofErr w:type="gramStart"/>
      <w:r w:rsidRPr="00684CBA">
        <w:t>struktúrájával</w:t>
      </w:r>
      <w:proofErr w:type="gramEnd"/>
      <w:r w:rsidRPr="00684CBA">
        <w:t>, amely nem teszi lehetővé a Parlament számára, hogy gyakorolja az EUMSZ 218. cikke (6) bekezdésének a) pontja szerinti hatásköreit; úgy véli, hogy ez gátolja a Parlament előjogainak érvényesítését, figyelmen kívül hagyja a szükséges intézményi egyensúlyt, ezért módosításra szorul;</w:t>
      </w:r>
    </w:p>
    <w:p w:rsidR="006F0BF4" w:rsidRPr="00684CBA" w:rsidRDefault="006F0BF4" w:rsidP="00044C31">
      <w:pPr>
        <w:pStyle w:val="NormalHanging12a"/>
        <w:widowControl/>
      </w:pPr>
      <w:proofErr w:type="gramStart"/>
      <w:r w:rsidRPr="00684CBA">
        <w:t>18.</w:t>
      </w:r>
      <w:r w:rsidRPr="00684CBA">
        <w:tab/>
        <w:t xml:space="preserve">e tekintetben emlékeztet arra, hogy az EUMSZ 218. cikkének (10) bekezdése előírja, hogy a Parlamentet az e cikkben említett nemzetközi megállapodások megtárgyalására és megkötésére irányuló eljárások minden szakaszában haladéktalanul és </w:t>
      </w:r>
      <w:proofErr w:type="spellStart"/>
      <w:r w:rsidRPr="00684CBA">
        <w:t>teljeskörűen</w:t>
      </w:r>
      <w:proofErr w:type="spellEnd"/>
      <w:r w:rsidRPr="00684CBA">
        <w:t xml:space="preserve"> tájékoztatni kell, és hogy az Európai Unió Bíróságának (EUB) ítélkezési gyakorlata szerint ez a szabály az Unió alapját képező demokratikus elvek kifejeződése; hangsúlyozza különösen, hogy az EUB ezt megelőzően kimondta, hogy a Parlament jogalkotási eljárásban való részvétele azon alapvető demokratikus elvet tükrözi uniós szinten, amely szerint</w:t>
      </w:r>
      <w:proofErr w:type="gramEnd"/>
      <w:r w:rsidRPr="00684CBA">
        <w:t xml:space="preserve"> </w:t>
      </w:r>
      <w:proofErr w:type="gramStart"/>
      <w:r w:rsidRPr="00684CBA">
        <w:t>a</w:t>
      </w:r>
      <w:proofErr w:type="gramEnd"/>
      <w:r w:rsidRPr="00684CBA">
        <w:t xml:space="preserve"> nép a képviselői testületen keresztül vesz részt a hatalomgyakorlásban</w:t>
      </w:r>
      <w:r w:rsidRPr="00684CBA">
        <w:rPr>
          <w:rStyle w:val="FootnoteReference"/>
          <w:rFonts w:eastAsiaTheme="minorHAnsi"/>
          <w:color w:val="000000"/>
        </w:rPr>
        <w:footnoteReference w:id="10"/>
      </w:r>
      <w:r w:rsidRPr="00684CBA">
        <w:t>;</w:t>
      </w:r>
    </w:p>
    <w:p w:rsidR="006F0BF4" w:rsidRPr="00684CBA" w:rsidRDefault="006F0BF4" w:rsidP="00044C31">
      <w:pPr>
        <w:pStyle w:val="NormalHanging12a"/>
        <w:widowControl/>
      </w:pPr>
      <w:proofErr w:type="gramStart"/>
      <w:r w:rsidRPr="00684CBA">
        <w:t>19.</w:t>
      </w:r>
      <w:r w:rsidRPr="00684CBA">
        <w:tab/>
        <w:t>ezzel összefüggésben emlékeztet arra, hogy a szóban forgó megállapodások precedens nélküliek, mivel lehetővé teszik a harmadik országok egy új típusának részvételét, és első alkalommal történik meg, hogy ez az összes uniós programra kiterjedő általános megállapodáson keresztül valósul meg; hangsúlyozza, hogy a múltban ez a részvétel az egyes uniós programokra vonatkozó egyedi megállapodások révén valósult volna meg, és egy adott többéves pénzügyi keretre korlátozódott volna; hangsúlyozza, hogy e megállapodások újszerűsége miatt a Parlament nem rendelkezik olyan releváns adatokkal vagy információkkal,</w:t>
      </w:r>
      <w:proofErr w:type="gramEnd"/>
      <w:r w:rsidRPr="00684CBA">
        <w:t xml:space="preserve"> amelyek felhasználhatók az uniós programok jelenlegi </w:t>
      </w:r>
      <w:proofErr w:type="gramStart"/>
      <w:r w:rsidRPr="00684CBA">
        <w:t>generációjára</w:t>
      </w:r>
      <w:proofErr w:type="gramEnd"/>
      <w:r w:rsidRPr="00684CBA">
        <w:t xml:space="preserve"> vagy az uniós programok jövőbeli generációira gyakorolt potenciális hatásuk érdemi értékeléséhez;</w:t>
      </w:r>
    </w:p>
    <w:p w:rsidR="006F0BF4" w:rsidRPr="00684CBA" w:rsidRDefault="006F0BF4" w:rsidP="00044C31">
      <w:pPr>
        <w:pStyle w:val="NormalHanging12a"/>
        <w:widowControl/>
      </w:pPr>
      <w:r w:rsidRPr="00684CBA">
        <w:t>20.</w:t>
      </w:r>
      <w:r w:rsidRPr="00684CBA">
        <w:tab/>
        <w:t xml:space="preserve">ennek fényében úgy véli, hogy a Parlamentnek képesnek kell lennie arra, hogy érdemben biztosítsa az emberek részvételét a döntéshozatali folyamatban, tekintettel e nemzetközi megállapodások szerkezetére, ahol a harmadik ország adott programhoz való társulására vonatkozó döntést – beleértve a társulás hatókörét is – csak a jövőben hozzák meg, gyakran jóval </w:t>
      </w:r>
      <w:proofErr w:type="gramStart"/>
      <w:r w:rsidRPr="00684CBA">
        <w:t>azután</w:t>
      </w:r>
      <w:proofErr w:type="gramEnd"/>
      <w:r w:rsidRPr="00684CBA">
        <w:t>, hogy a Parlament egyetértését adta az adott harmadik országgal kötött eredeti megállapodás megkötéséhez;</w:t>
      </w:r>
    </w:p>
    <w:p w:rsidR="006F0BF4" w:rsidRPr="00684CBA" w:rsidRDefault="006F0BF4" w:rsidP="00044C31">
      <w:pPr>
        <w:pStyle w:val="NormalHanging12a"/>
        <w:widowControl/>
      </w:pPr>
      <w:r w:rsidRPr="00684CBA">
        <w:t>21.</w:t>
      </w:r>
      <w:r w:rsidRPr="00684CBA">
        <w:tab/>
        <w:t>emlékeztet arra, hogy a Bizottság megközelítésével kapcsolatos álláspontja nem tekinthető sem az Új-Zéland részvétele elleni tiltakozásnak, sem az ország és az EU között mindig is fennálló, jól megalapozott és szoros együttműködés elleni tiltakozásnak;</w:t>
      </w:r>
    </w:p>
    <w:p w:rsidR="006F0BF4" w:rsidRPr="00684CBA" w:rsidRDefault="006F0BF4" w:rsidP="00044C31">
      <w:pPr>
        <w:pStyle w:val="NormalHanging12a"/>
        <w:widowControl/>
        <w:rPr>
          <w:b/>
          <w:i/>
        </w:rPr>
      </w:pPr>
      <w:r w:rsidRPr="00684CBA">
        <w:rPr>
          <w:b/>
          <w:i/>
        </w:rPr>
        <w:t>Más, hasonlóan gondolkodó országok részvétele az uniós programokban</w:t>
      </w:r>
    </w:p>
    <w:p w:rsidR="006F0BF4" w:rsidRPr="00684CBA" w:rsidRDefault="006F0BF4" w:rsidP="00044C31">
      <w:pPr>
        <w:pStyle w:val="NormalHanging12a"/>
        <w:widowControl/>
      </w:pPr>
      <w:r w:rsidRPr="00684CBA">
        <w:t>22.</w:t>
      </w:r>
      <w:r w:rsidRPr="00684CBA">
        <w:tab/>
        <w:t xml:space="preserve">sajnálatosnak tartja, hogy a Feröer szigetek részvételéről és Kanada, a Koreai Köztársaság és Japán javasolt társulásáról szóló megállapodástervezet az Új-Zélanddal kötendő megállapodás tervezetével megegyező </w:t>
      </w:r>
      <w:proofErr w:type="gramStart"/>
      <w:r w:rsidRPr="00684CBA">
        <w:t>struktúrát</w:t>
      </w:r>
      <w:proofErr w:type="gramEnd"/>
      <w:r w:rsidRPr="00684CBA">
        <w:t xml:space="preserve"> követ; kéri, hogy a Bizottság tartózkodjon attól, hogy megakadályozza a Parlament egyetértési jogának gyakorlását az uniós programokhoz való bármely társulás esetében, és hogy új partnerekkel csak </w:t>
      </w:r>
      <w:r w:rsidRPr="00684CBA">
        <w:lastRenderedPageBreak/>
        <w:t>akkor kerüljön sor társulási megállapodás megkötésére, ha a Parlament érdemben gyakorolhatta egyetértéshez való jogát;</w:t>
      </w:r>
    </w:p>
    <w:p w:rsidR="006F0BF4" w:rsidRPr="00684CBA" w:rsidRDefault="006F0BF4" w:rsidP="00044C31">
      <w:pPr>
        <w:pStyle w:val="NormalHanging12a"/>
        <w:widowControl/>
        <w:rPr>
          <w:i/>
        </w:rPr>
      </w:pPr>
      <w:r w:rsidRPr="00684CBA">
        <w:t>23.</w:t>
      </w:r>
      <w:r w:rsidRPr="00684CBA">
        <w:tab/>
        <w:t xml:space="preserve">aggodalmát fejezi ki amiatt, hogy az a nemrégiben létrejött megállapodás, amely szerint az Egyesült Királyságnak a Horizont Európa programhoz való hozzájárulását </w:t>
      </w:r>
      <w:proofErr w:type="gramStart"/>
      <w:r w:rsidRPr="00684CBA">
        <w:t>automatikusan</w:t>
      </w:r>
      <w:proofErr w:type="gramEnd"/>
      <w:r w:rsidRPr="00684CBA">
        <w:t xml:space="preserve"> mérsékelni kell, ha az Egyesült Királyság e programban való részvétele a „vártnál alacsonyabb”, olyan helyzeteket eredményezett, amelyek nincsenek összhangban az EU és az Egyesült Királyság közötti kereskedelmi és együttműködési megállapodás rendelkezéseivel, amelyhez a Parlament egyetértését adta;</w:t>
      </w:r>
    </w:p>
    <w:p w:rsidR="006F0BF4" w:rsidRPr="00684CBA" w:rsidRDefault="006F0BF4" w:rsidP="00044C31">
      <w:pPr>
        <w:pStyle w:val="NormalHanging12a"/>
        <w:widowControl/>
        <w:rPr>
          <w:b/>
          <w:i/>
        </w:rPr>
      </w:pPr>
      <w:r w:rsidRPr="00684CBA">
        <w:rPr>
          <w:b/>
          <w:i/>
        </w:rPr>
        <w:t>A következő lépések</w:t>
      </w:r>
    </w:p>
    <w:p w:rsidR="006F0BF4" w:rsidRPr="00684CBA" w:rsidRDefault="006F0BF4" w:rsidP="00044C31">
      <w:pPr>
        <w:pStyle w:val="NormalHanging12a"/>
        <w:widowControl/>
      </w:pPr>
      <w:r w:rsidRPr="00684CBA">
        <w:t>24.</w:t>
      </w:r>
      <w:r w:rsidRPr="00684CBA">
        <w:tab/>
        <w:t xml:space="preserve">emlékeztet arra, hogy az Európai Parlament és az Európai Bizottság közötti kapcsolatokról szóló keretmegállapodással összhangban a Parlamentet a nemzetközi megállapodások tárgyalásának és megkötésének minden szakaszában haladéktalanul és </w:t>
      </w:r>
      <w:proofErr w:type="spellStart"/>
      <w:r w:rsidRPr="00684CBA">
        <w:t>teljeskörűen</w:t>
      </w:r>
      <w:proofErr w:type="spellEnd"/>
      <w:r w:rsidRPr="00684CBA">
        <w:t xml:space="preserve"> tájékoztatni kell;</w:t>
      </w:r>
    </w:p>
    <w:p w:rsidR="006F0BF4" w:rsidRPr="00684CBA" w:rsidRDefault="006F0BF4" w:rsidP="00044C31">
      <w:pPr>
        <w:pStyle w:val="NormalHanging12a"/>
        <w:widowControl/>
      </w:pPr>
      <w:r w:rsidRPr="00684CBA">
        <w:t>25.</w:t>
      </w:r>
      <w:r w:rsidRPr="00684CBA">
        <w:tab/>
        <w:t>felhívja a Bizottságot, hogy nyújtson be a Parlamentnek rendszeres, részletes jelentéseket a megállapodások végrehajtásáról, például az elért mérföldkövekről, a felmerülő kihívásokról, a harmadik országbeli szervezetek által benyújtott pályázatok sikerességi arányáról, a harmadik országok éves hozzájárulásairól, a költségvetés végrehajtásáról és az ellenőrzések eredményeiről;</w:t>
      </w:r>
    </w:p>
    <w:p w:rsidR="006F0BF4" w:rsidRPr="00684CBA" w:rsidRDefault="006F0BF4" w:rsidP="00044C31">
      <w:pPr>
        <w:pStyle w:val="NormalHanging12a"/>
        <w:widowControl/>
      </w:pPr>
      <w:r w:rsidRPr="00684CBA">
        <w:t>26.</w:t>
      </w:r>
      <w:r w:rsidRPr="00684CBA">
        <w:tab/>
        <w:t>sürgeti a Bizottságot, hogy kezdjen tárgyalásokat egy olyan intézményközi megállapodásról, amely meghatározná a harmadik országok uniós programokban való részvételéről szóló megállapodások végrehajtásának Parlament általi demokratikus ellenőrzésére vonatkozó általános elveket;</w:t>
      </w:r>
    </w:p>
    <w:p w:rsidR="006F0BF4" w:rsidRPr="00684CBA" w:rsidRDefault="006F0BF4" w:rsidP="00044C31">
      <w:pPr>
        <w:pStyle w:val="NormalHanging12a"/>
        <w:widowControl/>
      </w:pPr>
      <w:r w:rsidRPr="00684CBA">
        <w:t>27.</w:t>
      </w:r>
      <w:r w:rsidRPr="00684CBA">
        <w:tab/>
        <w:t>reményét fejezi ki, hogy a Bizottság tisztázni fogja a helyzetet, és megfelelő és kielégítő választ ad a Parlament szóbeli választ igénylő kérdésére az egyetértés megadása érdekében; kész teljes mértékben együttműködni a Bizottsággal és a Tanáccsal ezen eredmény elérése érdekében;</w:t>
      </w:r>
    </w:p>
    <w:p w:rsidR="006F0BF4" w:rsidRPr="00684CBA" w:rsidRDefault="006F0BF4" w:rsidP="00044C31">
      <w:pPr>
        <w:pStyle w:val="NormalHanging12a"/>
        <w:widowControl/>
        <w:jc w:val="center"/>
      </w:pPr>
      <w:r w:rsidRPr="00684CBA">
        <w:t>°</w:t>
      </w:r>
    </w:p>
    <w:p w:rsidR="006F0BF4" w:rsidRPr="00684CBA" w:rsidRDefault="006F0BF4" w:rsidP="00044C31">
      <w:pPr>
        <w:pStyle w:val="NormalHanging12a"/>
        <w:widowControl/>
        <w:jc w:val="center"/>
      </w:pPr>
      <w:r w:rsidRPr="00684CBA">
        <w:t>°</w:t>
      </w:r>
      <w:r w:rsidRPr="00684CBA">
        <w:tab/>
        <w:t>°</w:t>
      </w:r>
    </w:p>
    <w:p w:rsidR="006F0BF4" w:rsidRPr="00684CBA" w:rsidRDefault="006F0BF4" w:rsidP="00044C31">
      <w:pPr>
        <w:pStyle w:val="NormalHanging12a"/>
        <w:widowControl/>
      </w:pPr>
      <w:r w:rsidRPr="00684CBA">
        <w:t>28.</w:t>
      </w:r>
      <w:r w:rsidRPr="00684CBA">
        <w:tab/>
        <w:t>utasítja elnökét, hogy továbbítsa ezt az állásfoglalást a Tanácsnak és a Bizottságnak.</w:t>
      </w:r>
    </w:p>
    <w:p w:rsidR="00E365E1" w:rsidRPr="00684CBA" w:rsidRDefault="00E365E1" w:rsidP="00044C31">
      <w:pPr>
        <w:widowControl/>
        <w:spacing w:after="240"/>
        <w:ind w:left="567" w:hanging="567"/>
      </w:pPr>
      <w:bookmarkStart w:id="7" w:name="TextBodyEnd"/>
      <w:bookmarkEnd w:id="7"/>
    </w:p>
    <w:sectPr w:rsidR="00E365E1" w:rsidRPr="00684CBA" w:rsidSect="006338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178" w:rsidRPr="00633826" w:rsidRDefault="008C6178">
      <w:r w:rsidRPr="00633826">
        <w:separator/>
      </w:r>
    </w:p>
  </w:endnote>
  <w:endnote w:type="continuationSeparator" w:id="0">
    <w:p w:rsidR="008C6178" w:rsidRPr="00633826" w:rsidRDefault="008C6178">
      <w:r w:rsidRPr="006338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8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8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8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178" w:rsidRPr="00633826" w:rsidRDefault="008C6178">
      <w:r w:rsidRPr="00633826">
        <w:separator/>
      </w:r>
    </w:p>
  </w:footnote>
  <w:footnote w:type="continuationSeparator" w:id="0">
    <w:p w:rsidR="008C6178" w:rsidRPr="00633826" w:rsidRDefault="008C6178">
      <w:r w:rsidRPr="00633826">
        <w:continuationSeparator/>
      </w:r>
    </w:p>
  </w:footnote>
  <w:footnote w:id="1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170., 2021.5.12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1. o.</w:t>
      </w:r>
    </w:p>
  </w:footnote>
  <w:footnote w:id="2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 xml:space="preserve">Az Európai Parlament 2019. április 17-i jogalkotási állásfoglalása az Európai </w:t>
      </w:r>
      <w:proofErr w:type="gramStart"/>
      <w:r w:rsidRPr="00633826">
        <w:rPr>
          <w:sz w:val="24"/>
          <w:lang w:val="hu-HU"/>
        </w:rPr>
        <w:t>horizont</w:t>
      </w:r>
      <w:proofErr w:type="gramEnd"/>
      <w:r w:rsidRPr="00633826">
        <w:rPr>
          <w:sz w:val="24"/>
          <w:lang w:val="hu-HU"/>
        </w:rPr>
        <w:t xml:space="preserve"> kutatási és innovációs keretprogram létrehozásáról, valamint részvételi és terjesztési szabályainak megállapításáról szóló európai parlamenti és tanácsi rendeletre irányuló javaslatról (HL C 158., 2021.4.30., 184. o.).</w:t>
      </w:r>
    </w:p>
  </w:footnote>
  <w:footnote w:id="3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321., 2016.11.29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3. o.</w:t>
      </w:r>
    </w:p>
  </w:footnote>
  <w:footnote w:id="4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182., 2023.7.19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4. o.</w:t>
      </w:r>
    </w:p>
  </w:footnote>
  <w:footnote w:id="5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154., 2022.</w:t>
      </w:r>
      <w:r w:rsidR="008A534D">
        <w:rPr>
          <w:sz w:val="24"/>
          <w:lang w:val="hu-HU"/>
        </w:rPr>
        <w:t>6</w:t>
      </w:r>
      <w:r w:rsidRPr="00633826">
        <w:rPr>
          <w:sz w:val="24"/>
          <w:lang w:val="hu-HU"/>
        </w:rPr>
        <w:t>.</w:t>
      </w:r>
      <w:r w:rsidR="008A534D">
        <w:rPr>
          <w:sz w:val="24"/>
          <w:lang w:val="hu-HU"/>
        </w:rPr>
        <w:t>7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4. o.</w:t>
      </w:r>
    </w:p>
  </w:footnote>
  <w:footnote w:id="6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237., 2022.9.14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17. o.</w:t>
      </w:r>
    </w:p>
  </w:footnote>
  <w:footnote w:id="7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144., 2023.</w:t>
      </w:r>
      <w:r w:rsidR="008A534D">
        <w:rPr>
          <w:sz w:val="24"/>
          <w:lang w:val="hu-HU"/>
        </w:rPr>
        <w:t>6</w:t>
      </w:r>
      <w:r w:rsidRPr="00633826">
        <w:rPr>
          <w:sz w:val="24"/>
          <w:lang w:val="hu-HU"/>
        </w:rPr>
        <w:t>.</w:t>
      </w:r>
      <w:r w:rsidR="008A534D">
        <w:rPr>
          <w:sz w:val="24"/>
          <w:lang w:val="hu-HU"/>
        </w:rPr>
        <w:t>5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58. o.</w:t>
      </w:r>
    </w:p>
  </w:footnote>
  <w:footnote w:id="8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146., 2023.6.6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18. o.</w:t>
      </w:r>
    </w:p>
  </w:footnote>
  <w:footnote w:id="9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>HL L 304., 2010.11.20</w:t>
      </w:r>
      <w:proofErr w:type="gramStart"/>
      <w:r w:rsidRPr="00633826">
        <w:rPr>
          <w:sz w:val="24"/>
          <w:lang w:val="hu-HU"/>
        </w:rPr>
        <w:t>.,</w:t>
      </w:r>
      <w:proofErr w:type="gramEnd"/>
      <w:r w:rsidRPr="00633826">
        <w:rPr>
          <w:sz w:val="24"/>
          <w:lang w:val="hu-HU"/>
        </w:rPr>
        <w:t xml:space="preserve"> 47. o.</w:t>
      </w:r>
    </w:p>
  </w:footnote>
  <w:footnote w:id="10">
    <w:p w:rsidR="006F0BF4" w:rsidRPr="00633826" w:rsidRDefault="006F0BF4" w:rsidP="00633826">
      <w:pPr>
        <w:pStyle w:val="FootnoteText"/>
        <w:ind w:left="567" w:hanging="567"/>
        <w:rPr>
          <w:sz w:val="24"/>
          <w:lang w:val="hu-HU"/>
        </w:rPr>
      </w:pPr>
      <w:r w:rsidRPr="00633826">
        <w:rPr>
          <w:rStyle w:val="FootnoteReference"/>
          <w:sz w:val="24"/>
          <w:lang w:val="hu-HU"/>
        </w:rPr>
        <w:footnoteRef/>
      </w:r>
      <w:r w:rsidR="00633826" w:rsidRPr="00633826">
        <w:rPr>
          <w:sz w:val="24"/>
          <w:lang w:val="hu-HU"/>
        </w:rPr>
        <w:t xml:space="preserve"> </w:t>
      </w:r>
      <w:r w:rsidR="00633826" w:rsidRPr="00633826">
        <w:rPr>
          <w:sz w:val="24"/>
          <w:lang w:val="hu-HU"/>
        </w:rPr>
        <w:tab/>
      </w:r>
      <w:r w:rsidRPr="00633826">
        <w:rPr>
          <w:sz w:val="24"/>
          <w:lang w:val="hu-HU"/>
        </w:rPr>
        <w:t xml:space="preserve">A Bíróság 1980. október 29-i ítélete, </w:t>
      </w:r>
      <w:proofErr w:type="spellStart"/>
      <w:r w:rsidRPr="00633826">
        <w:rPr>
          <w:sz w:val="24"/>
          <w:lang w:val="hu-HU"/>
        </w:rPr>
        <w:t>Roquette</w:t>
      </w:r>
      <w:proofErr w:type="spellEnd"/>
      <w:r w:rsidRPr="00633826">
        <w:rPr>
          <w:sz w:val="24"/>
          <w:lang w:val="hu-HU"/>
        </w:rPr>
        <w:t xml:space="preserve"> </w:t>
      </w:r>
      <w:proofErr w:type="spellStart"/>
      <w:r w:rsidRPr="00633826">
        <w:rPr>
          <w:sz w:val="24"/>
          <w:lang w:val="hu-HU"/>
        </w:rPr>
        <w:t>Frères</w:t>
      </w:r>
      <w:proofErr w:type="spellEnd"/>
      <w:r w:rsidRPr="00633826">
        <w:rPr>
          <w:sz w:val="24"/>
          <w:lang w:val="hu-HU"/>
        </w:rPr>
        <w:t xml:space="preserve"> kontra Tanács, C-138/79, ECLI</w:t>
      </w:r>
      <w:proofErr w:type="gramStart"/>
      <w:r w:rsidRPr="00633826">
        <w:rPr>
          <w:sz w:val="24"/>
          <w:lang w:val="hu-HU"/>
        </w:rPr>
        <w:t>:EU</w:t>
      </w:r>
      <w:proofErr w:type="gramEnd"/>
      <w:r w:rsidRPr="00633826">
        <w:rPr>
          <w:sz w:val="24"/>
          <w:lang w:val="hu-HU"/>
        </w:rPr>
        <w:t xml:space="preserve">:C:1980:249, 33. pont, és a Bíróság </w:t>
      </w:r>
      <w:r w:rsidR="008A534D" w:rsidRPr="008A534D">
        <w:rPr>
          <w:sz w:val="24"/>
          <w:lang w:val="hu-HU"/>
        </w:rPr>
        <w:t>2014. június 24</w:t>
      </w:r>
      <w:bookmarkStart w:id="6" w:name="_GoBack"/>
      <w:bookmarkEnd w:id="6"/>
      <w:r w:rsidRPr="00633826">
        <w:rPr>
          <w:sz w:val="24"/>
          <w:lang w:val="hu-HU"/>
        </w:rPr>
        <w:t>-i ítélete, Parlament kontra Tanács, C-658/11, ECLI:EU:C:2014:2025, 81. pont.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8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8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338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6/2024"/>
    <w:docVar w:name="dvlangue" w:val="HU"/>
    <w:docVar w:name="dvnumam" w:val="0"/>
    <w:docVar w:name="dvpe" w:val="758.017"/>
    <w:docVar w:name="dvtitre" w:val="Az Európai Parlament 2024.  ...-i állásfoglalása a harmadik országok uniós programokban való részvételéről szóló társulási megállapodásokról(2023/3018(RSP))"/>
  </w:docVars>
  <w:rsids>
    <w:rsidRoot w:val="008C6178"/>
    <w:rsid w:val="00002272"/>
    <w:rsid w:val="00044C31"/>
    <w:rsid w:val="00064002"/>
    <w:rsid w:val="000677B9"/>
    <w:rsid w:val="000831BA"/>
    <w:rsid w:val="000A42CC"/>
    <w:rsid w:val="000E7DD9"/>
    <w:rsid w:val="0010095E"/>
    <w:rsid w:val="00125B37"/>
    <w:rsid w:val="00135003"/>
    <w:rsid w:val="00187494"/>
    <w:rsid w:val="001F32AE"/>
    <w:rsid w:val="002767FF"/>
    <w:rsid w:val="002B18FE"/>
    <w:rsid w:val="002B5493"/>
    <w:rsid w:val="00314C7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826"/>
    <w:rsid w:val="006631B6"/>
    <w:rsid w:val="00680577"/>
    <w:rsid w:val="00684CBA"/>
    <w:rsid w:val="006F0BF4"/>
    <w:rsid w:val="006F39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34D"/>
    <w:rsid w:val="008C2AC6"/>
    <w:rsid w:val="008C617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04DC"/>
    <w:rsid w:val="00AF3B82"/>
    <w:rsid w:val="00B12E95"/>
    <w:rsid w:val="00B22876"/>
    <w:rsid w:val="00B558F0"/>
    <w:rsid w:val="00B9447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DCFB7"/>
  <w15:chartTrackingRefBased/>
  <w15:docId w15:val="{C6FCC2DC-F201-40C5-B83A-970E7B46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0BF4"/>
    <w:pPr>
      <w:spacing w:before="480" w:after="240"/>
    </w:pPr>
  </w:style>
  <w:style w:type="paragraph" w:customStyle="1" w:styleId="NormalHanging12a">
    <w:name w:val="NormalHanging12a"/>
    <w:basedOn w:val="Normal"/>
    <w:rsid w:val="006F0BF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44C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4C3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AA9AF-6B41-4ADB-882E-77E8F65C3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1891</Words>
  <Characters>13621</Characters>
  <Application>Microsoft Office Word</Application>
  <DocSecurity>4</DocSecurity>
  <Lines>113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Lukas Lemcke</cp:lastModifiedBy>
  <cp:revision>2</cp:revision>
  <cp:lastPrinted>2004-11-19T15:42:00Z</cp:lastPrinted>
  <dcterms:created xsi:type="dcterms:W3CDTF">2024-06-14T09:17:00Z</dcterms:created>
  <dcterms:modified xsi:type="dcterms:W3CDTF">2024-06-14T09:17:00Z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B9-0096/2024</vt:lpwstr>
  </property>
  <property fmtid="{D5CDD505-2E9C-101B-9397-08002B2CF9AE}" pid="4" name="&lt;Type&gt;">
    <vt:lpwstr>RR</vt:lpwstr>
  </property>
</Properties>
</file>