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7943" w:rsidTr="0010095E">
        <w:trPr>
          <w:trHeight w:hRule="exact" w:val="1418"/>
        </w:trPr>
        <w:tc>
          <w:tcPr>
            <w:tcW w:w="6804" w:type="dxa"/>
            <w:shd w:val="clear" w:color="auto" w:fill="auto"/>
            <w:vAlign w:val="center"/>
          </w:tcPr>
          <w:p w:rsidR="00751A4A" w:rsidRPr="00597943" w:rsidRDefault="000E5A46" w:rsidP="0010095E">
            <w:pPr>
              <w:pStyle w:val="EPName"/>
            </w:pPr>
            <w:r w:rsidRPr="00597943">
              <w:t>Europaparlamentet</w:t>
            </w:r>
          </w:p>
          <w:p w:rsidR="00751A4A" w:rsidRPr="00597943" w:rsidRDefault="00817416" w:rsidP="00756632">
            <w:pPr>
              <w:pStyle w:val="EPTerm"/>
              <w:rPr>
                <w:rStyle w:val="HideTWBExt"/>
                <w:noProof w:val="0"/>
                <w:vanish w:val="0"/>
                <w:color w:val="auto"/>
              </w:rPr>
            </w:pPr>
            <w:r w:rsidRPr="00597943">
              <w:t>2019-2024</w:t>
            </w:r>
          </w:p>
        </w:tc>
        <w:tc>
          <w:tcPr>
            <w:tcW w:w="2268" w:type="dxa"/>
            <w:shd w:val="clear" w:color="auto" w:fill="auto"/>
          </w:tcPr>
          <w:p w:rsidR="00751A4A" w:rsidRPr="00597943" w:rsidRDefault="00187494" w:rsidP="0010095E">
            <w:pPr>
              <w:pStyle w:val="EPLogo"/>
            </w:pPr>
            <w:r w:rsidRPr="005979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7943" w:rsidRDefault="00D058B8" w:rsidP="004C5D52">
      <w:pPr>
        <w:pStyle w:val="LineTop"/>
      </w:pPr>
    </w:p>
    <w:p w:rsidR="00680577" w:rsidRPr="00597943" w:rsidRDefault="000E5A46" w:rsidP="00680577">
      <w:pPr>
        <w:pStyle w:val="EPBodyTA1"/>
      </w:pPr>
      <w:r w:rsidRPr="00597943">
        <w:t>ANTAGNA TEXTER</w:t>
      </w:r>
    </w:p>
    <w:p w:rsidR="00D058B8" w:rsidRPr="00597943" w:rsidRDefault="00D058B8" w:rsidP="00D058B8">
      <w:pPr>
        <w:pStyle w:val="LineBottom"/>
      </w:pPr>
    </w:p>
    <w:p w:rsidR="000E5A46" w:rsidRPr="00597943" w:rsidRDefault="000E5A46" w:rsidP="000E5A46">
      <w:pPr>
        <w:pStyle w:val="ATHeading1"/>
      </w:pPr>
      <w:bookmarkStart w:id="0" w:name="TANumber"/>
      <w:r w:rsidRPr="00597943">
        <w:t>P9_TA(2024)00</w:t>
      </w:r>
      <w:r w:rsidR="00FC4EDC" w:rsidRPr="00597943">
        <w:t>77</w:t>
      </w:r>
      <w:bookmarkEnd w:id="0"/>
    </w:p>
    <w:p w:rsidR="000E5A46" w:rsidRPr="00597943" w:rsidRDefault="000E5A46" w:rsidP="000E5A46">
      <w:pPr>
        <w:pStyle w:val="ATHeading2"/>
      </w:pPr>
      <w:bookmarkStart w:id="1" w:name="title"/>
      <w:r w:rsidRPr="00597943">
        <w:t>Associeringsavtal för tredjeländers deltagande i unionsprogram</w:t>
      </w:r>
      <w:bookmarkEnd w:id="1"/>
    </w:p>
    <w:p w:rsidR="000E5A46" w:rsidRPr="00597943" w:rsidRDefault="000E5A46" w:rsidP="000E5A46">
      <w:pPr>
        <w:rPr>
          <w:i/>
          <w:vanish/>
        </w:rPr>
      </w:pPr>
      <w:r w:rsidRPr="00597943">
        <w:rPr>
          <w:i/>
        </w:rPr>
        <w:fldChar w:fldCharType="begin"/>
      </w:r>
      <w:r w:rsidRPr="00597943">
        <w:rPr>
          <w:i/>
        </w:rPr>
        <w:instrText xml:space="preserve"> TC"(</w:instrText>
      </w:r>
      <w:bookmarkStart w:id="2" w:name="DocNumber"/>
      <w:r w:rsidRPr="00597943">
        <w:rPr>
          <w:i/>
        </w:rPr>
        <w:instrText>B9-0096/2024</w:instrText>
      </w:r>
      <w:bookmarkEnd w:id="2"/>
      <w:r w:rsidRPr="00597943">
        <w:rPr>
          <w:i/>
        </w:rPr>
        <w:instrText xml:space="preserve">)"\l3 \n&gt; \* MERGEFORMAT </w:instrText>
      </w:r>
      <w:r w:rsidRPr="00597943">
        <w:rPr>
          <w:i/>
        </w:rPr>
        <w:fldChar w:fldCharType="end"/>
      </w:r>
    </w:p>
    <w:p w:rsidR="000E5A46" w:rsidRPr="00597943" w:rsidRDefault="000E5A46" w:rsidP="000E5A46">
      <w:pPr>
        <w:rPr>
          <w:vanish/>
        </w:rPr>
      </w:pPr>
      <w:bookmarkStart w:id="3" w:name="PE"/>
      <w:r w:rsidRPr="00597943">
        <w:rPr>
          <w:vanish/>
        </w:rPr>
        <w:t>PE758.017</w:t>
      </w:r>
      <w:bookmarkEnd w:id="3"/>
    </w:p>
    <w:p w:rsidR="000E5A46" w:rsidRPr="00597943" w:rsidRDefault="000E5A46" w:rsidP="000E5A46">
      <w:pPr>
        <w:pStyle w:val="ATHeading3"/>
      </w:pPr>
      <w:bookmarkStart w:id="4" w:name="Sujet"/>
      <w:r w:rsidRPr="00597943">
        <w:t xml:space="preserve">Europaparlamentets resolution av den </w:t>
      </w:r>
      <w:r w:rsidR="0066408B" w:rsidRPr="00597943">
        <w:t xml:space="preserve">8 februari </w:t>
      </w:r>
      <w:r w:rsidRPr="00597943">
        <w:t>2024 om associeringsavtal för tredjeländers deltagande i unionsprogram</w:t>
      </w:r>
      <w:bookmarkEnd w:id="4"/>
      <w:r w:rsidRPr="00597943">
        <w:t xml:space="preserve"> </w:t>
      </w:r>
      <w:bookmarkStart w:id="5" w:name="References"/>
      <w:r w:rsidRPr="00597943">
        <w:t>(2023/3018(RSP))</w:t>
      </w:r>
      <w:bookmarkEnd w:id="5"/>
    </w:p>
    <w:p w:rsidR="005D09AA" w:rsidRPr="00597943" w:rsidRDefault="005D09AA" w:rsidP="005D09AA">
      <w:pPr>
        <w:pStyle w:val="EPComma"/>
      </w:pPr>
      <w:bookmarkStart w:id="6" w:name="TextBodyBegin"/>
      <w:bookmarkEnd w:id="6"/>
      <w:r w:rsidRPr="00597943">
        <w:rPr>
          <w:i/>
          <w:iCs/>
        </w:rPr>
        <w:t>Europaparlamentet utfärdar denna resolution</w:t>
      </w:r>
    </w:p>
    <w:p w:rsidR="005D09AA" w:rsidRPr="00597943" w:rsidRDefault="005D09AA" w:rsidP="005D09AA">
      <w:pPr>
        <w:pStyle w:val="NormalHanging12a"/>
      </w:pPr>
      <w:r w:rsidRPr="00597943">
        <w:t>–</w:t>
      </w:r>
      <w:r w:rsidRPr="00597943">
        <w:tab/>
        <w:t>med beaktande av fördraget om Europeiska unionens funktionssätt (EUF-fördraget), särskilt artikel 218,</w:t>
      </w:r>
    </w:p>
    <w:p w:rsidR="005D09AA" w:rsidRPr="00597943" w:rsidRDefault="005D09AA" w:rsidP="005D09AA">
      <w:pPr>
        <w:pStyle w:val="NormalHanging12a"/>
      </w:pPr>
      <w:r w:rsidRPr="00597943">
        <w:t>–</w:t>
      </w:r>
      <w:r w:rsidRPr="00597943">
        <w:tab/>
        <w:t>med beaktande av 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w:t>
      </w:r>
      <w:r w:rsidRPr="00597943">
        <w:rPr>
          <w:rStyle w:val="FootnoteReference"/>
          <w:rFonts w:eastAsiaTheme="minorHAnsi"/>
        </w:rPr>
        <w:footnoteReference w:id="1"/>
      </w:r>
      <w:r w:rsidRPr="00597943">
        <w:t xml:space="preserve"> (Horisont Europa-förordningen), och av uttalandet om associeringsavtal i parlamentets ståndpunkt vid första behandlingen av den 17 april 2019 om den förordningen</w:t>
      </w:r>
      <w:r w:rsidRPr="00597943">
        <w:rPr>
          <w:rStyle w:val="FootnoteReference"/>
          <w:rFonts w:eastAsiaTheme="minorHAnsi"/>
        </w:rPr>
        <w:footnoteReference w:id="2"/>
      </w:r>
      <w:r w:rsidRPr="00597943">
        <w:t>,</w:t>
      </w:r>
    </w:p>
    <w:p w:rsidR="005D09AA" w:rsidRPr="00597943" w:rsidRDefault="005D09AA" w:rsidP="005D09AA">
      <w:pPr>
        <w:pStyle w:val="NormalHanging12a"/>
      </w:pPr>
      <w:r w:rsidRPr="00597943">
        <w:t>–</w:t>
      </w:r>
      <w:r w:rsidRPr="00597943">
        <w:tab/>
        <w:t>med beaktande av partnerskapsavtalet om förbindelser och samarbete mellan Europeiska unionen och dess medlemsstater, å ena sidan, och Nya Zeeland, å andra sidan</w:t>
      </w:r>
      <w:r w:rsidRPr="00597943">
        <w:rPr>
          <w:rStyle w:val="FootnoteReference"/>
          <w:rFonts w:eastAsiaTheme="minorHAnsi"/>
        </w:rPr>
        <w:footnoteReference w:id="3"/>
      </w:r>
      <w:r w:rsidRPr="00597943">
        <w:t>,</w:t>
      </w:r>
    </w:p>
    <w:p w:rsidR="005D09AA" w:rsidRPr="00597943" w:rsidRDefault="005D09AA" w:rsidP="005D09AA">
      <w:pPr>
        <w:pStyle w:val="NormalHanging12a"/>
      </w:pPr>
      <w:r w:rsidRPr="00597943">
        <w:t>–</w:t>
      </w:r>
      <w:r w:rsidRPr="00597943">
        <w:tab/>
        <w:t>med beaktande av utkastet till avtal mellan Europeiska unionen, å ena sidan, och Nya Zeeland, å andra sidan, om Nya Zeelands deltagande i unionsprogram</w:t>
      </w:r>
      <w:r w:rsidRPr="00597943">
        <w:rPr>
          <w:rStyle w:val="FootnoteReference"/>
          <w:rFonts w:eastAsiaTheme="minorHAnsi"/>
        </w:rPr>
        <w:footnoteReference w:id="4"/>
      </w:r>
      <w:r w:rsidRPr="00597943">
        <w:t>,</w:t>
      </w:r>
    </w:p>
    <w:p w:rsidR="005D09AA" w:rsidRPr="00597943" w:rsidRDefault="005D09AA" w:rsidP="005D09AA">
      <w:pPr>
        <w:pStyle w:val="NormalHanging12a"/>
      </w:pPr>
      <w:r w:rsidRPr="00597943">
        <w:t>–</w:t>
      </w:r>
      <w:r w:rsidRPr="00597943">
        <w:tab/>
        <w:t>med beaktande av utkastet till avtal mellan Europeiska unionen, å ena sidan, och Färöarnas regering, å andra sidan, om Färöarnas deltagande i unionsprogram</w:t>
      </w:r>
      <w:r w:rsidRPr="00597943">
        <w:rPr>
          <w:rStyle w:val="FootnoteReference"/>
          <w:rFonts w:eastAsiaTheme="minorHAnsi"/>
        </w:rPr>
        <w:footnoteReference w:id="5"/>
      </w:r>
      <w:r w:rsidRPr="00597943">
        <w:t>,</w:t>
      </w:r>
    </w:p>
    <w:p w:rsidR="005D09AA" w:rsidRPr="00597943" w:rsidRDefault="005D09AA" w:rsidP="005D09AA">
      <w:pPr>
        <w:pStyle w:val="NormalHanging12a"/>
      </w:pPr>
      <w:r w:rsidRPr="00597943">
        <w:t>–</w:t>
      </w:r>
      <w:r w:rsidRPr="00597943">
        <w:tab/>
        <w:t xml:space="preserve">med beaktande av rådets beslut (EU) 2022/1526 av den 9 september 2022 om bemyndigande att inleda förhandlingar med Kanada om ett avtal om de allmänna </w:t>
      </w:r>
      <w:r w:rsidRPr="00597943">
        <w:lastRenderedPageBreak/>
        <w:t>principerna för</w:t>
      </w:r>
      <w:bookmarkStart w:id="7" w:name="_GoBack"/>
      <w:bookmarkEnd w:id="7"/>
      <w:r w:rsidRPr="00597943">
        <w:t xml:space="preserve"> Kanadas deltagande i unionsprogram och om Kanadas associering till Horisont Europa – ramprogrammet för forskning och innovation (2021–2027)</w:t>
      </w:r>
      <w:r w:rsidRPr="00597943">
        <w:rPr>
          <w:rStyle w:val="FootnoteReference"/>
          <w:rFonts w:eastAsiaTheme="minorHAnsi"/>
        </w:rPr>
        <w:footnoteReference w:id="6"/>
      </w:r>
      <w:r w:rsidRPr="00597943">
        <w:t>,</w:t>
      </w:r>
    </w:p>
    <w:p w:rsidR="005D09AA" w:rsidRPr="00597943" w:rsidRDefault="005D09AA" w:rsidP="005D09AA">
      <w:pPr>
        <w:pStyle w:val="NormalHanging12a"/>
      </w:pPr>
      <w:r w:rsidRPr="00597943">
        <w:t>–</w:t>
      </w:r>
      <w:r w:rsidRPr="00597943">
        <w:tab/>
        <w:t>med beaktande av rådets beslut (EU) 2023/1081 av den 15 maj 2023 om bemyndigande att inleda förhandlingar med Japan om ett avtal om de allmänna principerna för Japans deltagande i unionsprogram och om Japans associering till Horisont Europa – ramprogrammet för forskning och innovation (2021–2027)</w:t>
      </w:r>
      <w:r w:rsidRPr="00597943">
        <w:rPr>
          <w:rStyle w:val="FootnoteReference"/>
          <w:rFonts w:eastAsiaTheme="minorHAnsi"/>
        </w:rPr>
        <w:footnoteReference w:id="7"/>
      </w:r>
      <w:r w:rsidRPr="00597943">
        <w:t>,</w:t>
      </w:r>
    </w:p>
    <w:p w:rsidR="005D09AA" w:rsidRPr="00597943" w:rsidRDefault="005D09AA" w:rsidP="005D09AA">
      <w:pPr>
        <w:pStyle w:val="NormalHanging12a"/>
      </w:pPr>
      <w:r w:rsidRPr="00597943">
        <w:t>–</w:t>
      </w:r>
      <w:r w:rsidRPr="00597943">
        <w:tab/>
        <w:t>med beaktande av rådets beslut (EU) 2023/1093 av den 15 maj 2023 om bemyndigande att inleda förhandlingar med Republiken Korea om ett avtal om de allmänna principerna för Republiken Koreas deltagande i unionsprogram och om Republiken Koreas associering till Horisont Europa – ramprogrammet för forskning och innovation (2021–2027)</w:t>
      </w:r>
      <w:r w:rsidRPr="00597943">
        <w:rPr>
          <w:rStyle w:val="FootnoteReference"/>
          <w:rFonts w:eastAsiaTheme="minorHAnsi"/>
        </w:rPr>
        <w:footnoteReference w:id="8"/>
      </w:r>
      <w:r w:rsidRPr="00597943">
        <w:t>,</w:t>
      </w:r>
    </w:p>
    <w:p w:rsidR="005D09AA" w:rsidRPr="00597943" w:rsidRDefault="005D09AA" w:rsidP="005D09AA">
      <w:pPr>
        <w:pStyle w:val="NormalHanging12a"/>
      </w:pPr>
      <w:r w:rsidRPr="00597943">
        <w:t>–</w:t>
      </w:r>
      <w:r w:rsidRPr="00597943">
        <w:tab/>
        <w:t>med beaktande av ramavtalet om förbindelserna mellan Europaparlamentet och Europeiska kommissionen av den 20 november 2010</w:t>
      </w:r>
      <w:r w:rsidRPr="00597943">
        <w:rPr>
          <w:rStyle w:val="FootnoteReference"/>
          <w:rFonts w:eastAsiaTheme="minorHAnsi"/>
        </w:rPr>
        <w:footnoteReference w:id="9"/>
      </w:r>
      <w:r w:rsidRPr="00597943">
        <w:t>,</w:t>
      </w:r>
    </w:p>
    <w:p w:rsidR="005D09AA" w:rsidRPr="00597943" w:rsidRDefault="005D09AA" w:rsidP="005D09AA">
      <w:pPr>
        <w:pStyle w:val="NormalHanging12a"/>
      </w:pPr>
      <w:r w:rsidRPr="00597943">
        <w:t>–</w:t>
      </w:r>
      <w:r w:rsidRPr="00597943">
        <w:tab/>
        <w:t>med beaktande av frågan till kommissionen om associeringsavtal för tredjeländers deltagande i unionsprogram (O-000004/2024 – B9-</w:t>
      </w:r>
      <w:r w:rsidR="005400F0" w:rsidRPr="00597943">
        <w:t>0009</w:t>
      </w:r>
      <w:r w:rsidRPr="00597943">
        <w:t>/2024),</w:t>
      </w:r>
    </w:p>
    <w:p w:rsidR="005D09AA" w:rsidRPr="00597943" w:rsidRDefault="005D09AA" w:rsidP="005D09AA">
      <w:pPr>
        <w:pStyle w:val="NormalHanging12a"/>
      </w:pPr>
      <w:r w:rsidRPr="00597943">
        <w:t>–</w:t>
      </w:r>
      <w:r w:rsidRPr="00597943">
        <w:tab/>
        <w:t>med beaktande av artiklarna 136.5 och 132.2 i arbetsordningen,</w:t>
      </w:r>
    </w:p>
    <w:p w:rsidR="005D09AA" w:rsidRPr="00597943" w:rsidRDefault="005D09AA" w:rsidP="005D09AA">
      <w:pPr>
        <w:pStyle w:val="NormalHanging12a"/>
      </w:pPr>
      <w:r w:rsidRPr="00597943">
        <w:t>–</w:t>
      </w:r>
      <w:r w:rsidRPr="00597943">
        <w:tab/>
        <w:t>med beaktande av förslaget till resolution från utskottet för utrikesfrågor och utskottet för industrifrågor, forskning och energi.</w:t>
      </w:r>
    </w:p>
    <w:p w:rsidR="005D09AA" w:rsidRPr="00597943" w:rsidRDefault="005D09AA" w:rsidP="005D09AA">
      <w:pPr>
        <w:pStyle w:val="NormalHanging12a"/>
        <w:rPr>
          <w:b/>
          <w:i/>
        </w:rPr>
      </w:pPr>
      <w:r w:rsidRPr="00597943">
        <w:rPr>
          <w:b/>
          <w:i/>
        </w:rPr>
        <w:t>Allmänna överväganden</w:t>
      </w:r>
    </w:p>
    <w:p w:rsidR="005D09AA" w:rsidRPr="00597943" w:rsidRDefault="005D09AA" w:rsidP="005D09AA">
      <w:pPr>
        <w:pStyle w:val="NormalHanging12a"/>
      </w:pPr>
      <w:r w:rsidRPr="00597943">
        <w:t>1.</w:t>
      </w:r>
      <w:r w:rsidRPr="00597943">
        <w:tab/>
        <w:t>Europaparlamentet konstaterar att ett aktivt och ömsesidigt fördelaktigt samarbete med tredjeländer som delar gemensamma demokratiska värden med EU kan förbättra resultaten av unionsprogrammen.</w:t>
      </w:r>
    </w:p>
    <w:p w:rsidR="005D09AA" w:rsidRPr="00597943" w:rsidRDefault="005D09AA" w:rsidP="005D09AA">
      <w:pPr>
        <w:pStyle w:val="NormalHanging12a"/>
      </w:pPr>
      <w:r w:rsidRPr="00597943">
        <w:t>2.</w:t>
      </w:r>
      <w:r w:rsidRPr="00597943">
        <w:tab/>
        <w:t>Europaparlamentet lyfter fram att Horisont Europa är världens mest omfattande samarbetsprogram för forskning och innovation för perioden 2021–2027.</w:t>
      </w:r>
    </w:p>
    <w:p w:rsidR="005D09AA" w:rsidRPr="00597943" w:rsidRDefault="005D09AA" w:rsidP="005D09AA">
      <w:pPr>
        <w:pStyle w:val="NormalHanging12a"/>
      </w:pPr>
      <w:r w:rsidRPr="00597943">
        <w:t>3.</w:t>
      </w:r>
      <w:r w:rsidRPr="00597943">
        <w:tab/>
        <w:t>Europaparlamentet stöder att tredjeländer som har god kapacitet inom vetenskap, teknik och innovation associeras till Horisont Europa, och erkänner att sådant samarbete bidrar till den övergripande styrkan och ändamålsenligheten i EU:s yttre åtgärder. Parlamentet uppmuntrar kommissionen att sträva efter och ingå ytterligare associeringsavtal med tredjeländer, eftersom detta ökar EU:s globala konkurrenskraft. Parlamentet betonar att det måste säkerställas att alla relevanta associeringsavtal bidrar till att Horisont Europas klimatmål upprätthålls.</w:t>
      </w:r>
    </w:p>
    <w:p w:rsidR="005D09AA" w:rsidRPr="00597943" w:rsidRDefault="005D09AA" w:rsidP="005D09AA">
      <w:pPr>
        <w:pStyle w:val="NormalHanging12a"/>
        <w:rPr>
          <w:i/>
        </w:rPr>
      </w:pPr>
      <w:r w:rsidRPr="00597943">
        <w:t>4.</w:t>
      </w:r>
      <w:r w:rsidRPr="00597943">
        <w:tab/>
        <w:t>Europaparlamentet understryker att tredjeländers associering till EU-program inte är en handling av rent teknisk karaktär, utan snarare ett politiskt beslut om de associerade ländernas förbindelser med EU och, särskilt när det gäller Horisont Europa, frågan om vetenskaplig och akademisk frihet.</w:t>
      </w:r>
    </w:p>
    <w:p w:rsidR="005D09AA" w:rsidRPr="00597943" w:rsidRDefault="005D09AA" w:rsidP="005D09AA">
      <w:pPr>
        <w:pStyle w:val="NormalHanging12a"/>
      </w:pPr>
      <w:r w:rsidRPr="00597943">
        <w:lastRenderedPageBreak/>
        <w:t>5.</w:t>
      </w:r>
      <w:r w:rsidRPr="00597943">
        <w:tab/>
        <w:t>Europaparlamentet lyfter fram de bestämmelser i fördragen som måste upprätthållas i enlighet med rättsstatsprincipen om den institutionella jämvikten och parlamentets roll ska kunna bevaras. Parlamentet anser att principen om lojalt samarbete måste respekteras, vilken säkerställer att alla EU-institutioner bistår varandra när de fullgör de uppgifter som följer av fördragen, så att det bland annat säkerställs att det tas större hänsyn till parlamentets åsikt i egenskap av direkt företrädare för EU:s medborgare.</w:t>
      </w:r>
    </w:p>
    <w:p w:rsidR="005D09AA" w:rsidRPr="00597943" w:rsidRDefault="005D09AA" w:rsidP="005D09AA">
      <w:pPr>
        <w:pStyle w:val="NormalHanging12a"/>
      </w:pPr>
      <w:r w:rsidRPr="00597943">
        <w:t>6.</w:t>
      </w:r>
      <w:r w:rsidRPr="00597943">
        <w:tab/>
        <w:t>Europaparlamentet ifrågasätter kommissionens tillvägagångssätt när det gäller ingåendet av internationella avtal om tredjeländers deltagande i unionsprogram, som innebär att parlamentet hindras från att utöva sina befogenheter inom ramen för förfarandena för ingående av unionens internationella avtal.</w:t>
      </w:r>
    </w:p>
    <w:p w:rsidR="005D09AA" w:rsidRPr="00597943" w:rsidRDefault="005D09AA" w:rsidP="005D09AA">
      <w:pPr>
        <w:pStyle w:val="NormalHanging12a"/>
      </w:pPr>
      <w:r w:rsidRPr="00597943">
        <w:t>7.</w:t>
      </w:r>
      <w:r w:rsidRPr="00597943">
        <w:tab/>
        <w:t>Europaparlamentet uppmanar kommissionen och rådet att fullt ut beakta parlamentets roll när de ingår associeringsavtal som följer denna nya struktur, i enlighet med fördragen.</w:t>
      </w:r>
    </w:p>
    <w:p w:rsidR="005D09AA" w:rsidRPr="00597943" w:rsidRDefault="005D09AA" w:rsidP="005D09AA">
      <w:pPr>
        <w:pStyle w:val="NormalHanging12a"/>
        <w:rPr>
          <w:i/>
        </w:rPr>
      </w:pPr>
      <w:r w:rsidRPr="00597943">
        <w:t>8.</w:t>
      </w:r>
      <w:r w:rsidRPr="00597943">
        <w:rPr>
          <w:i/>
        </w:rPr>
        <w:tab/>
      </w:r>
      <w:r w:rsidRPr="00597943">
        <w:t>Europaparlamentet betonar att dess möjlighet att ge ett meningsfullt godkännande till internationella avtal som särskilt rör vissa länders deltagande i unionsprogram hindras av att det i avtalen i fråga inte fastställs någon struktur som säkerställer en parlamentarisk granskning inom ramen för ett godkännandeförfarande för associering till ett specifikt unionsprogram.</w:t>
      </w:r>
    </w:p>
    <w:p w:rsidR="005D09AA" w:rsidRPr="00597943" w:rsidRDefault="005D09AA" w:rsidP="005D09AA">
      <w:pPr>
        <w:pStyle w:val="NormalHanging12a"/>
        <w:rPr>
          <w:b/>
          <w:i/>
        </w:rPr>
      </w:pPr>
      <w:r w:rsidRPr="00597943">
        <w:rPr>
          <w:b/>
          <w:i/>
        </w:rPr>
        <w:t>Samarbets- och associeringsavtalen mellan Nya Zeeland och Europeiska unionen</w:t>
      </w:r>
    </w:p>
    <w:p w:rsidR="005D09AA" w:rsidRPr="00597943" w:rsidRDefault="005D09AA" w:rsidP="005D09AA">
      <w:pPr>
        <w:pStyle w:val="NormalHanging12a"/>
        <w:rPr>
          <w:i/>
        </w:rPr>
      </w:pPr>
      <w:r w:rsidRPr="00597943">
        <w:t>9.</w:t>
      </w:r>
      <w:r w:rsidRPr="00597943">
        <w:rPr>
          <w:i/>
        </w:rPr>
        <w:tab/>
      </w:r>
      <w:r w:rsidRPr="00597943">
        <w:t>Europaparlamentet värdesätter de starka historiska och kulturella banden mellan EU och Nya Zeeland samt de utmärkta bilaterala förbindelserna mellan dem, som bygger på gemensamma demokratiska värden och åtskilliga gemensamma intressen. Parlamentet ser positivt på det utmärkta samarbetet om handel, utrikespolitik, forskning och innovation och inom ramen för multilaterala forum.</w:t>
      </w:r>
    </w:p>
    <w:p w:rsidR="005D09AA" w:rsidRPr="00597943" w:rsidRDefault="005D09AA" w:rsidP="005D09AA">
      <w:pPr>
        <w:pStyle w:val="NormalHanging12a"/>
      </w:pPr>
      <w:r w:rsidRPr="00597943">
        <w:t>10.</w:t>
      </w:r>
      <w:r w:rsidRPr="00597943">
        <w:tab/>
        <w:t>Europaparlamentet framhåller Nya Zeelands viktiga roll som en av EU:s främsta likasinnade partner i den dynamiska och strategiskt och ekonomiskt viktiga regionen Indiska oceanen/Stilla havet. Parlamentet efterlyser ett fördjupat samarbete på områden av ömsesidigt intresse, särskilt i utrikespolitiska frågor. Parlamentet framhåller i detta avseende det pågående säkerhetssamarbetet mellan EU och Nya Zeeland, i synnerhet när det gäller insatser och uppdrag inom ramen för EU:s gemensamma säkerhets- och försvarspolitik. Parlamentet påminner om att Nya Zeeland intagit en hållning som överensstämmer med EU:s när det gäller att fördöma Rysslands olagliga invasion av Ukraina och stödja Ukraina genom bistånd och sanktioner mot Ryssland.</w:t>
      </w:r>
    </w:p>
    <w:p w:rsidR="005D09AA" w:rsidRPr="00597943" w:rsidRDefault="005D09AA" w:rsidP="005D09AA">
      <w:pPr>
        <w:pStyle w:val="NormalHanging12a"/>
        <w:rPr>
          <w:i/>
        </w:rPr>
      </w:pPr>
      <w:r w:rsidRPr="00597943">
        <w:t>11.</w:t>
      </w:r>
      <w:r w:rsidRPr="00597943">
        <w:rPr>
          <w:i/>
        </w:rPr>
        <w:tab/>
      </w:r>
      <w:r w:rsidRPr="00597943">
        <w:t>Europaparlamentet lyfter vidare fram det nyligen ingångna frihandelsavtalet mellan EU och Nya Zeeland, vars syfte är att ytterligare stärka de bilaterala förbindelserna och liberalisera och underlätta handel och investeringar, vilket skapar betydande ömsesidiga fördelar och ekonomiska möjligheter för företag och konsumenter och omfattar robusta och bindande sociala och miljörelaterade åtaganden kopplade till Parisavtalet om klimatförändringar. Parlamentet framhåller den positiva roll som den europeiska diasporan i Nya Zeeland kan spela för att ytterligare fördjupa förbindelserna mellan Nya Zeeland och EU.</w:t>
      </w:r>
    </w:p>
    <w:p w:rsidR="005D09AA" w:rsidRPr="00597943" w:rsidRDefault="005D09AA" w:rsidP="005D09AA">
      <w:pPr>
        <w:pStyle w:val="NormalHanging12a"/>
      </w:pPr>
      <w:r w:rsidRPr="00597943">
        <w:t>12.</w:t>
      </w:r>
      <w:r w:rsidRPr="00597943">
        <w:tab/>
        <w:t>Europaparlamentet noterar att EU:s och Nya Zeelands forskningssamarbete går långt tillbaka. Parlamentet framhåller att Nya Zeeland utmärker sig med 77 finansierade projekt inom ramen för Horisont 2020, och att nyzeeländska forskare har kunnat delta i de två tidigare ramprogrammen för forskning och innovation, FP7 och Horisont 2020, vilket visar på de potentiella fördelarna med Nya Zeelands associering till Horisont Europa.</w:t>
      </w:r>
    </w:p>
    <w:p w:rsidR="005D09AA" w:rsidRPr="00597943" w:rsidRDefault="005D09AA" w:rsidP="005D09AA">
      <w:pPr>
        <w:pStyle w:val="NormalHanging12a"/>
      </w:pPr>
      <w:r w:rsidRPr="00597943">
        <w:t>13.</w:t>
      </w:r>
      <w:r w:rsidRPr="00597943">
        <w:tab/>
        <w:t>Europaparlamentet välkomnar förslaget att stärka EU:s partnerskap med Nya Zeeland genom Nya Zeelands associering till Horisont Europa-programmet, vilket kommer att stärka forsknings- och innovationssamarbetet ytterligare och göra Nya Zeeland till EU:s främsta partner inom vetenskap och innovation i regionen. Parlamentet noterar dock att det saknas bestämmelser som ger möjlighet till en ordentlig parlamentarisk granskning av Nya Zeelands framtida associering till unionsprogram.</w:t>
      </w:r>
    </w:p>
    <w:p w:rsidR="005D09AA" w:rsidRPr="00597943" w:rsidRDefault="005D09AA" w:rsidP="005D09AA">
      <w:pPr>
        <w:pStyle w:val="NormalHanging12a"/>
      </w:pPr>
      <w:r w:rsidRPr="00597943">
        <w:t>14.</w:t>
      </w:r>
      <w:r w:rsidRPr="00597943">
        <w:tab/>
        <w:t>Europaparlamentet påpekar att kommissionen och rådet, i avtalet om Nya Zeelands deltagande i unionsprogram, ger den gemensamma kommitté som inrättas genom avtalet befogenhet att anta protokoll som associerar Nya Zeeland till samtliga unionsprogram trots att parlamentet motsatt sig denna befogenhet, som i praktiken ger den gemensamma kommittén genomförandebefogenheter i väsentliga avseenden. Parlamentet noterar att de viktigaste beslut som delegeras till den gemensamma kommittén rör associeringens omfattning till enskilda program samt väsentliga bestämmelser kopplade till den automatiska korrigeringsmekanismen.</w:t>
      </w:r>
    </w:p>
    <w:p w:rsidR="005D09AA" w:rsidRPr="00597943" w:rsidRDefault="005D09AA" w:rsidP="005D09AA">
      <w:pPr>
        <w:pStyle w:val="NormalHanging12a"/>
      </w:pPr>
      <w:r w:rsidRPr="00597943">
        <w:t>15.</w:t>
      </w:r>
      <w:r w:rsidRPr="00597943">
        <w:tab/>
        <w:t>Europaparlamentet beklagar att den gemensamma kommittén har befogenhet att genom protokoll ändra gällande associeringsprotokoll, som också kan omfatta bestämmelser om granskningar, revisioner och finansiella oriktigheter. Parlamentet konstaterar att sådana ändringar skulle göras utan ytterligare deltagande från parlamentets sida. Parlamentet konstaterar att det, genom att ge sitt godkännande, i praktiken skulle ge den gemensamma kommittén ett obegränsat mandat. Parlamentet påpekar att rådet har till uppgift att övervaka kommissionens åtgärder i den gemensamma kommittén men att rådet i själva verket ofta försummar denna skyldighet och inte rapporterar till parlamentet i tillräcklig utsträckning, vilket leder till en total brist på tillsyn och granskning av sådana internationella avtal.</w:t>
      </w:r>
    </w:p>
    <w:p w:rsidR="005D09AA" w:rsidRPr="00597943" w:rsidRDefault="005D09AA" w:rsidP="005D09AA">
      <w:pPr>
        <w:pStyle w:val="NormalHanging12a"/>
      </w:pPr>
      <w:r w:rsidRPr="00597943">
        <w:t>16.</w:t>
      </w:r>
      <w:r w:rsidRPr="00597943">
        <w:tab/>
        <w:t>Europaparlamentet framhåller sin ståndpunkt om associeringsavtal med anknytning till Horisont Europa, som antogs i ett uttalande som åtföljde antagandet av Horisont Europa-förordningen, och understryker att organ som inrättas genom sådana avtal inte bör kringgå behovet av att inhämta parlamentets meningsfulla godkännande. Parlamentet anser att centrala aspekter av ett tredjelands deltagande i Horisont Europa inte bör delegeras till ett sådant organ.</w:t>
      </w:r>
    </w:p>
    <w:p w:rsidR="005D09AA" w:rsidRPr="00597943" w:rsidRDefault="005D09AA" w:rsidP="005D09AA">
      <w:pPr>
        <w:pStyle w:val="NormalHanging12a"/>
      </w:pPr>
      <w:r w:rsidRPr="00597943">
        <w:t>17.</w:t>
      </w:r>
      <w:r w:rsidRPr="00597943">
        <w:tab/>
        <w:t>Europaparlamentet motsätter sig denna nya struktur för internationella avtal, som innebär att parlamentet inte kan utöva sina befogenheter i enlighet med artikel 218.6 a i EUF-fördraget. Parlamentet anser att parlamentet därmed hindras från att fullgöra sina befogenheter, att den nödvändiga institutionella balansen åsidosätts och att strukturen därför måste ändras.</w:t>
      </w:r>
    </w:p>
    <w:p w:rsidR="005D09AA" w:rsidRPr="00597943" w:rsidRDefault="005D09AA" w:rsidP="005D09AA">
      <w:pPr>
        <w:pStyle w:val="NormalHanging12a"/>
      </w:pPr>
      <w:r w:rsidRPr="00597943">
        <w:t>18.</w:t>
      </w:r>
      <w:r w:rsidRPr="00597943">
        <w:tab/>
        <w:t>Europaparlamentet påminner i detta avseende om att det i artikel 218.10 i EUF</w:t>
      </w:r>
      <w:r w:rsidRPr="00597943">
        <w:noBreakHyphen/>
        <w:t>fördraget föreskrivs att parlamentet omedelbart och fullständigt ska informeras i alla skeden av förfarandet vid förhandlingar om och ingående av de internationella avtal som avses i den artikeln och att Europeiska unionens domstol slagit fast att denna regel är ett uttryck för de demokratiska principer som EU bygger på. Parlamentet betonar särskilt att domstolen tidigare har slagit fast att parlamentets deltagande i beslutsprocessen är ett uttryck, på unionsnivå, för en grundläggande demokratisk princip enligt vilken folket bör delta i maktutövningen genom en representativ församling</w:t>
      </w:r>
      <w:r w:rsidRPr="00597943">
        <w:rPr>
          <w:rStyle w:val="FootnoteReference"/>
          <w:rFonts w:eastAsiaTheme="minorHAnsi"/>
          <w:color w:val="000000"/>
        </w:rPr>
        <w:footnoteReference w:id="10"/>
      </w:r>
      <w:r w:rsidRPr="00597943">
        <w:t>.</w:t>
      </w:r>
    </w:p>
    <w:p w:rsidR="005D09AA" w:rsidRPr="00597943" w:rsidRDefault="005D09AA" w:rsidP="005D09AA">
      <w:pPr>
        <w:pStyle w:val="NormalHanging12a"/>
      </w:pPr>
      <w:r w:rsidRPr="00597943">
        <w:t>19.</w:t>
      </w:r>
      <w:r w:rsidRPr="00597943">
        <w:tab/>
        <w:t>Europaparlamentet påminner i detta sammanhang om att avtalen i fråga är unika, eftersom de gör det möjligt för en ny typ av tredjeländer att delta och detta för första gången genom ett allmänt avtal som omfattar alla unionsprogram. Parlamentet framhåller att sådant deltagande tidigare fastställts genom ett enskilt avtal för varje unionsprogram och begränsats till en specifik flerårig budgetram. Parlamentet understryker att avtalens nya karaktär innebär att parlamentet saknar relevanta uppgifter och relevant information som skulle kunna användas för att på ett meningsfullt sätt bedöma avtalens potentiella inverkan på de nuvarande unionsprogrammen eller framtida unionsprogram.</w:t>
      </w:r>
    </w:p>
    <w:p w:rsidR="005D09AA" w:rsidRPr="00597943" w:rsidRDefault="005D09AA" w:rsidP="005D09AA">
      <w:pPr>
        <w:pStyle w:val="NormalHanging12a"/>
      </w:pPr>
      <w:r w:rsidRPr="00597943">
        <w:t>20.</w:t>
      </w:r>
      <w:r w:rsidRPr="00597943">
        <w:tab/>
        <w:t>Europaparlamentet anser mot denna bakgrund att parlamentet på ett meningsfullt sätt bör kunna säkerställa folkets deltagande i beslutsprocessen, detta med tanke på att strukturen hos dessa internationella avtal innebär att beslut om ett tredjelands associering, inbegripet associeringens omfattning, till ett visst program fattas först i ett senare skede, ofta långt efter det att parlamentet har godkänt ingåendet av det ursprungliga avtalet med det aktuella tredjelandet.</w:t>
      </w:r>
    </w:p>
    <w:p w:rsidR="005D09AA" w:rsidRPr="00597943" w:rsidRDefault="005D09AA" w:rsidP="005D09AA">
      <w:pPr>
        <w:pStyle w:val="NormalHanging12a"/>
      </w:pPr>
      <w:r w:rsidRPr="00597943">
        <w:t>21.</w:t>
      </w:r>
      <w:r w:rsidRPr="00597943">
        <w:tab/>
        <w:t>Europaparlamentet påminner om att dess inställning till kommissionens hållning inte bör tolkas som en invändning mot Nya Zeeland eller mot det väletablerade och robusta samarbete som alltid har funnits mellan Nya Zeeland och EU.</w:t>
      </w:r>
    </w:p>
    <w:p w:rsidR="005D09AA" w:rsidRPr="00597943" w:rsidRDefault="005D09AA" w:rsidP="005D09AA">
      <w:pPr>
        <w:pStyle w:val="NormalHanging12a"/>
        <w:rPr>
          <w:b/>
          <w:i/>
        </w:rPr>
      </w:pPr>
      <w:r w:rsidRPr="00597943">
        <w:rPr>
          <w:b/>
          <w:i/>
        </w:rPr>
        <w:t>Andra likasinnade länders deltagande i unionsprogram</w:t>
      </w:r>
    </w:p>
    <w:p w:rsidR="005D09AA" w:rsidRPr="00597943" w:rsidRDefault="005D09AA" w:rsidP="005D09AA">
      <w:pPr>
        <w:pStyle w:val="NormalHanging12a"/>
      </w:pPr>
      <w:r w:rsidRPr="00597943">
        <w:t>22.</w:t>
      </w:r>
      <w:r w:rsidRPr="00597943">
        <w:tab/>
        <w:t>Europaparlamentet beklagar att utkastet till avtal om Färöarnas deltagande och de föreslagna associeringsavtalen med Kanada, Republiken Korea och Japan följer samma struktur som utkastet till avtal med Nya Zeeland. Parlamentet uppmanar kommissionen att avstå från att förhindra parlamentet från att utöva sin rätt att godkänna varje associering till ett unionsprogram, och vill se att associeringsavtal med nya partner ingås först när parlamentet har kunnat utöva sin rätt att ge ett meningsfullt godkännande.</w:t>
      </w:r>
    </w:p>
    <w:p w:rsidR="005D09AA" w:rsidRPr="00597943" w:rsidRDefault="005D09AA" w:rsidP="005D09AA">
      <w:pPr>
        <w:pStyle w:val="NormalHanging12a"/>
        <w:rPr>
          <w:i/>
        </w:rPr>
      </w:pPr>
      <w:r w:rsidRPr="00597943">
        <w:t>23.</w:t>
      </w:r>
      <w:r w:rsidRPr="00597943">
        <w:tab/>
        <w:t>Europaparlamentet uttrycker oro över det faktum att den nyligen överenskomna automatiska rabatten på Förenade kungarikets bidrag till Horisont Europa i händelse av att Förenade kungarikets deltagande i programmet blir ”lägre än förväntat” inte överensstämmer med bestämmelserna i handels- och samarbetsavtalet mellan EU och Förenade kungariket, som parlamentet godkände.</w:t>
      </w:r>
    </w:p>
    <w:p w:rsidR="005D09AA" w:rsidRPr="00597943" w:rsidRDefault="005D09AA" w:rsidP="005D09AA">
      <w:pPr>
        <w:pStyle w:val="NormalHanging12a"/>
        <w:rPr>
          <w:b/>
          <w:i/>
        </w:rPr>
      </w:pPr>
      <w:r w:rsidRPr="00597943">
        <w:rPr>
          <w:b/>
          <w:i/>
        </w:rPr>
        <w:t>Nästa steg</w:t>
      </w:r>
    </w:p>
    <w:p w:rsidR="005D09AA" w:rsidRPr="00597943" w:rsidRDefault="005D09AA" w:rsidP="005D09AA">
      <w:pPr>
        <w:pStyle w:val="NormalHanging12a"/>
      </w:pPr>
      <w:r w:rsidRPr="00597943">
        <w:t>24.</w:t>
      </w:r>
      <w:r w:rsidRPr="00597943">
        <w:tab/>
        <w:t>Europaparlamentet påminner om att parlamentet bör informeras omedelbart och fullständigt i alla skeden av förhandlingarna om och ingåendet av internationella avtal, i linje med ramavtalet om förbindelserna mellan Europaparlamentet och Europeiska kommissionen.</w:t>
      </w:r>
    </w:p>
    <w:p w:rsidR="005D09AA" w:rsidRPr="00597943" w:rsidRDefault="005D09AA" w:rsidP="005D09AA">
      <w:pPr>
        <w:pStyle w:val="NormalHanging12a"/>
      </w:pPr>
      <w:r w:rsidRPr="00597943">
        <w:t>25.</w:t>
      </w:r>
      <w:r w:rsidRPr="00597943">
        <w:tab/>
        <w:t>Europaparlamentet uppmanar kommissionen att förse parlamentet med regelbundna, detaljerade rapporter om genomförandet av avtalen, såsom uppdateringar om delmål som uppnåtts, utmaningar som uppstått, andelen framgångsrika förslag från enheter från tredjeländerna, årliga bidrag från tredjeländerna, budgetgenomförande och revisionsresultat.</w:t>
      </w:r>
    </w:p>
    <w:p w:rsidR="005D09AA" w:rsidRPr="00597943" w:rsidRDefault="005D09AA" w:rsidP="005D09AA">
      <w:pPr>
        <w:pStyle w:val="NormalHanging12a"/>
      </w:pPr>
      <w:r w:rsidRPr="00597943">
        <w:t>26.</w:t>
      </w:r>
      <w:r w:rsidRPr="00597943">
        <w:tab/>
        <w:t>Europaparlamentet uppmanar med kraft kommissionen att inleda förhandlingar om ett interinstitutionellt avtal som fastställer de allmänna principerna för parlamentets demokratiska kontroll av genomförandet av avtal om tredjeländers deltagande i unionsprogram.</w:t>
      </w:r>
    </w:p>
    <w:p w:rsidR="005D09AA" w:rsidRPr="00597943" w:rsidRDefault="005D09AA" w:rsidP="005D09AA">
      <w:pPr>
        <w:pStyle w:val="NormalHanging12a"/>
      </w:pPr>
      <w:r w:rsidRPr="00597943">
        <w:t>27.</w:t>
      </w:r>
      <w:r w:rsidRPr="00597943">
        <w:tab/>
        <w:t>Europaparlamentet hoppas att kommissionen kommer att klargöra situationen och ge ett relevant och tillfredsställande svar på parlamentets fråga för muntligt besvarande, så att godkännande kan ges. Parlamentet är berett att samarbeta fullt ut med kommissionen och rådet för att uppnå detta.</w:t>
      </w:r>
    </w:p>
    <w:p w:rsidR="005D09AA" w:rsidRPr="00597943" w:rsidRDefault="005D09AA" w:rsidP="005D09AA">
      <w:pPr>
        <w:pStyle w:val="NormalHanging12a"/>
        <w:jc w:val="center"/>
      </w:pPr>
      <w:r w:rsidRPr="00597943">
        <w:t>°</w:t>
      </w:r>
    </w:p>
    <w:p w:rsidR="005D09AA" w:rsidRPr="00597943" w:rsidRDefault="005D09AA" w:rsidP="005D09AA">
      <w:pPr>
        <w:pStyle w:val="NormalHanging12a"/>
        <w:jc w:val="center"/>
      </w:pPr>
      <w:r w:rsidRPr="00597943">
        <w:t>°</w:t>
      </w:r>
      <w:r w:rsidRPr="00597943">
        <w:tab/>
        <w:t>°</w:t>
      </w:r>
    </w:p>
    <w:p w:rsidR="005D09AA" w:rsidRPr="00A0756F" w:rsidRDefault="005D09AA" w:rsidP="005D09AA">
      <w:pPr>
        <w:pStyle w:val="NormalHanging12a"/>
      </w:pPr>
      <w:r w:rsidRPr="00597943">
        <w:t>28.</w:t>
      </w:r>
      <w:r w:rsidRPr="00597943">
        <w:tab/>
        <w:t>Europaparlamentet uppdrar åt talmannen att översända denna resolution till rådet och kommissionen.</w:t>
      </w:r>
    </w:p>
    <w:p w:rsidR="005D09AA" w:rsidRPr="00A0756F" w:rsidRDefault="005D09AA" w:rsidP="005D09AA"/>
    <w:p w:rsidR="00E365E1" w:rsidRPr="00A0756F" w:rsidRDefault="00E365E1" w:rsidP="000E5A46">
      <w:bookmarkStart w:id="8" w:name="TextBodyEnd"/>
      <w:bookmarkEnd w:id="8"/>
    </w:p>
    <w:sectPr w:rsidR="00E365E1" w:rsidRPr="00A0756F" w:rsidSect="00A075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A46" w:rsidRPr="00A0756F" w:rsidRDefault="000E5A46">
      <w:r w:rsidRPr="00A0756F">
        <w:separator/>
      </w:r>
    </w:p>
  </w:endnote>
  <w:endnote w:type="continuationSeparator" w:id="0">
    <w:p w:rsidR="000E5A46" w:rsidRPr="00A0756F" w:rsidRDefault="000E5A46">
      <w:r w:rsidRPr="00A075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A46" w:rsidRPr="00A0756F" w:rsidRDefault="000E5A46">
      <w:r w:rsidRPr="00A0756F">
        <w:separator/>
      </w:r>
    </w:p>
  </w:footnote>
  <w:footnote w:type="continuationSeparator" w:id="0">
    <w:p w:rsidR="000E5A46" w:rsidRPr="00A0756F" w:rsidRDefault="000E5A46">
      <w:r w:rsidRPr="00A0756F">
        <w:continuationSeparator/>
      </w:r>
    </w:p>
  </w:footnote>
  <w:footnote w:id="1">
    <w:p w:rsidR="005D09AA" w:rsidRPr="00597943" w:rsidRDefault="005D09AA" w:rsidP="00A0756F">
      <w:pPr>
        <w:pStyle w:val="FootnoteText"/>
        <w:ind w:left="567" w:hanging="567"/>
        <w:rPr>
          <w:sz w:val="24"/>
          <w:lang w:val="sv-SE"/>
        </w:rPr>
      </w:pPr>
      <w:r w:rsidRPr="00597943">
        <w:rPr>
          <w:rStyle w:val="FootnoteReference"/>
          <w:sz w:val="24"/>
          <w:lang w:val="sv-SE"/>
        </w:rPr>
        <w:footnoteRef/>
      </w:r>
      <w:r w:rsidR="00A0756F" w:rsidRPr="00597943">
        <w:rPr>
          <w:sz w:val="24"/>
          <w:lang w:val="sv-SE"/>
        </w:rPr>
        <w:t xml:space="preserve"> </w:t>
      </w:r>
      <w:r w:rsidR="00A0756F" w:rsidRPr="00597943">
        <w:rPr>
          <w:sz w:val="24"/>
          <w:lang w:val="sv-SE"/>
        </w:rPr>
        <w:tab/>
      </w:r>
      <w:r w:rsidRPr="00597943">
        <w:rPr>
          <w:sz w:val="24"/>
          <w:lang w:val="sv-SE"/>
        </w:rPr>
        <w:t>EUT L 170, 12.5.2021, s. 1.</w:t>
      </w:r>
    </w:p>
  </w:footnote>
  <w:footnote w:id="2">
    <w:p w:rsidR="005D09AA" w:rsidRPr="00597943" w:rsidRDefault="005D09AA" w:rsidP="00A0756F">
      <w:pPr>
        <w:pStyle w:val="FootnoteText"/>
        <w:ind w:left="567" w:hanging="567"/>
        <w:rPr>
          <w:sz w:val="24"/>
          <w:lang w:val="sv-SE"/>
        </w:rPr>
      </w:pPr>
      <w:r w:rsidRPr="00597943">
        <w:rPr>
          <w:rStyle w:val="FootnoteReference"/>
          <w:sz w:val="24"/>
          <w:lang w:val="sv-SE"/>
        </w:rPr>
        <w:footnoteRef/>
      </w:r>
      <w:r w:rsidR="00A0756F" w:rsidRPr="00597943">
        <w:rPr>
          <w:sz w:val="24"/>
          <w:lang w:val="sv-SE"/>
        </w:rPr>
        <w:t xml:space="preserve"> </w:t>
      </w:r>
      <w:r w:rsidR="00A0756F" w:rsidRPr="00597943">
        <w:rPr>
          <w:sz w:val="24"/>
          <w:lang w:val="sv-SE"/>
        </w:rPr>
        <w:tab/>
      </w:r>
      <w:r w:rsidRPr="00597943">
        <w:rPr>
          <w:sz w:val="24"/>
          <w:lang w:val="sv-SE"/>
        </w:rPr>
        <w:t>Europaparlamentets ståndpunkt vid första behandlingen av den 17 april 2019 om förslaget till Europaparlamentets och rådets förordning om inrättande av Horisont Europa – ramprogrammet för forskning och innovation, och om dess regler för deltagande och spridning (EUT C 158, 30.4.2021, s. 184).</w:t>
      </w:r>
    </w:p>
  </w:footnote>
  <w:footnote w:id="3">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321, 29.11.2016, s. 3.</w:t>
      </w:r>
    </w:p>
  </w:footnote>
  <w:footnote w:id="4">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182, 19.7.2023, s. 4.</w:t>
      </w:r>
    </w:p>
  </w:footnote>
  <w:footnote w:id="5">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154, 7.6.2022, s. 4.</w:t>
      </w:r>
    </w:p>
  </w:footnote>
  <w:footnote w:id="6">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237, 14.9.2022, s. 17.</w:t>
      </w:r>
    </w:p>
  </w:footnote>
  <w:footnote w:id="7">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144, 5.6.2023, s. 58.</w:t>
      </w:r>
    </w:p>
  </w:footnote>
  <w:footnote w:id="8">
    <w:p w:rsidR="005D09AA" w:rsidRPr="00597943" w:rsidRDefault="005D09AA" w:rsidP="00A0756F">
      <w:pPr>
        <w:pStyle w:val="FootnoteText"/>
        <w:ind w:left="567" w:hanging="567"/>
        <w:rPr>
          <w:sz w:val="24"/>
        </w:rPr>
      </w:pPr>
      <w:r w:rsidRPr="00597943">
        <w:rPr>
          <w:rStyle w:val="FootnoteReference"/>
          <w:sz w:val="24"/>
          <w:lang w:val="sv-SE"/>
        </w:rPr>
        <w:footnoteRef/>
      </w:r>
      <w:r w:rsidR="00A0756F" w:rsidRPr="00597943">
        <w:rPr>
          <w:sz w:val="24"/>
        </w:rPr>
        <w:t xml:space="preserve"> </w:t>
      </w:r>
      <w:r w:rsidR="00A0756F" w:rsidRPr="00597943">
        <w:rPr>
          <w:sz w:val="24"/>
        </w:rPr>
        <w:tab/>
      </w:r>
      <w:r w:rsidRPr="00597943">
        <w:rPr>
          <w:sz w:val="24"/>
        </w:rPr>
        <w:t>EUT L 146, 6.6.2023, s. 18.</w:t>
      </w:r>
    </w:p>
  </w:footnote>
  <w:footnote w:id="9">
    <w:p w:rsidR="005D09AA" w:rsidRPr="00597943" w:rsidRDefault="005D09AA" w:rsidP="00A0756F">
      <w:pPr>
        <w:pStyle w:val="FootnoteText"/>
        <w:ind w:left="567" w:hanging="567"/>
        <w:rPr>
          <w:sz w:val="24"/>
          <w:lang w:val="sv-SE"/>
        </w:rPr>
      </w:pPr>
      <w:r w:rsidRPr="00597943">
        <w:rPr>
          <w:rStyle w:val="FootnoteReference"/>
          <w:sz w:val="24"/>
          <w:lang w:val="sv-SE"/>
        </w:rPr>
        <w:footnoteRef/>
      </w:r>
      <w:r w:rsidR="00A0756F" w:rsidRPr="00597943">
        <w:rPr>
          <w:sz w:val="24"/>
          <w:lang w:val="sv-SE"/>
        </w:rPr>
        <w:t xml:space="preserve"> </w:t>
      </w:r>
      <w:r w:rsidR="00A0756F" w:rsidRPr="00597943">
        <w:rPr>
          <w:sz w:val="24"/>
          <w:lang w:val="sv-SE"/>
        </w:rPr>
        <w:tab/>
      </w:r>
      <w:r w:rsidRPr="00597943">
        <w:rPr>
          <w:sz w:val="24"/>
          <w:lang w:val="sv-SE"/>
        </w:rPr>
        <w:t>EUT L 304, 20.11.2010, s. 47.</w:t>
      </w:r>
    </w:p>
  </w:footnote>
  <w:footnote w:id="10">
    <w:p w:rsidR="005D09AA" w:rsidRPr="00A0756F" w:rsidRDefault="005D09AA" w:rsidP="00A0756F">
      <w:pPr>
        <w:pStyle w:val="FootnoteText"/>
        <w:ind w:left="567" w:hanging="567"/>
        <w:rPr>
          <w:sz w:val="24"/>
          <w:lang w:val="sv-SE"/>
        </w:rPr>
      </w:pPr>
      <w:r w:rsidRPr="00597943">
        <w:rPr>
          <w:rStyle w:val="FootnoteReference"/>
          <w:sz w:val="24"/>
          <w:lang w:val="sv-SE"/>
        </w:rPr>
        <w:footnoteRef/>
      </w:r>
      <w:r w:rsidR="00A0756F" w:rsidRPr="00597943">
        <w:rPr>
          <w:sz w:val="24"/>
          <w:lang w:val="sv-SE"/>
        </w:rPr>
        <w:t xml:space="preserve"> </w:t>
      </w:r>
      <w:r w:rsidR="00A0756F" w:rsidRPr="00597943">
        <w:rPr>
          <w:sz w:val="24"/>
          <w:lang w:val="sv-SE"/>
        </w:rPr>
        <w:tab/>
      </w:r>
      <w:r w:rsidRPr="00597943">
        <w:rPr>
          <w:sz w:val="24"/>
          <w:lang w:val="sv-SE"/>
        </w:rPr>
        <w:t>Domstolens domar av den 29 oktober 1980, Roquette Frères mot rådet, C-138/79, ECLI:EU:C:1980:249, punkt 33, och av den 24 juni 2014, parlamentet mot rådet, C-658/11, ECLI:EU:C:2014:2025, punkt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75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SV"/>
    <w:docVar w:name="dvnumam" w:val="0"/>
    <w:docVar w:name="dvpe" w:val="758.017"/>
    <w:docVar w:name="dvtitre" w:val="Europaparlamentets resolution av den xx xx 2024 om associeringsavtal för tredjeländers deltagande i unionsprogram(2023/3018(RSP))"/>
  </w:docVars>
  <w:rsids>
    <w:rsidRoot w:val="000E5A46"/>
    <w:rsid w:val="00002272"/>
    <w:rsid w:val="00064002"/>
    <w:rsid w:val="000677B9"/>
    <w:rsid w:val="000831BA"/>
    <w:rsid w:val="000A42CC"/>
    <w:rsid w:val="000E5A4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0F0"/>
    <w:rsid w:val="00545827"/>
    <w:rsid w:val="00560270"/>
    <w:rsid w:val="00597943"/>
    <w:rsid w:val="005C2568"/>
    <w:rsid w:val="005D09AA"/>
    <w:rsid w:val="006037C0"/>
    <w:rsid w:val="006631B6"/>
    <w:rsid w:val="0066408B"/>
    <w:rsid w:val="00680577"/>
    <w:rsid w:val="006F74FA"/>
    <w:rsid w:val="00731ADD"/>
    <w:rsid w:val="00734777"/>
    <w:rsid w:val="00747932"/>
    <w:rsid w:val="00751A4A"/>
    <w:rsid w:val="00756632"/>
    <w:rsid w:val="00762C74"/>
    <w:rsid w:val="00786EC0"/>
    <w:rsid w:val="007D1690"/>
    <w:rsid w:val="007E22AD"/>
    <w:rsid w:val="00817416"/>
    <w:rsid w:val="00842702"/>
    <w:rsid w:val="00842779"/>
    <w:rsid w:val="00865F67"/>
    <w:rsid w:val="00881A7B"/>
    <w:rsid w:val="008840E5"/>
    <w:rsid w:val="00887B3E"/>
    <w:rsid w:val="008C2AC6"/>
    <w:rsid w:val="00930C23"/>
    <w:rsid w:val="0093193B"/>
    <w:rsid w:val="009509D8"/>
    <w:rsid w:val="00950B64"/>
    <w:rsid w:val="0095705B"/>
    <w:rsid w:val="00981893"/>
    <w:rsid w:val="00A0756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ED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B1D5E3-AD7F-4BBE-89A4-786E6933F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09AA"/>
    <w:pPr>
      <w:spacing w:before="480" w:after="240"/>
    </w:pPr>
  </w:style>
  <w:style w:type="paragraph" w:customStyle="1" w:styleId="NormalHanging12a">
    <w:name w:val="NormalHanging12a"/>
    <w:basedOn w:val="Normal"/>
    <w:rsid w:val="005D09AA"/>
    <w:pPr>
      <w:spacing w:after="240"/>
      <w:ind w:left="567" w:hanging="567"/>
    </w:pPr>
  </w:style>
  <w:style w:type="paragraph" w:styleId="BalloonText">
    <w:name w:val="Balloon Text"/>
    <w:basedOn w:val="Normal"/>
    <w:link w:val="BalloonTextChar"/>
    <w:rsid w:val="0095705B"/>
    <w:rPr>
      <w:rFonts w:ascii="Segoe UI" w:hAnsi="Segoe UI" w:cs="Segoe UI"/>
      <w:sz w:val="18"/>
      <w:szCs w:val="18"/>
    </w:rPr>
  </w:style>
  <w:style w:type="character" w:customStyle="1" w:styleId="BalloonTextChar">
    <w:name w:val="Balloon Text Char"/>
    <w:basedOn w:val="DefaultParagraphFont"/>
    <w:link w:val="BalloonText"/>
    <w:rsid w:val="0095705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0D831-9CD0-4DB9-937A-B7C194643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1963</Words>
  <Characters>12770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2024-02-08T13:20:00Z</dcterms:created>
  <dcterms:modified xsi:type="dcterms:W3CDTF">2024-02-08T13:20:00Z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B9-0096/2024</vt:lpwstr>
  </property>
  <property fmtid="{D5CDD505-2E9C-101B-9397-08002B2CF9AE}" pid="4" name="&lt;Type&gt;">
    <vt:lpwstr>RR</vt:lpwstr>
  </property>
</Properties>
</file>