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F1BC8" w:rsidTr="0010095E">
        <w:trPr>
          <w:trHeight w:hRule="exact" w:val="1418"/>
        </w:trPr>
        <w:tc>
          <w:tcPr>
            <w:tcW w:w="6804" w:type="dxa"/>
            <w:shd w:val="clear" w:color="auto" w:fill="auto"/>
            <w:vAlign w:val="center"/>
          </w:tcPr>
          <w:p w:rsidR="00751A4A" w:rsidRPr="002F1BC8" w:rsidRDefault="005A3326" w:rsidP="0010095E">
            <w:pPr>
              <w:pStyle w:val="EPName"/>
            </w:pPr>
            <w:r w:rsidRPr="002F1BC8">
              <w:t>Европейски</w:t>
            </w:r>
            <w:r w:rsidR="00712376" w:rsidRPr="002F1BC8">
              <w:t xml:space="preserve"> парламент</w:t>
            </w:r>
          </w:p>
          <w:p w:rsidR="00751A4A" w:rsidRPr="002F1BC8" w:rsidRDefault="00817416" w:rsidP="00756632">
            <w:pPr>
              <w:pStyle w:val="EPTerm"/>
              <w:rPr>
                <w:rStyle w:val="HideTWBExt"/>
                <w:noProof w:val="0"/>
                <w:vanish w:val="0"/>
                <w:color w:val="auto"/>
              </w:rPr>
            </w:pPr>
            <w:r w:rsidRPr="002F1BC8">
              <w:t>2019</w:t>
            </w:r>
            <w:r w:rsidR="005A3326">
              <w:t> – </w:t>
            </w:r>
            <w:r w:rsidRPr="002F1BC8">
              <w:t>2024</w:t>
            </w:r>
          </w:p>
        </w:tc>
        <w:tc>
          <w:tcPr>
            <w:tcW w:w="2268" w:type="dxa"/>
            <w:shd w:val="clear" w:color="auto" w:fill="auto"/>
          </w:tcPr>
          <w:p w:rsidR="00751A4A" w:rsidRPr="002F1BC8" w:rsidRDefault="00187494" w:rsidP="0010095E">
            <w:pPr>
              <w:pStyle w:val="EPLogo"/>
            </w:pPr>
            <w:r w:rsidRPr="002F1BC8">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F1BC8" w:rsidRDefault="00D058B8" w:rsidP="004C5D52">
      <w:pPr>
        <w:pStyle w:val="LineTop"/>
      </w:pPr>
    </w:p>
    <w:p w:rsidR="00680577" w:rsidRPr="002F1BC8" w:rsidRDefault="00712376" w:rsidP="00680577">
      <w:pPr>
        <w:pStyle w:val="EPBodyTA1"/>
      </w:pPr>
      <w:r w:rsidRPr="002F1BC8">
        <w:t>ПРИЕТИ ТЕКСТОВЕ</w:t>
      </w:r>
    </w:p>
    <w:p w:rsidR="00D058B8" w:rsidRPr="002F1BC8" w:rsidRDefault="00D058B8" w:rsidP="00D058B8">
      <w:pPr>
        <w:pStyle w:val="LineBottom"/>
      </w:pPr>
    </w:p>
    <w:p w:rsidR="00712376" w:rsidRPr="002F1BC8" w:rsidRDefault="00712376" w:rsidP="00712376">
      <w:pPr>
        <w:pStyle w:val="ATHeading1"/>
      </w:pPr>
      <w:bookmarkStart w:id="0" w:name="TANumber"/>
      <w:r w:rsidRPr="002F1BC8">
        <w:t>P9_TA(2024)00</w:t>
      </w:r>
      <w:r w:rsidR="00547A41">
        <w:t>78</w:t>
      </w:r>
      <w:bookmarkEnd w:id="0"/>
    </w:p>
    <w:p w:rsidR="00712376" w:rsidRPr="002F1BC8" w:rsidRDefault="00712376" w:rsidP="00712376">
      <w:pPr>
        <w:pStyle w:val="ATHeading2"/>
      </w:pPr>
      <w:bookmarkStart w:id="1" w:name="title"/>
      <w:r w:rsidRPr="002F1BC8">
        <w:t>Многостранни преговори с оглед на 13-ата Министерска конференция на СТО в Абу Даби, 26 – 29 февруари 2024 г.</w:t>
      </w:r>
      <w:bookmarkEnd w:id="1"/>
    </w:p>
    <w:p w:rsidR="00712376" w:rsidRPr="002F1BC8" w:rsidRDefault="00712376" w:rsidP="00712376">
      <w:pPr>
        <w:rPr>
          <w:i/>
          <w:vanish/>
        </w:rPr>
      </w:pPr>
      <w:r w:rsidRPr="002F1BC8">
        <w:rPr>
          <w:i/>
        </w:rPr>
        <w:fldChar w:fldCharType="begin"/>
      </w:r>
      <w:r w:rsidRPr="002F1BC8">
        <w:rPr>
          <w:i/>
        </w:rPr>
        <w:instrText xml:space="preserve"> TC"(</w:instrText>
      </w:r>
      <w:bookmarkStart w:id="2" w:name="DocNumber"/>
      <w:r w:rsidRPr="002F1BC8">
        <w:rPr>
          <w:i/>
        </w:rPr>
        <w:instrText>B9-0090/2024</w:instrText>
      </w:r>
      <w:bookmarkEnd w:id="2"/>
      <w:r w:rsidRPr="002F1BC8">
        <w:rPr>
          <w:i/>
        </w:rPr>
        <w:instrText xml:space="preserve">)"\l3 \n&gt; \* MERGEFORMAT </w:instrText>
      </w:r>
      <w:r w:rsidRPr="002F1BC8">
        <w:rPr>
          <w:i/>
        </w:rPr>
        <w:fldChar w:fldCharType="end"/>
      </w:r>
    </w:p>
    <w:p w:rsidR="00712376" w:rsidRPr="002F1BC8" w:rsidRDefault="00712376" w:rsidP="00712376">
      <w:pPr>
        <w:rPr>
          <w:vanish/>
        </w:rPr>
      </w:pPr>
      <w:bookmarkStart w:id="3" w:name="PE"/>
      <w:r w:rsidRPr="002F1BC8">
        <w:rPr>
          <w:vanish/>
        </w:rPr>
        <w:t>PE753.647</w:t>
      </w:r>
      <w:bookmarkEnd w:id="3"/>
    </w:p>
    <w:p w:rsidR="00712376" w:rsidRPr="002F1BC8" w:rsidRDefault="00712376" w:rsidP="005A3326">
      <w:pPr>
        <w:pStyle w:val="ATHeading3"/>
      </w:pPr>
      <w:bookmarkStart w:id="4" w:name="Sujet"/>
      <w:r w:rsidRPr="002F1BC8">
        <w:t xml:space="preserve">Резолюция на Европейския парламент от </w:t>
      </w:r>
      <w:r w:rsidR="00547A41">
        <w:t xml:space="preserve">8 </w:t>
      </w:r>
      <w:r w:rsidR="005A3326">
        <w:t>февруари</w:t>
      </w:r>
      <w:r w:rsidRPr="002F1BC8">
        <w:t xml:space="preserve"> 2024 г. относно многостранните преговори с оглед на 13-ата Министерска конференция на СТО в Абу Даби, 26 – 29 февруари 2024 г.</w:t>
      </w:r>
      <w:bookmarkEnd w:id="4"/>
      <w:r w:rsidRPr="002F1BC8">
        <w:t xml:space="preserve"> </w:t>
      </w:r>
      <w:bookmarkStart w:id="5" w:name="References"/>
      <w:r w:rsidRPr="002F1BC8">
        <w:t>(2023/2868(RSP))</w:t>
      </w:r>
      <w:bookmarkEnd w:id="5"/>
    </w:p>
    <w:p w:rsidR="006655FA" w:rsidRPr="002F1BC8" w:rsidRDefault="006655FA" w:rsidP="006655FA">
      <w:pPr>
        <w:pStyle w:val="EPComma"/>
      </w:pPr>
      <w:bookmarkStart w:id="6" w:name="TextBodyBegin"/>
      <w:bookmarkEnd w:id="6"/>
      <w:r w:rsidRPr="002F1BC8">
        <w:rPr>
          <w:i/>
          <w:iCs/>
        </w:rPr>
        <w:t>Европейският парламент</w:t>
      </w:r>
      <w:r w:rsidRPr="002F1BC8">
        <w:t>,</w:t>
      </w:r>
    </w:p>
    <w:p w:rsidR="006655FA" w:rsidRPr="002F1BC8" w:rsidRDefault="006655FA" w:rsidP="006655FA">
      <w:pPr>
        <w:pStyle w:val="NormalHanging12a"/>
        <w:widowControl/>
        <w:rPr>
          <w:szCs w:val="24"/>
        </w:rPr>
      </w:pPr>
      <w:r w:rsidRPr="002F1BC8">
        <w:t>–</w:t>
      </w:r>
      <w:r w:rsidRPr="002F1BC8">
        <w:tab/>
        <w:t>като взе предвид Споразумението от Маракеш от 15 април 1994 г. за създаване на Световната търговска организация (СТО),</w:t>
      </w:r>
    </w:p>
    <w:p w:rsidR="006655FA" w:rsidRPr="002F1BC8" w:rsidRDefault="006655FA" w:rsidP="006655FA">
      <w:pPr>
        <w:pStyle w:val="NormalHanging12a"/>
        <w:widowControl/>
        <w:rPr>
          <w:szCs w:val="24"/>
        </w:rPr>
      </w:pPr>
      <w:r w:rsidRPr="002F1BC8">
        <w:t>–</w:t>
      </w:r>
      <w:r w:rsidRPr="002F1BC8">
        <w:tab/>
        <w:t>като взе предвид Министерската декларация от Доха на СТО от 14 ноември 2001 г.</w:t>
      </w:r>
      <w:r w:rsidRPr="002F1BC8">
        <w:rPr>
          <w:rStyle w:val="FootnoteReference"/>
          <w:color w:val="000000"/>
          <w:szCs w:val="24"/>
        </w:rPr>
        <w:footnoteReference w:id="1"/>
      </w:r>
      <w:r w:rsidRPr="002F1BC8">
        <w:t>,</w:t>
      </w:r>
    </w:p>
    <w:p w:rsidR="006655FA" w:rsidRPr="002F1BC8" w:rsidRDefault="006655FA" w:rsidP="006655FA">
      <w:pPr>
        <w:pStyle w:val="NormalHanging12a"/>
        <w:widowControl/>
        <w:rPr>
          <w:szCs w:val="24"/>
        </w:rPr>
      </w:pPr>
      <w:r w:rsidRPr="002F1BC8">
        <w:t>–</w:t>
      </w:r>
      <w:r w:rsidRPr="002F1BC8">
        <w:tab/>
        <w:t>като взе предвид своите предишни резолюции относно СТО, и по-специално тези от 25 ноември 2021 г. относно многостранните преговори с оглед на 12-ата Министерска конференция на СТО</w:t>
      </w:r>
      <w:r w:rsidRPr="002F1BC8">
        <w:rPr>
          <w:rStyle w:val="FootnoteReference"/>
          <w:color w:val="000000"/>
          <w:szCs w:val="24"/>
        </w:rPr>
        <w:footnoteReference w:id="2"/>
      </w:r>
      <w:r w:rsidRPr="002F1BC8">
        <w:t>, от 29 ноември 2018 г., озаглавена „СТО: бъдещи перспективи“</w:t>
      </w:r>
      <w:r w:rsidRPr="002F1BC8">
        <w:rPr>
          <w:rStyle w:val="FootnoteReference"/>
          <w:color w:val="000000"/>
          <w:szCs w:val="24"/>
        </w:rPr>
        <w:footnoteReference w:id="3"/>
      </w:r>
      <w:r w:rsidRPr="002F1BC8">
        <w:t>, и от 28 ноември 2019 г. относно кризата във връзка с Апелативния орган на СТО</w:t>
      </w:r>
      <w:r w:rsidRPr="002F1BC8">
        <w:rPr>
          <w:rStyle w:val="FootnoteReference"/>
          <w:color w:val="000000"/>
          <w:szCs w:val="24"/>
        </w:rPr>
        <w:footnoteReference w:id="4"/>
      </w:r>
      <w:r w:rsidRPr="002F1BC8">
        <w:t>,</w:t>
      </w:r>
    </w:p>
    <w:p w:rsidR="006655FA" w:rsidRPr="002F1BC8" w:rsidRDefault="006655FA" w:rsidP="006655FA">
      <w:pPr>
        <w:pStyle w:val="NormalHanging12a"/>
        <w:rPr>
          <w:color w:val="000000"/>
        </w:rPr>
      </w:pPr>
      <w:r w:rsidRPr="002F1BC8">
        <w:t>–</w:t>
      </w:r>
      <w:r w:rsidRPr="002F1BC8">
        <w:tab/>
        <w:t>като взе предвид заключителните документи, приети с консенсус на годишните сесии на Парламентарната конференция по въпросите на СТО на 7 декември 2018 г. в Женева</w:t>
      </w:r>
      <w:r w:rsidRPr="002F1BC8">
        <w:rPr>
          <w:rStyle w:val="FootnoteReference"/>
          <w:color w:val="000000"/>
          <w:szCs w:val="24"/>
        </w:rPr>
        <w:footnoteReference w:id="5"/>
      </w:r>
      <w:r w:rsidRPr="002F1BC8">
        <w:t xml:space="preserve"> и на 10 декември 2017 г. в Буенос Айрес</w:t>
      </w:r>
      <w:r w:rsidRPr="002F1BC8">
        <w:rPr>
          <w:rStyle w:val="FootnoteReference"/>
          <w:color w:val="000000"/>
          <w:szCs w:val="24"/>
        </w:rPr>
        <w:footnoteReference w:id="6"/>
      </w:r>
      <w:r w:rsidRPr="002F1BC8">
        <w:t>,</w:t>
      </w:r>
    </w:p>
    <w:p w:rsidR="006655FA" w:rsidRPr="002F1BC8" w:rsidRDefault="006655FA" w:rsidP="006655FA">
      <w:pPr>
        <w:pStyle w:val="NormalHanging12a"/>
        <w:rPr>
          <w:color w:val="000000"/>
        </w:rPr>
      </w:pPr>
      <w:r w:rsidRPr="002F1BC8">
        <w:rPr>
          <w:color w:val="000000"/>
        </w:rPr>
        <w:t>–</w:t>
      </w:r>
      <w:r w:rsidRPr="002F1BC8">
        <w:rPr>
          <w:color w:val="000000"/>
        </w:rPr>
        <w:tab/>
        <w:t>като взе предвид резултатите от 12-ата министерска конференция на СТО, проведена в Женева през юни 2022 г. (МК12), които включват заключителен документ, поредица от министерски решения и декларации, както и Споразумение за субсидиите в областта на рибарството,</w:t>
      </w:r>
    </w:p>
    <w:p w:rsidR="006655FA" w:rsidRPr="002F1BC8" w:rsidRDefault="006655FA" w:rsidP="006655FA">
      <w:pPr>
        <w:pStyle w:val="NormalHanging12a"/>
        <w:rPr>
          <w:color w:val="000000"/>
        </w:rPr>
      </w:pPr>
      <w:r w:rsidRPr="002F1BC8">
        <w:rPr>
          <w:color w:val="000000"/>
        </w:rPr>
        <w:t>–</w:t>
      </w:r>
      <w:r w:rsidRPr="002F1BC8">
        <w:rPr>
          <w:color w:val="000000"/>
        </w:rPr>
        <w:tab/>
        <w:t xml:space="preserve">като взе предвид резултатите от 11-ата министерска конференция на СТО, </w:t>
      </w:r>
      <w:r w:rsidRPr="002F1BC8">
        <w:rPr>
          <w:color w:val="000000"/>
        </w:rPr>
        <w:lastRenderedPageBreak/>
        <w:t xml:space="preserve">проведена в Буенос Айрес през декември 2017 г. (МК11), които включват поредица от министерски решения и съвместни изявления относно електронната търговия, улесняването на инвестициите, националното регулиране на услугите и относно </w:t>
      </w:r>
      <w:proofErr w:type="spellStart"/>
      <w:r w:rsidRPr="002F1BC8">
        <w:rPr>
          <w:color w:val="000000"/>
        </w:rPr>
        <w:t>микропредприятията</w:t>
      </w:r>
      <w:proofErr w:type="spellEnd"/>
      <w:r w:rsidRPr="002F1BC8">
        <w:rPr>
          <w:color w:val="000000"/>
        </w:rPr>
        <w:t>, малките и средните предприятия (ММСП),</w:t>
      </w:r>
    </w:p>
    <w:p w:rsidR="006655FA" w:rsidRPr="002F1BC8" w:rsidRDefault="006655FA" w:rsidP="006655FA">
      <w:pPr>
        <w:pStyle w:val="NormalHanging12a"/>
        <w:rPr>
          <w:color w:val="000000"/>
        </w:rPr>
      </w:pPr>
      <w:r w:rsidRPr="002F1BC8">
        <w:rPr>
          <w:color w:val="000000"/>
        </w:rPr>
        <w:t>–</w:t>
      </w:r>
      <w:r w:rsidRPr="002F1BC8">
        <w:rPr>
          <w:color w:val="000000"/>
        </w:rPr>
        <w:tab/>
        <w:t>като взе предвид Декларацията от Буенос Айрес относно търговията и икономическото овластяване на жените, одобрена на 12 декември 2017 г., както и неформалната работна група по въпросите на търговията и равенството между половете, създадена на 23 септември 2020 г.,</w:t>
      </w:r>
    </w:p>
    <w:p w:rsidR="006655FA" w:rsidRPr="002F1BC8" w:rsidRDefault="006655FA" w:rsidP="006655FA">
      <w:pPr>
        <w:pStyle w:val="NormalHanging12a"/>
        <w:rPr>
          <w:color w:val="000000"/>
        </w:rPr>
      </w:pPr>
      <w:r w:rsidRPr="002F1BC8">
        <w:rPr>
          <w:color w:val="000000"/>
        </w:rPr>
        <w:t>–</w:t>
      </w:r>
      <w:r w:rsidRPr="002F1BC8">
        <w:rPr>
          <w:color w:val="000000"/>
        </w:rPr>
        <w:tab/>
        <w:t>като взе предвид изявленията на министрите, представляващи членовете на СТО, от 10 декември 2021 г. относно замърсяването с пластмаси и устойчивата от екологична гледна точка търговия с пластмаси, от 14 декември 2021 г. относно търговията и екологичната устойчивост и от 14 декември 2021 г. относно субсидиите за изкопаеми горива,</w:t>
      </w:r>
    </w:p>
    <w:p w:rsidR="006655FA" w:rsidRPr="002F1BC8" w:rsidRDefault="006655FA" w:rsidP="006655FA">
      <w:pPr>
        <w:pStyle w:val="NormalHanging12a"/>
        <w:rPr>
          <w:color w:val="000000"/>
        </w:rPr>
      </w:pPr>
      <w:r w:rsidRPr="002F1BC8">
        <w:rPr>
          <w:color w:val="000000"/>
        </w:rPr>
        <w:t>–</w:t>
      </w:r>
      <w:r w:rsidRPr="002F1BC8">
        <w:rPr>
          <w:color w:val="000000"/>
        </w:rPr>
        <w:tab/>
        <w:t>като взе предвид целите на ООН за устойчиво развитие (ЦУР),</w:t>
      </w:r>
    </w:p>
    <w:p w:rsidR="006655FA" w:rsidRPr="002F1BC8" w:rsidRDefault="006655FA" w:rsidP="006655FA">
      <w:pPr>
        <w:pStyle w:val="NormalHanging12a"/>
        <w:widowControl/>
        <w:rPr>
          <w:szCs w:val="24"/>
        </w:rPr>
      </w:pPr>
      <w:r w:rsidRPr="002F1BC8">
        <w:t>–</w:t>
      </w:r>
      <w:r w:rsidRPr="002F1BC8">
        <w:tab/>
        <w:t>като взе предвид Парижкото споразумение в контекста на Конференцията на страните по Рамковата конвенция на ООН по изменението на климата (РКООНИК), в сила от ноември 2016 г.,</w:t>
      </w:r>
    </w:p>
    <w:p w:rsidR="006655FA" w:rsidRPr="002F1BC8" w:rsidRDefault="006655FA" w:rsidP="006655FA">
      <w:pPr>
        <w:pStyle w:val="NormalHanging12a"/>
        <w:widowControl/>
        <w:rPr>
          <w:szCs w:val="24"/>
        </w:rPr>
      </w:pPr>
      <w:r w:rsidRPr="002F1BC8">
        <w:t>–</w:t>
      </w:r>
      <w:r w:rsidRPr="002F1BC8">
        <w:tab/>
        <w:t>като взе предвид съобщението на Комисията от 18 февруари 2021 г., озаглавено „Преглед на търговската политика – отворена, устойчива и решителна търговска политика“, както и неговото приложение, озаглавено „Реформиране на СТО: постигане на устойчива и ефективна многостранна търговска система“ (COM(2021)0066),</w:t>
      </w:r>
    </w:p>
    <w:p w:rsidR="006655FA" w:rsidRPr="002F1BC8" w:rsidRDefault="006655FA" w:rsidP="006655FA">
      <w:pPr>
        <w:pStyle w:val="NormalHanging12a"/>
        <w:widowControl/>
        <w:rPr>
          <w:szCs w:val="24"/>
        </w:rPr>
      </w:pPr>
      <w:r w:rsidRPr="002F1BC8">
        <w:t>–</w:t>
      </w:r>
      <w:r w:rsidRPr="002F1BC8">
        <w:tab/>
        <w:t>като взе предвид член 132, параграф 2 от своя Правилник за дейността,</w:t>
      </w:r>
    </w:p>
    <w:p w:rsidR="006655FA" w:rsidRPr="002F1BC8" w:rsidRDefault="006655FA" w:rsidP="006655FA">
      <w:pPr>
        <w:pStyle w:val="NormalHanging12a"/>
        <w:widowControl/>
        <w:rPr>
          <w:szCs w:val="24"/>
        </w:rPr>
      </w:pPr>
      <w:r w:rsidRPr="002F1BC8">
        <w:t>–</w:t>
      </w:r>
      <w:r w:rsidRPr="002F1BC8">
        <w:tab/>
        <w:t>като взе предвид предложението за резолюция на комисията по международна търговия,</w:t>
      </w:r>
    </w:p>
    <w:p w:rsidR="006655FA" w:rsidRPr="002F1BC8" w:rsidRDefault="006655FA" w:rsidP="006655FA">
      <w:pPr>
        <w:pStyle w:val="NormalHanging12a"/>
      </w:pPr>
      <w:r w:rsidRPr="002F1BC8">
        <w:t>А.</w:t>
      </w:r>
      <w:r w:rsidRPr="002F1BC8">
        <w:tab/>
        <w:t>като има предвид, че СТО е създадена с цел по-нататъшно либерализиране на търговията със стоки и услуги, укрепване на многостранното сътрудничество и насърчаване на справедлива, отворена, приобщаваща, основаваща се на правила и недискриминационна многостранна търговска система, за да се подобри благосъстоянието на хората по света; като има предвид, че общата цел на търговската политика на ЕС е да допринася за хармоничното развитие на световната търговия, за постепенното премахване на ограниченията пред международната търговия и преките чуждестранни инвестиции и за намаляването на митническите и други бариери, както и за гарантиране на благосъстоянието на хората; като има предвид, че търговията е от жизненоважно значение и е ключов инструмент за подкрепа и допълване на усилията за постигане на устойчив растеж и подобряване на стандарта на живот, като се гарантират пълна и по-качествена заетост и голям и постоянно нарастващ обем на реалните доходи в съответствие с целта за устойчиво развитие, като се проявява стремеж да се опазва и съхранява околната среда и да се развиват използваните за това средства по начин, съвместим със съответните потребности и проблеми на държавите с оглед на различните им нива на икономическо развитие;</w:t>
      </w:r>
    </w:p>
    <w:p w:rsidR="006655FA" w:rsidRPr="002F1BC8" w:rsidRDefault="006655FA" w:rsidP="006655FA">
      <w:pPr>
        <w:pStyle w:val="NormalHanging12a"/>
      </w:pPr>
      <w:r w:rsidRPr="002F1BC8">
        <w:lastRenderedPageBreak/>
        <w:t>Б.</w:t>
      </w:r>
      <w:r w:rsidRPr="002F1BC8">
        <w:tab/>
        <w:t>като има предвид, че силната, отворена и приобщаваща многостранна търговска система следва да играе още по-решаваща роля за постигането на глобалните цели в областта на изменението на климата и постигането на нулеви нетни емисии, например чрез обмен на стоки, услуги и практики, които са от съществено значение за технологиите за чиста енергия и кръговата икономика;</w:t>
      </w:r>
    </w:p>
    <w:p w:rsidR="006655FA" w:rsidRPr="002F1BC8" w:rsidRDefault="006655FA" w:rsidP="006655FA">
      <w:pPr>
        <w:pStyle w:val="NormalHanging12a"/>
      </w:pPr>
      <w:r w:rsidRPr="002F1BC8">
        <w:t>В.</w:t>
      </w:r>
      <w:r w:rsidRPr="002F1BC8">
        <w:tab/>
        <w:t>като има предвид, че основаващата се на правила многостранна търговска система понастоящем е подложена на голям натиск и е изложена на геополитическо напрежение, породено от решенията на някои членове на СТО и предприетите от тях едностранни мерки, както и необосновано разчитане на свързани със сигурността изключения от Общото споразумение за митата и търговията (ГАТТ) от страна на някои от нейните членове, което вече води до по-фрагментиран и по-малко предвидим контекст за търговската политика; като има предвид, че 75% от търговията все още се осъществява въз основа на тарифи за най-облагодетелствана нация, което потвърждава, че СТО е гръбнакът на световната икономика; като има предвид, че резултатът от МК12 доказа, че СТО все още може да постига многостранни споразумения и да реагира на извънредни ситуации;</w:t>
      </w:r>
    </w:p>
    <w:p w:rsidR="006655FA" w:rsidRPr="002F1BC8" w:rsidRDefault="006655FA" w:rsidP="006655FA">
      <w:pPr>
        <w:pStyle w:val="NormalHanging12a"/>
      </w:pPr>
      <w:r w:rsidRPr="002F1BC8">
        <w:t>Г.</w:t>
      </w:r>
      <w:r w:rsidRPr="002F1BC8">
        <w:tab/>
        <w:t xml:space="preserve">като има предвид, че Споразумението на СТО за субсидиите в областта на рибарството, договорено на МК12, е първото многостранно търговско споразумение, в основата на което стои екологичната устойчивост, с което се установява обвързващ набор от глобални правила, които да спомогнат за ограничаване на вредните субсидии, възлизащи по приблизителни оценки н 22 милиарда щатски долара годишно, които се предоставят от правителствата за сектора на рибарството, както е предвидено в ЦУР 14.6; като има предвид, че споразумението все още не включва правила относно субсидиите за рибарството, допринасящи за </w:t>
      </w:r>
      <w:proofErr w:type="spellStart"/>
      <w:r w:rsidRPr="002F1BC8">
        <w:t>свръхкапацитета</w:t>
      </w:r>
      <w:proofErr w:type="spellEnd"/>
      <w:r w:rsidRPr="002F1BC8">
        <w:t xml:space="preserve"> и прекомерния улов и представляващи половината от общия размер на субсидиите за рибарството, по които преговорите все още продължават;</w:t>
      </w:r>
    </w:p>
    <w:p w:rsidR="006655FA" w:rsidRPr="002F1BC8" w:rsidRDefault="006655FA" w:rsidP="006655FA">
      <w:pPr>
        <w:pStyle w:val="NormalHanging12a"/>
      </w:pPr>
      <w:r w:rsidRPr="002F1BC8">
        <w:t>Д.</w:t>
      </w:r>
      <w:r w:rsidRPr="002F1BC8">
        <w:tab/>
        <w:t>като има предвид, че на 12-ата Министерска конференция на СТО (МК12) беше прието решение от 17 юни 2022 г., с което се предоставя ограничена гъвкавост в рамките на Споразумението за свързаните с търговията аспекти на правата върху интелектуалната собственост (ТРИПС), за да се даде възможност за производство и доставки на ваксини срещу COVID-19, като същевременно беше отложено решението за разширяване на обхвата на тази гъвкавост, така че да включва лечението и диагностиката на COVID-19; като има предвид, че Съветът на СТО за ТРИПС води преговори относно удължаването на срока на действие на освобождаването от ТРИПС;</w:t>
      </w:r>
    </w:p>
    <w:p w:rsidR="006655FA" w:rsidRPr="002F1BC8" w:rsidRDefault="006655FA" w:rsidP="006655FA">
      <w:pPr>
        <w:pStyle w:val="NormalHanging12a"/>
      </w:pPr>
      <w:r w:rsidRPr="002F1BC8">
        <w:t>Е.</w:t>
      </w:r>
      <w:r w:rsidRPr="002F1BC8">
        <w:tab/>
        <w:t>като има предвид, че продоволствената сигурност продължава да бъде предизвикателство, тъй като 258 милиона души са се намирали в кризисни или по-лоши равнища на остра продоволствена несигурност през 2022 г. спрямо 193 милиона души през 2021 г.; като има предвид, че в Споразумението на СТО относно селското стопанство от Уругвайския кръг изрично се признава, че е важно продоволствената сигурност да бъде разгледана в рамките на текущите преговори; като има предвид, че търговията има потенциала да увеличи наличието на храна в регионите, в които то е ограничено, и също така може да допринесе за подобряване на икономическия достъп до храна чрез създаване на възможности за заетост и повишаване на доходите;</w:t>
      </w:r>
    </w:p>
    <w:p w:rsidR="006655FA" w:rsidRPr="002F1BC8" w:rsidRDefault="006655FA" w:rsidP="006655FA">
      <w:pPr>
        <w:pStyle w:val="NormalHanging12a"/>
      </w:pPr>
      <w:r w:rsidRPr="002F1BC8">
        <w:lastRenderedPageBreak/>
        <w:t>Ж.</w:t>
      </w:r>
      <w:r w:rsidRPr="002F1BC8">
        <w:tab/>
        <w:t>като има предвид, че членовете на СТО доказаха своята ангажираност за предприемане на мерки с цел преодоляване на недостига на храна и осигуряване на спешна продоволствена помощ за най-уязвимите лица както в декларацията на министрите относно спешните мерки в отговор на продоволствената несигурност, така и в решението на министрите за освобождаване от забрани или ограничения за износ на покупките на продоволствия с хуманитарна цел от Световната продоволствена програма (СПП), приети на МК12;</w:t>
      </w:r>
    </w:p>
    <w:p w:rsidR="006655FA" w:rsidRPr="002F1BC8" w:rsidRDefault="006655FA" w:rsidP="006655FA">
      <w:pPr>
        <w:pStyle w:val="NormalHanging12a"/>
      </w:pPr>
      <w:r w:rsidRPr="002F1BC8">
        <w:t>З.</w:t>
      </w:r>
      <w:r w:rsidRPr="002F1BC8">
        <w:tab/>
        <w:t>като има предвид, че устойчивата търговия може да спомогне за смекчаване на изменението на климата и за борбата срещу това изменение;</w:t>
      </w:r>
    </w:p>
    <w:p w:rsidR="006655FA" w:rsidRPr="002F1BC8" w:rsidRDefault="006655FA" w:rsidP="006655FA">
      <w:pPr>
        <w:pStyle w:val="NormalHanging12a"/>
      </w:pPr>
      <w:r w:rsidRPr="002F1BC8">
        <w:t>И.</w:t>
      </w:r>
      <w:r w:rsidRPr="002F1BC8">
        <w:tab/>
        <w:t>като има предвид, че считано от 11 декември 2019 г. Апелативният орган на СТО спря да функционира, с което спря да действа и процедурата за функциониращо, независимо и обективно обжалване; като има предвид, че на 12-ата министерска конференция членовете на СТО се ангажираха да проведат дискусии с цел да се осигури пълноценно и правилно функционираща система за уреждане на спорове, достъпна за всички цел членове на СТО, в срок до 2024 г.;</w:t>
      </w:r>
    </w:p>
    <w:p w:rsidR="006655FA" w:rsidRPr="002F1BC8" w:rsidRDefault="006655FA" w:rsidP="006655FA">
      <w:pPr>
        <w:pStyle w:val="NormalHanging12a"/>
      </w:pPr>
      <w:r w:rsidRPr="002F1BC8">
        <w:t>Й.</w:t>
      </w:r>
      <w:r w:rsidRPr="002F1BC8">
        <w:tab/>
        <w:t>като има предвид, че Европейският парламент, заедно с Интерпарламентарния съюз, в продължение на повече от 20 години изпълняваше решаваща роля за установяването на парламентарно измерение на СТО чрез Парламентарната конференция по въпросите на СТО;</w:t>
      </w:r>
    </w:p>
    <w:p w:rsidR="006655FA" w:rsidRPr="002F1BC8" w:rsidRDefault="006655FA" w:rsidP="006655FA">
      <w:pPr>
        <w:pStyle w:val="NormalHanging12a"/>
      </w:pPr>
      <w:r w:rsidRPr="002F1BC8">
        <w:t>К.</w:t>
      </w:r>
      <w:r w:rsidRPr="002F1BC8">
        <w:tab/>
        <w:t>като има предвид, че 13-ата министерска конференция на СТО (МК13) ще се проведе в Абу Даби, Обединените арабски емирства, в периода от 26 до 29 февруари 2024 г.;</w:t>
      </w:r>
    </w:p>
    <w:p w:rsidR="006655FA" w:rsidRPr="002F1BC8" w:rsidRDefault="006655FA" w:rsidP="006655FA">
      <w:pPr>
        <w:pStyle w:val="NormalHanging12a"/>
      </w:pPr>
      <w:r w:rsidRPr="002F1BC8">
        <w:t>1.</w:t>
      </w:r>
      <w:r w:rsidRPr="002F1BC8">
        <w:tab/>
        <w:t>отново заявява пълната си ангажираност с непреходната стойност на многостранното сътрудничество и подчертава, че наличието на модернизирана многостранна система за управление на търговията е от съществено значение; призовава за програма в областта на търговията, която се опира на справедлива и основаваща се на правила търговия в полза на всички, която допринася за устойчиво икономическо развитие извън тясното определение за растеж на БВП и просперитет и по този начин укрепва мира и сигурността; подчертава, че СТО следва да насърчава осъществяването на ЦУР, здравните, социалните и екологичните права и правата на човека, както и да гарантира, че договорените на многостранно равнище и хармонизирани правила се прилагат от всички;</w:t>
      </w:r>
    </w:p>
    <w:p w:rsidR="006655FA" w:rsidRPr="002F1BC8" w:rsidRDefault="006655FA" w:rsidP="006655FA">
      <w:pPr>
        <w:pStyle w:val="NormalHanging12a"/>
      </w:pPr>
      <w:r w:rsidRPr="002F1BC8">
        <w:t>2.</w:t>
      </w:r>
      <w:r w:rsidRPr="002F1BC8">
        <w:tab/>
        <w:t xml:space="preserve">настоятелно призовава всички членове на СТО да се ангажират с постигането на успешен резултат от МК13; счита, че МК13 следва да бъде отправната точка за развитието и модернизирането на СТО, за да се гарантира, че тя може да играе роля в рамките на усилията за справяне с предизвикателствата на 21-ви век, включително въпроси като изменението на климата, продоволствената сигурност, загубата на биологично разнообразие, здравето, устойчивостта и намаляването на бедността; настоятелно призовава всички членове на СТО да полагат повече усилия за да съсредоточаване върху постигането на осезаеми резултати, които показват, че в рамките на СТО може да се предприемат действия за справяне с настоящите предизвикателства; приветства насоките, дадени на срещата на висшите служители на 22 и 23 октомври 2023 г.; призовава по-специално членовете на СТО да приключат втората фаза на многостранното споразумение относно субсидиите в областта на рибарството и да преодолеят оставащите </w:t>
      </w:r>
      <w:r w:rsidRPr="002F1BC8">
        <w:lastRenderedPageBreak/>
        <w:t>пречки, така че СТО най-после да може да приеме всеобхватен пакет от институционални реформи, включително решение, което ще доведе до пълноценно функционираща система за уреждане на спорове; отново заявява, че ролята на секретариата на СТО трябва да бъде допълнително засилена;</w:t>
      </w:r>
    </w:p>
    <w:p w:rsidR="006655FA" w:rsidRPr="002F1BC8" w:rsidRDefault="006655FA" w:rsidP="006655FA">
      <w:pPr>
        <w:pStyle w:val="NormalHanging12a"/>
      </w:pPr>
      <w:r w:rsidRPr="002F1BC8">
        <w:t>3.</w:t>
      </w:r>
      <w:r w:rsidRPr="002F1BC8">
        <w:tab/>
        <w:t>счита, че вече трябва спешно да се пристъпи към съществена реформа на СТО и че това следва да бъде отразено в резултата от МК13; приветства цялата работа, извършена в това отношение след предишната министерска конференция; призовава членовете на СТО да приемат всеобхватен пакет за преглед на функциите на СТО по наблюдение, водене на преговори, обсъждане и уреждане на спорове, в който следва да се обърне дължимото внимание и на парламентарното измерение на СТО с цел да се повишат ефективността, приобщаващият характер, прозрачността, надеждността и легитимността на СТО;</w:t>
      </w:r>
    </w:p>
    <w:p w:rsidR="006655FA" w:rsidRPr="002F1BC8" w:rsidRDefault="006655FA" w:rsidP="006655FA">
      <w:pPr>
        <w:pStyle w:val="NormalHanging12a"/>
        <w:rPr>
          <w:szCs w:val="24"/>
        </w:rPr>
      </w:pPr>
      <w:r w:rsidRPr="002F1BC8">
        <w:t>4.</w:t>
      </w:r>
      <w:r w:rsidRPr="002F1BC8">
        <w:tab/>
        <w:t>призовава за по-силен и още по-конструктивен ангажимент на всички членове на СТО за възможно най-бързо възстановяване на напълно функционираща система за уреждане на спорове, която предприема мерки за преодоляване на, наред с другото, прекалено дълго траещите процедури; приветства работата на посредника за насочване на процеса, който следва да доведе до консолидиран проект на текст, който да бъде представен на МК13; изразява съжаление обаче, че досега не е постигнат съществен напредък; призовава членовете да се включат в конструктивни и прозрачни дискусии, за да постигнат споразумение относно системата за уреждане на спорове в рамките на МК13; припомня, че наличието на обвързваща, двустепенна и независима процедура следва да продължи да бъде основната цел;</w:t>
      </w:r>
    </w:p>
    <w:p w:rsidR="006655FA" w:rsidRPr="002F1BC8" w:rsidRDefault="006655FA" w:rsidP="006655FA">
      <w:pPr>
        <w:pStyle w:val="NormalHanging12a"/>
        <w:rPr>
          <w:szCs w:val="24"/>
        </w:rPr>
      </w:pPr>
      <w:r w:rsidRPr="002F1BC8">
        <w:t>5.</w:t>
      </w:r>
      <w:r w:rsidRPr="002F1BC8">
        <w:tab/>
        <w:t>с цел да се запълни празнината до момента, когато отново ще започне да действа пълноценно функциониращ орган за уреждане на спорове на равнището на СТО, приканва членовете да обмислят възможността за присъединяване към многостранната временна договореност за арбитраж при обжалване (MPIA), за да демонстрират ангажимента си за справедлива и функционираща система за уреждане на спорове;</w:t>
      </w:r>
    </w:p>
    <w:p w:rsidR="006655FA" w:rsidRPr="002F1BC8" w:rsidRDefault="006655FA" w:rsidP="006655FA">
      <w:pPr>
        <w:pStyle w:val="NormalHanging12a"/>
      </w:pPr>
      <w:r w:rsidRPr="002F1BC8">
        <w:t>6.</w:t>
      </w:r>
      <w:r w:rsidRPr="002F1BC8">
        <w:tab/>
        <w:t xml:space="preserve">настоятелно призовава всички членове на СТО, които все още не са го направили, бързо да ратифицират Споразумението на СТО за субсидиите в областта на рибарството, за да може споразумението да влезе в сила възможно най-скоро, за което се изисква ратификация от две трети от членовете; подчертава, че е от решаващо значение бързо да се постигне споразумение относно правилата за субсидиите в областта на рибарството, които допринасят за </w:t>
      </w:r>
      <w:proofErr w:type="spellStart"/>
      <w:r w:rsidRPr="002F1BC8">
        <w:t>свръхкапацитета</w:t>
      </w:r>
      <w:proofErr w:type="spellEnd"/>
      <w:r w:rsidRPr="002F1BC8">
        <w:t xml:space="preserve"> и прекомерния улов, за да се избегне изчерпване на морските биологични ресурси и да се даде възможност за тяхното устойчиво управление, като същевременно се зачита необходимостта от специално и диференцирано третиране в съответствие с ЦУР 14.6;</w:t>
      </w:r>
    </w:p>
    <w:p w:rsidR="006655FA" w:rsidRPr="002F1BC8" w:rsidRDefault="006655FA" w:rsidP="006655FA">
      <w:pPr>
        <w:pStyle w:val="NormalHanging12a"/>
      </w:pPr>
      <w:r w:rsidRPr="002F1BC8">
        <w:t>7.</w:t>
      </w:r>
      <w:r w:rsidRPr="002F1BC8">
        <w:tab/>
        <w:t xml:space="preserve">подчертава необходимостта да се интегрира измерението на СТО, свързано с развитието, включително чрез процеса на реформа на СТО и чрез адаптиране на принципа на специално и диференцирано третиране по такъв начин, че да отговаря по-добере на потребностите на развиващите се страни; изразява съжаление, че СТО все още не е изпълнила изцяло своята Програма за развитие от Доха; приветства в този контекст вече взетото решение за удължаване на действието на мерките за подкрепа с цел подпомагане на най-слабо развитите </w:t>
      </w:r>
      <w:r w:rsidRPr="002F1BC8">
        <w:lastRenderedPageBreak/>
        <w:t>страни по пътя към преодоляване на статута на най-слабо развита страна, за да се осигури плавен и устойчив преходен период за оттеглянето на търговските преференции; отново призовава механизмът за специално и диференцирано третиране да бъде преразгледан и преработен с надлежното участие на всички членове на СТО, за да се отразят по-добре показателите за човешко развитие, като същевременно се запази възможност за водене на политики за справяне с нелоялната търговия, и поради това призовава членовете на СТО да преразгледат системата; подчертава обаче, че самоопределянето на равнището на развитие като единствен критерий може да доведе до нелоялна търговия;</w:t>
      </w:r>
    </w:p>
    <w:p w:rsidR="006655FA" w:rsidRPr="002F1BC8" w:rsidRDefault="006655FA" w:rsidP="006655FA">
      <w:pPr>
        <w:pStyle w:val="NormalHanging12a"/>
      </w:pPr>
      <w:r w:rsidRPr="002F1BC8">
        <w:t>8.</w:t>
      </w:r>
      <w:r w:rsidRPr="002F1BC8">
        <w:tab/>
        <w:t xml:space="preserve">подчертава необходимостта да се даде нов тласък на дискусиите в рамките на СТО относно държавната подкрепа за промишлените сектори, включително актуализиране на споразумението за субсидиите и изравнителните мерки (ASCM), с цел повишаване на прозрачността и адаптиране на правилата на СТО относно субсидиите, за да се отговори на съвременните предизвикателства, например изменението на климата, да се води борба срещу нелоялните практики на някои членове на СТО и да се предприемат ефективни мерки за преодоляване на отрицателните странични ефекти, например </w:t>
      </w:r>
      <w:proofErr w:type="spellStart"/>
      <w:r w:rsidRPr="002F1BC8">
        <w:t>свръхкапацитета</w:t>
      </w:r>
      <w:proofErr w:type="spellEnd"/>
      <w:r w:rsidRPr="002F1BC8">
        <w:t xml:space="preserve"> и веригите на доставки с високи въглеродни емисии; счита, че МК13 следва да постави началото на ограничена във времето работна програма, за да се даде възможност за обсъждане на държавната намеса в подкрепа на промишлените сектори с цел да се предоставят препоръки за МК14;</w:t>
      </w:r>
    </w:p>
    <w:p w:rsidR="006655FA" w:rsidRPr="002F1BC8" w:rsidRDefault="006655FA" w:rsidP="006655FA">
      <w:pPr>
        <w:pStyle w:val="NormalHanging12a"/>
      </w:pPr>
      <w:r w:rsidRPr="002F1BC8">
        <w:t>9.</w:t>
      </w:r>
      <w:r w:rsidRPr="002F1BC8">
        <w:tab/>
        <w:t>подчертава необходимостта от постигане на напредък в преговорите в областта на селското стопанство, за да се постигнат надеждни резултати по въпроси като трайно решение относно публичния резерв за целите на продоволствената сигурност, националното подпомагане, достъпа до пазара, памука, ограниченията върху износа и конкуренцията при износа, както и укрепването на селскостопанския сектор, за да се отговори на съвременните предизвикателства, включително поминъка на селските райони и устойчивостта по отношение на околната среда; подчертава необходимостта да се гарантират лоялна конкуренция и еднакви условия на конкуренция за земеделските стопани; призовава за по-добър обмен на информация и прозрачност относно политиките и субсидиите в областта на селското стопанство и за подкрепа на равнището на СТО на по-</w:t>
      </w:r>
      <w:proofErr w:type="spellStart"/>
      <w:r w:rsidRPr="002F1BC8">
        <w:t>широкообхватно</w:t>
      </w:r>
      <w:proofErr w:type="spellEnd"/>
      <w:r w:rsidRPr="002F1BC8">
        <w:t xml:space="preserve"> споделяне на данни за търговията със стоки и частните запаси с Комитета по световната продоволствена сигурност; приветства подписването на Меморандум за разбирателство между СТО и Организацията на ООН за прехрана и земеделие (ФАО) по време на Конференцията на ООН по изменението на климата (COP 28) за 2023 г., който ще засили сътрудничеството, наред с другото, в областта на селскостопанската реформа, продоволствената сигурност и изменението на климата; подчертава, че ЕС следва да се застъпва за по-високи критерии за устойчивост в съответствие с целите на Зеления пакт;</w:t>
      </w:r>
    </w:p>
    <w:p w:rsidR="006655FA" w:rsidRPr="002F1BC8" w:rsidRDefault="006655FA" w:rsidP="006655FA">
      <w:pPr>
        <w:pStyle w:val="NormalHanging12a"/>
      </w:pPr>
      <w:r w:rsidRPr="002F1BC8">
        <w:t>10.</w:t>
      </w:r>
      <w:r w:rsidRPr="002F1BC8">
        <w:tab/>
        <w:t>подчертава необходимостта от постигане на резултат по отношение на продоволствената сигурност, включително конкретни действия за повишаване на устойчивостта на най-слабо развитите държави и развиващите се държави, които са нетни вносители на храни, в рамките на тяхната реакция спрямо острата продоволствена нестабилност;</w:t>
      </w:r>
    </w:p>
    <w:p w:rsidR="006655FA" w:rsidRPr="002F1BC8" w:rsidRDefault="006655FA" w:rsidP="006655FA">
      <w:pPr>
        <w:pStyle w:val="NormalHanging12a"/>
      </w:pPr>
      <w:r w:rsidRPr="002F1BC8">
        <w:t>11.</w:t>
      </w:r>
      <w:r w:rsidRPr="002F1BC8">
        <w:tab/>
        <w:t xml:space="preserve">очаква реформата на СТО да осигури по-лесен път за интегриране на откритите </w:t>
      </w:r>
      <w:proofErr w:type="spellStart"/>
      <w:r w:rsidRPr="002F1BC8">
        <w:t>неколкостранни</w:t>
      </w:r>
      <w:proofErr w:type="spellEnd"/>
      <w:r w:rsidRPr="002F1BC8">
        <w:t xml:space="preserve"> споразумения в многостранната структура, за да се гарантира </w:t>
      </w:r>
      <w:r w:rsidRPr="002F1BC8">
        <w:lastRenderedPageBreak/>
        <w:t>напредък в области, в които не е достигната необходимата степен на зрялост по отношение на всички членове; поради това отново призовава членовете на СТО да обмислят начин за разработване на нова система с ясни принципи и минимум от членове, които следва да участват в дадена многостранна инициатива, и на тази основа да създадат прост механизъм, който позволява произтичащите от това споразумения да бъдат включени в структурата на СТО;</w:t>
      </w:r>
    </w:p>
    <w:p w:rsidR="006655FA" w:rsidRPr="002F1BC8" w:rsidRDefault="006655FA" w:rsidP="006655FA">
      <w:pPr>
        <w:pStyle w:val="NormalHanging12a"/>
      </w:pPr>
      <w:r w:rsidRPr="002F1BC8">
        <w:t>12.</w:t>
      </w:r>
      <w:r w:rsidRPr="002F1BC8">
        <w:tab/>
        <w:t xml:space="preserve">приветства приключването на преговорите по Споразумението за улесняване на инвестициите за развитие с цел създаване на по-справедлива, прозрачна, ефикасна и предвидима среда за улесняване на трансграничните инвестиции и участие на развиващите се страни в световните инвестиционни потоци; подкрепя включването на това споразумение в правилника на СТО в рамките на приложение 4 относно </w:t>
      </w:r>
      <w:proofErr w:type="spellStart"/>
      <w:r w:rsidRPr="002F1BC8">
        <w:t>плурилатералните</w:t>
      </w:r>
      <w:proofErr w:type="spellEnd"/>
      <w:r w:rsidRPr="002F1BC8">
        <w:t xml:space="preserve"> търговски споразумения, както е предвидено в член Х.9 от Споразумението за СТО, и счита, че това може да послужи като модел за бъдещи </w:t>
      </w:r>
      <w:proofErr w:type="spellStart"/>
      <w:r w:rsidRPr="002F1BC8">
        <w:t>плурилатерални</w:t>
      </w:r>
      <w:proofErr w:type="spellEnd"/>
      <w:r w:rsidRPr="002F1BC8">
        <w:t xml:space="preserve"> споразумения;</w:t>
      </w:r>
    </w:p>
    <w:p w:rsidR="006655FA" w:rsidRPr="002F1BC8" w:rsidRDefault="006655FA" w:rsidP="006655FA">
      <w:pPr>
        <w:pStyle w:val="NormalHanging12a"/>
      </w:pPr>
      <w:r w:rsidRPr="002F1BC8">
        <w:t>13.</w:t>
      </w:r>
      <w:r w:rsidRPr="002F1BC8">
        <w:tab/>
        <w:t xml:space="preserve">подчертава колко са важни многостранните и </w:t>
      </w:r>
      <w:proofErr w:type="spellStart"/>
      <w:r w:rsidRPr="002F1BC8">
        <w:t>неколкостранните</w:t>
      </w:r>
      <w:proofErr w:type="spellEnd"/>
      <w:r w:rsidRPr="002F1BC8">
        <w:t xml:space="preserve"> правила за цифровата търговия, тъй като понастоящем тя представлява 25% от общия обем на търговията; решително насърчава усилията за намиране на справедливо и постоянно решение за предаването по електронен път, свързано с мораториума, особено като се имат предвид отрицателните последици, в случай че то не бъде подновено, по-специално за жените и малките и средните предприятия (МСП); приветства и подкрепя широкия състав, амбициозната програма за преговори и постигнатия до момента напредък в </w:t>
      </w:r>
      <w:proofErr w:type="spellStart"/>
      <w:r w:rsidRPr="002F1BC8">
        <w:t>неколкостранните</w:t>
      </w:r>
      <w:proofErr w:type="spellEnd"/>
      <w:r w:rsidRPr="002F1BC8">
        <w:t xml:space="preserve"> преговори в рамките на СТО относно електронната търговия; подчертава колко е важно свободното протичане по отношение на предаването по електронен път, което е от основно значение за цифровата търговия и намалява търговските разходи, повишава благосъстоянието на потребителите, както и конкурентоспособността на износа, и носи значителни ползи, особено за МСП и развиващите се страни; припомня своята позиция, че едно евентуално споразумение трябва да гарантира справедлив достъп до пазара на стоки и услуги, свързани с електронната търговия, в трети държави, както и защитата на правата на потребителите и трудовите права, и да улеснява иновациите в бизнеса; подчертава, че едно евентуално споразумение относно електронната търговия трябва да бъде в съответствие с действащото и бъдещото законодателство на ЕС и да осигурява достатъчно възможности за политики за регулиране в областта на цифровите технологии, особено когато става дума за въпроси като потоци от данни, локализиране на данни, защита на данни, изкуствен интелект и изходен код; призовава всички партньори да се ангажират изцяло и да подкрепят усилията за приключване на преговорите до началото на МК13; подчертава необходимостта от преодоляване на цифровото разделение чрез обмен на най-добри практики и засилване на изграждането на капацитет;</w:t>
      </w:r>
    </w:p>
    <w:p w:rsidR="006655FA" w:rsidRPr="002F1BC8" w:rsidRDefault="006655FA" w:rsidP="006655FA">
      <w:pPr>
        <w:pStyle w:val="NormalHanging12a"/>
      </w:pPr>
      <w:r w:rsidRPr="002F1BC8">
        <w:t>14.</w:t>
      </w:r>
      <w:r w:rsidRPr="002F1BC8">
        <w:tab/>
        <w:t xml:space="preserve">припомня ангажимента на СТО към </w:t>
      </w:r>
      <w:proofErr w:type="spellStart"/>
      <w:r w:rsidRPr="002F1BC8">
        <w:t>микропредприятията</w:t>
      </w:r>
      <w:proofErr w:type="spellEnd"/>
      <w:r w:rsidRPr="002F1BC8">
        <w:t>, малките и средните предприятия (ММСП) и припомня, че те представляват значителна част от световната икономика и разполагат с неизползван потенциал в рамките на световните вериги за създаване на стойност; настоятелно призовава членовете да продължат да намират решения, които ще помогнат на ММСП да участват по-значимо в световната търговия, като същевременно вземат предвид техните специфични потребности;</w:t>
      </w:r>
    </w:p>
    <w:p w:rsidR="006655FA" w:rsidRPr="002F1BC8" w:rsidRDefault="006655FA" w:rsidP="006655FA">
      <w:pPr>
        <w:pStyle w:val="NormalHanging12a"/>
      </w:pPr>
      <w:r w:rsidRPr="002F1BC8">
        <w:lastRenderedPageBreak/>
        <w:t>15.</w:t>
      </w:r>
      <w:r w:rsidRPr="002F1BC8">
        <w:tab/>
        <w:t xml:space="preserve">счита, че резултатът от МК13 следва да осигури основаваща се на действия програма за търговска политика в подкрепа на целите за устойчиво развитие до 2030 г. и Парижкото споразумение; категорично насърчава членовете на СТО да разгледат всички възможни мерки, чрез които може да се допринесе за ограничаване на емисиите на парникови газове в съответствие с РКООНИК и със заключенията на COP28, да засилят привеждането в съответствие с Парижкото споразумение и неутралността по отношение на климата и да подобрят сътрудничеството в рамките на СТО относно мерките, които се приемат на национално равнище; приветства конструктивните дискусии, които се проведоха в рамките на </w:t>
      </w:r>
      <w:proofErr w:type="spellStart"/>
      <w:r w:rsidRPr="002F1BC8">
        <w:t>неколкостранните</w:t>
      </w:r>
      <w:proofErr w:type="spellEnd"/>
      <w:r w:rsidRPr="002F1BC8">
        <w:t xml:space="preserve"> инициативи за реформа на субсидиите за изкопаеми горива, диалога относно замърсяването с пластмаси и Структурираните дискусии относно търговията и екологичната устойчивост (TESSD); призовава за възобновяване на преговорите по Споразумението за екологичните стоки (EGA); насърчава СТО да улесни обмена на информация и сътрудничеството между членовете на СТО в областта на методиките за ценообразуването за въглеродните емисии; подчертава също така необходимостта от постигане на напредък в дискусията относно услугите и стоките, включително процесите и производствените методи, които спомагат за преодоляване на предизвикателствата в областта на околната среда и климата; припомня, че всички едностранни мерки, предприети от членовете, трябва да следват правилата на СТО, и че решението за прилагане на изключения от ГАТТ трябва да бъде внимателно разгледано; настоятелно призовава ЕС да повиши осведомеността относно своето законодателство в областта на устойчивостта, например Директивата за дължима грижа на дружествата във връзка с устойчивостта, механизма за корекция на въглеродните емисии на границите (МКВЕГ) и разпоредбите във връзка с обезлесяването, и да обясни на какви принципи се основава то, за да се гарантира, че то е признато като действителен и недискриминационен опит да се допринесе за постигането на глобалните цели в областта на околната среда и за повишаване на устойчивостта на търговията, включително чрез предоставяне на повече практическа информация за начина, по който разпоредбите се прилагат на практика; приветства първия в историята „ден на търговията“ в рамките на COP28 и историческото постижение на конференцията на страните за постепенен отказ от изкопаемите горива; очаква решението на конференцията на страните да бъде отразено в работата на СТО;</w:t>
      </w:r>
    </w:p>
    <w:p w:rsidR="006655FA" w:rsidRPr="002F1BC8" w:rsidRDefault="006655FA" w:rsidP="006655FA">
      <w:pPr>
        <w:pStyle w:val="NormalHanging12a"/>
      </w:pPr>
      <w:r w:rsidRPr="002F1BC8">
        <w:t>16.</w:t>
      </w:r>
      <w:r w:rsidRPr="002F1BC8">
        <w:tab/>
        <w:t>отново потвърждава връзките между равенството между половете и приобщаващото развитие и подчертава, че предоставянето на възможности на жените е от основно значение за изкореняването на бедността и че едновременното премахване на пречките пред участието на жените в търговията и справяне с неблагоприятните въздействия на настоящите търговски правила върху жените с оглед на многобройните им роли е от решаващо значение за икономическото развитие; насърчава всички членове на СТО да подпишат Декларацията от Буенос Айрес от 2017 г. относно търговията и икономическото овластяване на жените и настоятелно призовава подписалите я държави да изпълняват своите ангажименти; приветства създаването на неформалната работна група на СТО по въпросите на търговията и равенството между половете; поздравява СТО за организирането на Световния търговски конгрес по въпросите на равенството между половете през декември 2022 г. — първата международна изследователска конференция по въпросите на търговията и равенството между половете;</w:t>
      </w:r>
    </w:p>
    <w:p w:rsidR="006655FA" w:rsidRPr="002F1BC8" w:rsidRDefault="006655FA" w:rsidP="006655FA">
      <w:pPr>
        <w:pStyle w:val="NormalHanging12a"/>
      </w:pPr>
      <w:r w:rsidRPr="002F1BC8">
        <w:lastRenderedPageBreak/>
        <w:t>17.</w:t>
      </w:r>
      <w:r w:rsidRPr="002F1BC8">
        <w:tab/>
        <w:t>отчита факта, че членовете на СТО се споразумяха да обсъдят обхвата на решението по ТРИПС, така че то да обхване диагностиката и терапевтичните средства за COVID-19; призовава членовете на СТО да вземат решение преди МК13, като същевременно вземат предвид стимулите за иновации; призовава членовете на СТО да преразгледат своите национални закони и политики, за да гарантират пълното включване на всички съответни възможности за гъвкавост по отношение на правата върху интелектуалната собственост, които защитават достъпа до лекарствени продукти;</w:t>
      </w:r>
    </w:p>
    <w:p w:rsidR="006655FA" w:rsidRPr="002F1BC8" w:rsidRDefault="006655FA" w:rsidP="006655FA">
      <w:pPr>
        <w:pStyle w:val="NormalHanging12a"/>
      </w:pPr>
      <w:r w:rsidRPr="002F1BC8">
        <w:t>18.</w:t>
      </w:r>
      <w:r w:rsidRPr="002F1BC8">
        <w:tab/>
        <w:t>призовава Комисията и Съвета да гарантират, че Парламентът продължава да бъде непосредствено ангажиран с подготовката на МК13 и че той получава бързо актуална информация и с него се провеждат консултации по време на Министерската конференция за 2024 г.;</w:t>
      </w:r>
    </w:p>
    <w:p w:rsidR="006655FA" w:rsidRPr="002F1BC8" w:rsidRDefault="006655FA" w:rsidP="006655FA">
      <w:pPr>
        <w:pStyle w:val="NormalHanging12a"/>
      </w:pPr>
      <w:r w:rsidRPr="002F1BC8">
        <w:t>19.</w:t>
      </w:r>
      <w:r w:rsidRPr="002F1BC8">
        <w:tab/>
        <w:t>призовава членовете на СТО да гарантират демократичната легитимност и прозрачността чрез укрепване на парламентарното измерение на СТО и на парламентарната конференция; приветства важната работа на съвместната парламентарна конференция на Европейския парламент и Интерпарламентарния съюз (ИПС) относно СТО; подчертава необходимостта да се гарантира, че парламентаристите имат по-добър достъп до всички търговски преговори и участват във формулирането и изпълнението на решенията на СТО; насърчава лидерите да подкрепят нова концепция за търговията, в рамките на която търговията се разглежда като стимул, а не като пречка за постигането на устойчивост, сигурност и приобщаване;</w:t>
      </w:r>
    </w:p>
    <w:p w:rsidR="006655FA" w:rsidRPr="002F1BC8" w:rsidRDefault="006655FA" w:rsidP="006655FA">
      <w:pPr>
        <w:pStyle w:val="NormalHanging12a"/>
      </w:pPr>
      <w:r w:rsidRPr="002F1BC8">
        <w:t>20.</w:t>
      </w:r>
      <w:r w:rsidRPr="002F1BC8">
        <w:tab/>
        <w:t>призовава членовете на СТО да засилят обмена с всички заинтересовани страни, включително гражданското общество, синдикалните организации и стопанските организации, и да засилят сътрудничеството с други международни организации като Международната организация на труда (МОТ) и в по-широк план – системата на ООН; очаква лидерите да информират в по-голяма степен, на всяко равнище, за ползите от основаващата се на правила търговия;</w:t>
      </w:r>
    </w:p>
    <w:p w:rsidR="006655FA" w:rsidRPr="002F1BC8" w:rsidRDefault="006655FA" w:rsidP="006655FA">
      <w:pPr>
        <w:pStyle w:val="NormalHanging12a"/>
      </w:pPr>
      <w:r w:rsidRPr="002F1BC8">
        <w:t>21.</w:t>
      </w:r>
      <w:r w:rsidRPr="002F1BC8">
        <w:tab/>
        <w:t>възлага на своя председател да предаде настоящата резолюция на Съвета, на Комисията, на правителствата и парламентите на държавите членки, на генералния директор на Световната търговска организация и на Интерпарламентарния съюз.</w:t>
      </w:r>
    </w:p>
    <w:p w:rsidR="006655FA" w:rsidRPr="002F1BC8" w:rsidRDefault="006655FA" w:rsidP="006655FA">
      <w:pPr>
        <w:pStyle w:val="NormalHanging12a"/>
      </w:pPr>
    </w:p>
    <w:p w:rsidR="00E365E1" w:rsidRPr="002F1BC8" w:rsidRDefault="00E365E1" w:rsidP="006655FA"/>
    <w:sectPr w:rsidR="00E365E1" w:rsidRPr="002F1BC8" w:rsidSect="002F1BC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2376" w:rsidRPr="002F1BC8" w:rsidRDefault="00712376">
      <w:r w:rsidRPr="002F1BC8">
        <w:separator/>
      </w:r>
    </w:p>
  </w:endnote>
  <w:endnote w:type="continuationSeparator" w:id="0">
    <w:p w:rsidR="00712376" w:rsidRPr="002F1BC8" w:rsidRDefault="00712376">
      <w:r w:rsidRPr="002F1BC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PMingLiU">
    <w:altName w:val="新細明體"/>
    <w:panose1 w:val="02010601000101010101"/>
    <w:charset w:val="88"/>
    <w:family w:val="roman"/>
    <w:pitch w:val="variable"/>
    <w:sig w:usb0="00000000"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F1BC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F1BC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F1BC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2376" w:rsidRPr="002F1BC8" w:rsidRDefault="00712376">
      <w:r w:rsidRPr="002F1BC8">
        <w:separator/>
      </w:r>
    </w:p>
  </w:footnote>
  <w:footnote w:type="continuationSeparator" w:id="0">
    <w:p w:rsidR="00712376" w:rsidRPr="002F1BC8" w:rsidRDefault="00712376">
      <w:r w:rsidRPr="002F1BC8">
        <w:continuationSeparator/>
      </w:r>
    </w:p>
  </w:footnote>
  <w:footnote w:id="1">
    <w:p w:rsidR="006655FA" w:rsidRPr="005A3326" w:rsidRDefault="006655FA" w:rsidP="002F1BC8">
      <w:pPr>
        <w:pStyle w:val="FootnoteText"/>
        <w:ind w:left="567" w:hanging="567"/>
        <w:rPr>
          <w:rStyle w:val="FootnoteReference"/>
          <w:sz w:val="24"/>
          <w:szCs w:val="24"/>
          <w:vertAlign w:val="baseline"/>
          <w:lang w:val="bg-BG"/>
        </w:rPr>
      </w:pPr>
      <w:r w:rsidRPr="005A3326">
        <w:rPr>
          <w:rStyle w:val="FootnoteReference"/>
          <w:sz w:val="24"/>
          <w:szCs w:val="24"/>
          <w:lang w:val="bg-BG"/>
        </w:rPr>
        <w:footnoteRef/>
      </w:r>
      <w:r w:rsidR="002F1BC8" w:rsidRPr="005A3326">
        <w:rPr>
          <w:sz w:val="24"/>
          <w:szCs w:val="24"/>
          <w:vertAlign w:val="superscript"/>
          <w:lang w:val="bg-BG"/>
        </w:rPr>
        <w:t xml:space="preserve"> </w:t>
      </w:r>
      <w:r w:rsidR="002F1BC8" w:rsidRPr="005A3326">
        <w:rPr>
          <w:sz w:val="24"/>
          <w:szCs w:val="24"/>
          <w:lang w:val="bg-BG"/>
        </w:rPr>
        <w:tab/>
      </w:r>
      <w:r w:rsidRPr="005A3326">
        <w:rPr>
          <w:rStyle w:val="FootnoteReference"/>
          <w:sz w:val="24"/>
          <w:szCs w:val="24"/>
          <w:vertAlign w:val="baseline"/>
          <w:lang w:val="bg-BG"/>
        </w:rPr>
        <w:t>Министерска декларация от Доха (WT/MIN(01)/DEC/1) от 14</w:t>
      </w:r>
      <w:r w:rsidRPr="005A3326">
        <w:rPr>
          <w:sz w:val="24"/>
          <w:szCs w:val="24"/>
          <w:lang w:val="bg-BG"/>
        </w:rPr>
        <w:t> </w:t>
      </w:r>
      <w:r w:rsidRPr="005A3326">
        <w:rPr>
          <w:rStyle w:val="FootnoteReference"/>
          <w:sz w:val="24"/>
          <w:szCs w:val="24"/>
          <w:vertAlign w:val="baseline"/>
          <w:lang w:val="bg-BG"/>
        </w:rPr>
        <w:t>ноември</w:t>
      </w:r>
      <w:bookmarkStart w:id="7" w:name="_GoBack"/>
      <w:bookmarkEnd w:id="7"/>
      <w:r w:rsidRPr="005A3326">
        <w:rPr>
          <w:sz w:val="24"/>
          <w:szCs w:val="24"/>
          <w:lang w:val="bg-BG"/>
        </w:rPr>
        <w:t> </w:t>
      </w:r>
      <w:r w:rsidRPr="005A3326">
        <w:rPr>
          <w:rStyle w:val="FootnoteReference"/>
          <w:sz w:val="24"/>
          <w:szCs w:val="24"/>
          <w:vertAlign w:val="baseline"/>
          <w:lang w:val="bg-BG"/>
        </w:rPr>
        <w:t>2001 г.</w:t>
      </w:r>
    </w:p>
  </w:footnote>
  <w:footnote w:id="2">
    <w:p w:rsidR="006655FA" w:rsidRPr="005A3326" w:rsidRDefault="006655FA" w:rsidP="002F1BC8">
      <w:pPr>
        <w:pStyle w:val="FootnoteText"/>
        <w:ind w:left="567" w:hanging="567"/>
        <w:rPr>
          <w:rStyle w:val="FootnoteReference"/>
          <w:sz w:val="24"/>
          <w:szCs w:val="24"/>
          <w:vertAlign w:val="baseline"/>
          <w:lang w:val="bg-BG"/>
        </w:rPr>
      </w:pPr>
      <w:r w:rsidRPr="005A3326">
        <w:rPr>
          <w:rStyle w:val="FootnoteReference"/>
          <w:sz w:val="24"/>
          <w:szCs w:val="24"/>
          <w:lang w:val="bg-BG"/>
        </w:rPr>
        <w:footnoteRef/>
      </w:r>
      <w:r w:rsidR="002F1BC8" w:rsidRPr="005A3326">
        <w:rPr>
          <w:sz w:val="24"/>
          <w:szCs w:val="24"/>
          <w:vertAlign w:val="superscript"/>
          <w:lang w:val="bg-BG"/>
        </w:rPr>
        <w:t xml:space="preserve"> </w:t>
      </w:r>
      <w:r w:rsidR="002F1BC8" w:rsidRPr="005A3326">
        <w:rPr>
          <w:sz w:val="24"/>
          <w:szCs w:val="24"/>
          <w:lang w:val="bg-BG"/>
        </w:rPr>
        <w:tab/>
      </w:r>
      <w:r w:rsidRPr="005A3326">
        <w:rPr>
          <w:rStyle w:val="FootnoteReference"/>
          <w:sz w:val="24"/>
          <w:szCs w:val="24"/>
          <w:vertAlign w:val="baseline"/>
          <w:lang w:val="bg-BG"/>
        </w:rPr>
        <w:t>ОВ C 224, 8.6.2022 г., стр. 89.</w:t>
      </w:r>
    </w:p>
  </w:footnote>
  <w:footnote w:id="3">
    <w:p w:rsidR="006655FA" w:rsidRPr="005A3326" w:rsidRDefault="006655FA" w:rsidP="002F1BC8">
      <w:pPr>
        <w:pStyle w:val="FootnoteText"/>
        <w:ind w:left="567" w:hanging="567"/>
        <w:rPr>
          <w:rStyle w:val="FootnoteReference"/>
          <w:sz w:val="24"/>
          <w:szCs w:val="24"/>
          <w:vertAlign w:val="baseline"/>
          <w:lang w:val="bg-BG"/>
        </w:rPr>
      </w:pPr>
      <w:r w:rsidRPr="005A3326">
        <w:rPr>
          <w:rStyle w:val="FootnoteReference"/>
          <w:sz w:val="24"/>
          <w:szCs w:val="24"/>
          <w:lang w:val="bg-BG"/>
        </w:rPr>
        <w:footnoteRef/>
      </w:r>
      <w:r w:rsidR="002F1BC8" w:rsidRPr="005A3326">
        <w:rPr>
          <w:sz w:val="24"/>
          <w:szCs w:val="24"/>
          <w:vertAlign w:val="superscript"/>
          <w:lang w:val="bg-BG"/>
        </w:rPr>
        <w:t xml:space="preserve"> </w:t>
      </w:r>
      <w:r w:rsidR="002F1BC8" w:rsidRPr="005A3326">
        <w:rPr>
          <w:sz w:val="24"/>
          <w:szCs w:val="24"/>
          <w:lang w:val="bg-BG"/>
        </w:rPr>
        <w:tab/>
      </w:r>
      <w:r w:rsidRPr="005A3326">
        <w:rPr>
          <w:rStyle w:val="FootnoteReference"/>
          <w:sz w:val="24"/>
          <w:szCs w:val="24"/>
          <w:vertAlign w:val="baseline"/>
          <w:lang w:val="bg-BG"/>
        </w:rPr>
        <w:t>ОВ C 363, 28.10.2020 г., стр. 113.</w:t>
      </w:r>
    </w:p>
  </w:footnote>
  <w:footnote w:id="4">
    <w:p w:rsidR="006655FA" w:rsidRPr="005A3326" w:rsidRDefault="006655FA" w:rsidP="002F1BC8">
      <w:pPr>
        <w:pStyle w:val="FootnoteText"/>
        <w:ind w:left="567" w:hanging="567"/>
        <w:rPr>
          <w:rStyle w:val="FootnoteReference"/>
          <w:sz w:val="24"/>
          <w:szCs w:val="24"/>
          <w:vertAlign w:val="baseline"/>
          <w:lang w:val="bg-BG"/>
        </w:rPr>
      </w:pPr>
      <w:r w:rsidRPr="005A3326">
        <w:rPr>
          <w:rStyle w:val="FootnoteReference"/>
          <w:sz w:val="24"/>
          <w:szCs w:val="24"/>
          <w:lang w:val="bg-BG"/>
        </w:rPr>
        <w:footnoteRef/>
      </w:r>
      <w:r w:rsidR="002F1BC8" w:rsidRPr="005A3326">
        <w:rPr>
          <w:sz w:val="24"/>
          <w:szCs w:val="24"/>
          <w:vertAlign w:val="superscript"/>
          <w:lang w:val="bg-BG"/>
        </w:rPr>
        <w:t xml:space="preserve"> </w:t>
      </w:r>
      <w:r w:rsidR="002F1BC8" w:rsidRPr="005A3326">
        <w:rPr>
          <w:sz w:val="24"/>
          <w:szCs w:val="24"/>
          <w:lang w:val="bg-BG"/>
        </w:rPr>
        <w:tab/>
      </w:r>
      <w:r w:rsidRPr="005A3326">
        <w:rPr>
          <w:rStyle w:val="FootnoteReference"/>
          <w:sz w:val="24"/>
          <w:szCs w:val="24"/>
          <w:vertAlign w:val="baseline"/>
          <w:lang w:val="bg-BG"/>
        </w:rPr>
        <w:t>OВ C 232, 16.6.2021 г., стр. 62.</w:t>
      </w:r>
    </w:p>
  </w:footnote>
  <w:footnote w:id="5">
    <w:p w:rsidR="006655FA" w:rsidRPr="005A3326" w:rsidRDefault="006655FA" w:rsidP="002F1BC8">
      <w:pPr>
        <w:pStyle w:val="FootnoteText"/>
        <w:ind w:left="567" w:hanging="567"/>
        <w:rPr>
          <w:rStyle w:val="FootnoteReference"/>
          <w:sz w:val="24"/>
          <w:szCs w:val="24"/>
          <w:vertAlign w:val="baseline"/>
          <w:lang w:val="bg-BG"/>
        </w:rPr>
      </w:pPr>
      <w:r w:rsidRPr="005A3326">
        <w:rPr>
          <w:rStyle w:val="FootnoteReference"/>
          <w:sz w:val="24"/>
          <w:szCs w:val="24"/>
          <w:lang w:val="bg-BG"/>
        </w:rPr>
        <w:footnoteRef/>
      </w:r>
      <w:r w:rsidR="002F1BC8" w:rsidRPr="005A3326">
        <w:rPr>
          <w:sz w:val="24"/>
          <w:szCs w:val="24"/>
          <w:vertAlign w:val="superscript"/>
          <w:lang w:val="bg-BG"/>
        </w:rPr>
        <w:t xml:space="preserve"> </w:t>
      </w:r>
      <w:r w:rsidR="002F1BC8" w:rsidRPr="005A3326">
        <w:rPr>
          <w:sz w:val="24"/>
          <w:szCs w:val="24"/>
          <w:lang w:val="bg-BG"/>
        </w:rPr>
        <w:tab/>
      </w:r>
      <w:r w:rsidR="00E80800">
        <w:fldChar w:fldCharType="begin"/>
      </w:r>
      <w:r w:rsidR="00E80800" w:rsidRPr="00E80800">
        <w:rPr>
          <w:lang w:val="bg-BG"/>
        </w:rPr>
        <w:instrText xml:space="preserve"> </w:instrText>
      </w:r>
      <w:r w:rsidR="00E80800">
        <w:instrText>HYPERLINK</w:instrText>
      </w:r>
      <w:r w:rsidR="00E80800" w:rsidRPr="00E80800">
        <w:rPr>
          <w:lang w:val="bg-BG"/>
        </w:rPr>
        <w:instrText xml:space="preserve"> "</w:instrText>
      </w:r>
      <w:r w:rsidR="00E80800">
        <w:instrText>https</w:instrText>
      </w:r>
      <w:r w:rsidR="00E80800" w:rsidRPr="00E80800">
        <w:rPr>
          <w:lang w:val="bg-BG"/>
        </w:rPr>
        <w:instrText>://</w:instrText>
      </w:r>
      <w:r w:rsidR="00E80800">
        <w:instrText>www</w:instrText>
      </w:r>
      <w:r w:rsidR="00E80800" w:rsidRPr="00E80800">
        <w:rPr>
          <w:lang w:val="bg-BG"/>
        </w:rPr>
        <w:instrText>.</w:instrText>
      </w:r>
      <w:r w:rsidR="00E80800">
        <w:instrText>europarl</w:instrText>
      </w:r>
      <w:r w:rsidR="00E80800" w:rsidRPr="00E80800">
        <w:rPr>
          <w:lang w:val="bg-BG"/>
        </w:rPr>
        <w:instrText>.</w:instrText>
      </w:r>
      <w:r w:rsidR="00E80800">
        <w:instrText>europa</w:instrText>
      </w:r>
      <w:r w:rsidR="00E80800" w:rsidRPr="00E80800">
        <w:rPr>
          <w:lang w:val="bg-BG"/>
        </w:rPr>
        <w:instrText>.</w:instrText>
      </w:r>
      <w:r w:rsidR="00E80800">
        <w:instrText>eu</w:instrText>
      </w:r>
      <w:r w:rsidR="00E80800" w:rsidRPr="00E80800">
        <w:rPr>
          <w:lang w:val="bg-BG"/>
        </w:rPr>
        <w:instrText>/</w:instrText>
      </w:r>
      <w:r w:rsidR="00E80800">
        <w:instrText>cmsdata</w:instrText>
      </w:r>
      <w:r w:rsidR="00E80800" w:rsidRPr="00E80800">
        <w:rPr>
          <w:lang w:val="bg-BG"/>
        </w:rPr>
        <w:instrText>/158345/</w:instrText>
      </w:r>
      <w:r w:rsidR="00E80800">
        <w:instrText>outcome</w:instrText>
      </w:r>
      <w:r w:rsidR="00E80800" w:rsidRPr="00E80800">
        <w:rPr>
          <w:lang w:val="bg-BG"/>
        </w:rPr>
        <w:instrText>_</w:instrText>
      </w:r>
      <w:r w:rsidR="00E80800">
        <w:instrText>document</w:instrText>
      </w:r>
      <w:r w:rsidR="00E80800" w:rsidRPr="00E80800">
        <w:rPr>
          <w:lang w:val="bg-BG"/>
        </w:rPr>
        <w:instrText>-</w:instrText>
      </w:r>
      <w:r w:rsidR="00E80800">
        <w:instrText>final</w:instrText>
      </w:r>
      <w:r w:rsidR="00E80800" w:rsidRPr="00E80800">
        <w:rPr>
          <w:lang w:val="bg-BG"/>
        </w:rPr>
        <w:instrText>-</w:instrText>
      </w:r>
      <w:r w:rsidR="00E80800">
        <w:instrText>e</w:instrText>
      </w:r>
      <w:r w:rsidR="00E80800" w:rsidRPr="00E80800">
        <w:rPr>
          <w:lang w:val="bg-BG"/>
        </w:rPr>
        <w:instrText>.</w:instrText>
      </w:r>
      <w:r w:rsidR="00E80800">
        <w:instrText>pdf</w:instrText>
      </w:r>
      <w:r w:rsidR="00E80800" w:rsidRPr="00E80800">
        <w:rPr>
          <w:lang w:val="bg-BG"/>
        </w:rPr>
        <w:instrText xml:space="preserve">" </w:instrText>
      </w:r>
      <w:r w:rsidR="00E80800">
        <w:fldChar w:fldCharType="separate"/>
      </w:r>
      <w:r w:rsidRPr="005A3326">
        <w:rPr>
          <w:rStyle w:val="FootnoteReference"/>
          <w:sz w:val="24"/>
          <w:szCs w:val="24"/>
          <w:vertAlign w:val="baseline"/>
          <w:lang w:val="bg-BG"/>
        </w:rPr>
        <w:t>https://www.europarl.europa.eu/cmsdata/158345/outcome_document-final-e.pdf</w:t>
      </w:r>
      <w:r w:rsidR="00E80800">
        <w:rPr>
          <w:rStyle w:val="FootnoteReference"/>
          <w:sz w:val="24"/>
          <w:szCs w:val="24"/>
          <w:vertAlign w:val="baseline"/>
          <w:lang w:val="bg-BG"/>
        </w:rPr>
        <w:fldChar w:fldCharType="end"/>
      </w:r>
      <w:r w:rsidRPr="005A3326">
        <w:rPr>
          <w:sz w:val="24"/>
          <w:szCs w:val="24"/>
          <w:lang w:val="bg-BG"/>
        </w:rPr>
        <w:t>.</w:t>
      </w:r>
    </w:p>
  </w:footnote>
  <w:footnote w:id="6">
    <w:p w:rsidR="006655FA" w:rsidRPr="005A3326" w:rsidRDefault="006655FA" w:rsidP="002F1BC8">
      <w:pPr>
        <w:pStyle w:val="FootnoteText"/>
        <w:ind w:left="567" w:hanging="567"/>
        <w:rPr>
          <w:sz w:val="24"/>
          <w:szCs w:val="24"/>
          <w:lang w:val="bg-BG"/>
        </w:rPr>
      </w:pPr>
      <w:r w:rsidRPr="005A3326">
        <w:rPr>
          <w:rStyle w:val="FootnoteReference"/>
          <w:sz w:val="24"/>
          <w:szCs w:val="24"/>
          <w:lang w:val="bg-BG"/>
        </w:rPr>
        <w:footnoteRef/>
      </w:r>
      <w:r w:rsidR="002F1BC8" w:rsidRPr="005A3326">
        <w:rPr>
          <w:sz w:val="24"/>
          <w:szCs w:val="24"/>
          <w:vertAlign w:val="superscript"/>
          <w:lang w:val="bg-BG"/>
        </w:rPr>
        <w:t xml:space="preserve"> </w:t>
      </w:r>
      <w:r w:rsidR="002F1BC8" w:rsidRPr="005A3326">
        <w:rPr>
          <w:sz w:val="24"/>
          <w:szCs w:val="24"/>
          <w:lang w:val="bg-BG"/>
        </w:rPr>
        <w:tab/>
      </w:r>
      <w:r w:rsidRPr="005A3326">
        <w:rPr>
          <w:rStyle w:val="FootnoteReference"/>
          <w:sz w:val="24"/>
          <w:szCs w:val="24"/>
          <w:vertAlign w:val="baseline"/>
          <w:lang w:val="bg-BG"/>
        </w:rPr>
        <w:t>https://www.europarl.europa.eu/cmsdata/231517/2017_PCWTO_outcome_EN.pdf.</w:t>
      </w:r>
      <w:r w:rsidRPr="005A3326">
        <w:rPr>
          <w:sz w:val="24"/>
          <w:szCs w:val="24"/>
          <w:lang w:val="bg-BG"/>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F1BC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F1BC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F1BC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90/2024"/>
    <w:docVar w:name="dvlangue" w:val="BG"/>
    <w:docVar w:name="dvnumam" w:val="0"/>
    <w:docVar w:name="dvpe" w:val="753.647"/>
    <w:docVar w:name="dvtitre" w:val="Резолюция на Европейския парламент от ... 2024 г. относно многостранните преговори с оглед на 13-ата Министерска конференция на СТО в Абу Даби, 26 – 29 февруари 2024 г.(2023/2868(RSP))"/>
  </w:docVars>
  <w:rsids>
    <w:rsidRoot w:val="00712376"/>
    <w:rsid w:val="00002272"/>
    <w:rsid w:val="00064002"/>
    <w:rsid w:val="000677B9"/>
    <w:rsid w:val="000831BA"/>
    <w:rsid w:val="000A42CC"/>
    <w:rsid w:val="000E7DD9"/>
    <w:rsid w:val="0010095E"/>
    <w:rsid w:val="00125B37"/>
    <w:rsid w:val="00187494"/>
    <w:rsid w:val="001F32AE"/>
    <w:rsid w:val="002767FF"/>
    <w:rsid w:val="002B18FE"/>
    <w:rsid w:val="002B5493"/>
    <w:rsid w:val="002F1BC8"/>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47A41"/>
    <w:rsid w:val="00560270"/>
    <w:rsid w:val="005A3326"/>
    <w:rsid w:val="005C2568"/>
    <w:rsid w:val="006037C0"/>
    <w:rsid w:val="006631B6"/>
    <w:rsid w:val="006655FA"/>
    <w:rsid w:val="00680577"/>
    <w:rsid w:val="006F74FA"/>
    <w:rsid w:val="00712376"/>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0800"/>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8BE51F"/>
  <w15:chartTrackingRefBased/>
  <w15:docId w15:val="{37AB1F37-5FF8-418C-8E1D-E53BA0706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655FA"/>
    <w:pPr>
      <w:spacing w:before="480" w:after="240"/>
    </w:pPr>
  </w:style>
  <w:style w:type="paragraph" w:customStyle="1" w:styleId="NormalHanging12a">
    <w:name w:val="NormalHanging12a"/>
    <w:basedOn w:val="Normal"/>
    <w:link w:val="NormalHanging12aChar"/>
    <w:rsid w:val="006655FA"/>
    <w:pPr>
      <w:spacing w:after="240"/>
      <w:ind w:left="567" w:hanging="567"/>
    </w:pPr>
  </w:style>
  <w:style w:type="character" w:customStyle="1" w:styleId="NormalHanging12aChar">
    <w:name w:val="NormalHanging12a Char"/>
    <w:basedOn w:val="DefaultParagraphFont"/>
    <w:link w:val="NormalHanging12a"/>
    <w:locked/>
    <w:rsid w:val="006655FA"/>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ED22B6-A2D0-411B-A806-B872FA3A23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3830</Words>
  <Characters>22691</Characters>
  <Application>Microsoft Office Word</Application>
  <DocSecurity>4</DocSecurity>
  <Lines>189</Lines>
  <Paragraphs>52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Lukas Lemcke</cp:lastModifiedBy>
  <cp:revision>2</cp:revision>
  <cp:lastPrinted>2004-11-19T15:42:00Z</cp:lastPrinted>
  <dcterms:created xsi:type="dcterms:W3CDTF">2024-06-14T09:20:00Z</dcterms:created>
  <dcterms:modified xsi:type="dcterms:W3CDTF">2024-06-14T09:20:00Z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B9-0090/2024</vt:lpwstr>
  </property>
  <property fmtid="{D5CDD505-2E9C-101B-9397-08002B2CF9AE}" pid="4" name="&lt;Type&gt;">
    <vt:lpwstr>RR</vt:lpwstr>
  </property>
</Properties>
</file>