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68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6869" w:rsidRDefault="00100427" w:rsidP="0010095E">
            <w:pPr>
              <w:pStyle w:val="EPName"/>
            </w:pPr>
            <w:r w:rsidRPr="005C6869">
              <w:t>Evropský parlament</w:t>
            </w:r>
          </w:p>
          <w:p w:rsidR="00751A4A" w:rsidRPr="005C68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686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6869" w:rsidRDefault="00187494" w:rsidP="0010095E">
            <w:pPr>
              <w:pStyle w:val="EPLogo"/>
            </w:pPr>
            <w:r w:rsidRPr="005C68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6869" w:rsidRDefault="00D058B8" w:rsidP="004C5D52">
      <w:pPr>
        <w:pStyle w:val="LineTop"/>
      </w:pPr>
    </w:p>
    <w:p w:rsidR="00680577" w:rsidRPr="005C6869" w:rsidRDefault="00100427" w:rsidP="00680577">
      <w:pPr>
        <w:pStyle w:val="EPBodyTA1"/>
      </w:pPr>
      <w:r w:rsidRPr="005C6869">
        <w:t>PŘIJATÉ TEXTY</w:t>
      </w:r>
    </w:p>
    <w:p w:rsidR="00D058B8" w:rsidRPr="005C6869" w:rsidRDefault="00D058B8" w:rsidP="00D058B8">
      <w:pPr>
        <w:pStyle w:val="LineBottom"/>
      </w:pPr>
    </w:p>
    <w:p w:rsidR="00100427" w:rsidRPr="005C6869" w:rsidRDefault="00100427" w:rsidP="00100427">
      <w:pPr>
        <w:pStyle w:val="ATHeading1"/>
      </w:pPr>
      <w:bookmarkStart w:id="0" w:name="TANumber"/>
      <w:r w:rsidRPr="005C6869">
        <w:t>P9_TA(2024)00</w:t>
      </w:r>
      <w:bookmarkEnd w:id="0"/>
      <w:r w:rsidR="00E54413">
        <w:t>78</w:t>
      </w:r>
    </w:p>
    <w:p w:rsidR="00100427" w:rsidRPr="005C6869" w:rsidRDefault="00200E30" w:rsidP="00200E30">
      <w:pPr>
        <w:pStyle w:val="ATHeading2"/>
      </w:pPr>
      <w:r w:rsidRPr="008838C5">
        <w:t>Vícestranná jednání</w:t>
      </w:r>
      <w:r>
        <w:t xml:space="preserve"> s ohledem na 13. Konferenci ministrů WTO v Abú Dhabí ve dnech </w:t>
      </w:r>
      <w:proofErr w:type="gramStart"/>
      <w:r>
        <w:t>26.–29</w:t>
      </w:r>
      <w:proofErr w:type="gramEnd"/>
      <w:r>
        <w:t>. února 2024</w:t>
      </w:r>
    </w:p>
    <w:p w:rsidR="00100427" w:rsidRPr="005C6869" w:rsidRDefault="00100427" w:rsidP="00100427">
      <w:pPr>
        <w:rPr>
          <w:i/>
          <w:vanish/>
        </w:rPr>
      </w:pPr>
      <w:r w:rsidRPr="005C6869">
        <w:rPr>
          <w:i/>
        </w:rPr>
        <w:fldChar w:fldCharType="begin"/>
      </w:r>
      <w:r w:rsidRPr="005C6869">
        <w:rPr>
          <w:i/>
        </w:rPr>
        <w:instrText xml:space="preserve"> TC"(</w:instrText>
      </w:r>
      <w:bookmarkStart w:id="1" w:name="DocNumber"/>
      <w:r w:rsidRPr="005C6869">
        <w:rPr>
          <w:i/>
        </w:rPr>
        <w:instrText>B9-0090/2024</w:instrText>
      </w:r>
      <w:bookmarkEnd w:id="1"/>
      <w:r w:rsidRPr="005C6869">
        <w:rPr>
          <w:i/>
        </w:rPr>
        <w:instrText xml:space="preserve">)"\l3 \n&gt; \* MERGEFORMAT </w:instrText>
      </w:r>
      <w:r w:rsidRPr="005C6869">
        <w:rPr>
          <w:i/>
        </w:rPr>
        <w:fldChar w:fldCharType="end"/>
      </w:r>
    </w:p>
    <w:p w:rsidR="00100427" w:rsidRPr="005C6869" w:rsidRDefault="00100427" w:rsidP="00100427">
      <w:pPr>
        <w:rPr>
          <w:vanish/>
        </w:rPr>
      </w:pPr>
      <w:bookmarkStart w:id="2" w:name="PE"/>
      <w:r w:rsidRPr="005C6869">
        <w:rPr>
          <w:vanish/>
        </w:rPr>
        <w:t>PE753.647</w:t>
      </w:r>
      <w:bookmarkEnd w:id="2"/>
    </w:p>
    <w:p w:rsidR="00100427" w:rsidRPr="005C6869" w:rsidRDefault="00100427" w:rsidP="00100427">
      <w:pPr>
        <w:pStyle w:val="ATHeading3"/>
      </w:pPr>
      <w:bookmarkStart w:id="3" w:name="Sujet"/>
      <w:r w:rsidRPr="005C6869">
        <w:t xml:space="preserve">Usnesení </w:t>
      </w:r>
      <w:r w:rsidR="00200E30">
        <w:t>Evropského parla</w:t>
      </w:r>
      <w:bookmarkStart w:id="4" w:name="_GoBack"/>
      <w:bookmarkEnd w:id="4"/>
      <w:r w:rsidR="00200E30">
        <w:t>mentu ze dne 8</w:t>
      </w:r>
      <w:r w:rsidR="005140E3">
        <w:t>. února</w:t>
      </w:r>
      <w:r w:rsidRPr="005C6869">
        <w:t xml:space="preserve"> 2024 o vícestranných jednáních s ohledem na 13. zasedání Konference ministrů Světové obchodní organizace (WTO) v Abú Dhabí ve dnech </w:t>
      </w:r>
      <w:proofErr w:type="gramStart"/>
      <w:r w:rsidRPr="005C6869">
        <w:t>26.–29</w:t>
      </w:r>
      <w:proofErr w:type="gramEnd"/>
      <w:r w:rsidRPr="005C6869">
        <w:t>. února 2024</w:t>
      </w:r>
      <w:bookmarkEnd w:id="3"/>
      <w:r w:rsidRPr="005C6869">
        <w:t xml:space="preserve"> </w:t>
      </w:r>
      <w:bookmarkStart w:id="5" w:name="References"/>
      <w:r w:rsidRPr="005C6869">
        <w:t>(2023/2868(RSP))</w:t>
      </w:r>
      <w:bookmarkEnd w:id="5"/>
    </w:p>
    <w:p w:rsidR="00C16EE5" w:rsidRPr="005C6869" w:rsidRDefault="00C16EE5" w:rsidP="00C16EE5">
      <w:pPr>
        <w:pStyle w:val="EPComma"/>
      </w:pPr>
      <w:bookmarkStart w:id="6" w:name="TextBodyBegin"/>
      <w:bookmarkEnd w:id="6"/>
      <w:r w:rsidRPr="005C6869">
        <w:rPr>
          <w:i/>
        </w:rPr>
        <w:t>Evropský parlament</w:t>
      </w:r>
      <w:r w:rsidRPr="005C6869">
        <w:t>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>s ohledem na Marrákešskou dohodu ze dne 15. dubna 1994 o zřízení Světové obchodní organizace (WTO),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>s ohledem na prohlášení ministrů z Dohá přijaté na úrovni WTO dne 14. listopadu 2001</w:t>
      </w:r>
      <w:r w:rsidRPr="005C6869">
        <w:rPr>
          <w:rStyle w:val="FootnoteReference"/>
          <w:color w:val="000000"/>
          <w:szCs w:val="24"/>
        </w:rPr>
        <w:footnoteReference w:id="1"/>
      </w:r>
      <w:r w:rsidRPr="005C6869">
        <w:t>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>s ohledem na svá předchozí usnesení o WTO, zejména na usnesení ze dne 25. listopadu 2021 o vícestranných jednáních s ohledem na 12. zasedání Konference ministrů WTO</w:t>
      </w:r>
      <w:r w:rsidRPr="005C6869">
        <w:rPr>
          <w:rStyle w:val="FootnoteReference"/>
          <w:color w:val="000000"/>
          <w:szCs w:val="24"/>
        </w:rPr>
        <w:footnoteReference w:id="2"/>
      </w:r>
      <w:r w:rsidRPr="005C6869">
        <w:t>, na usnesení ze dne 29. listopadu 2018 nazvané „Světová obchodní organizace: další postup“</w:t>
      </w:r>
      <w:r w:rsidRPr="005C6869">
        <w:rPr>
          <w:rStyle w:val="FootnoteReference"/>
          <w:color w:val="000000"/>
          <w:szCs w:val="24"/>
        </w:rPr>
        <w:footnoteReference w:id="3"/>
      </w:r>
      <w:r w:rsidRPr="005C6869">
        <w:t xml:space="preserve"> a usnesení ze dne 28. listopadu 2019 o krizi Odvolacího orgánu WTO</w:t>
      </w:r>
      <w:r w:rsidRPr="005C6869">
        <w:rPr>
          <w:rStyle w:val="FootnoteReference"/>
          <w:color w:val="000000"/>
          <w:szCs w:val="24"/>
        </w:rPr>
        <w:footnoteReference w:id="4"/>
      </w:r>
      <w:r w:rsidRPr="005C6869">
        <w:t>,</w:t>
      </w:r>
    </w:p>
    <w:p w:rsidR="00C16EE5" w:rsidRPr="005C6869" w:rsidRDefault="00C16EE5" w:rsidP="00C16EE5">
      <w:pPr>
        <w:pStyle w:val="NormalHanging12a"/>
        <w:rPr>
          <w:color w:val="000000"/>
        </w:rPr>
      </w:pPr>
      <w:r w:rsidRPr="005C6869">
        <w:t>–</w:t>
      </w:r>
      <w:r w:rsidRPr="005C6869">
        <w:tab/>
        <w:t>s ohledem na výsledné dokumenty o WTO přijaté na základě konsenzu na výročních zasedáních Parlamentní konference dne 7. prosince 2018 v Ženevě</w:t>
      </w:r>
      <w:r w:rsidRPr="005C6869">
        <w:rPr>
          <w:rStyle w:val="FootnoteReference"/>
          <w:color w:val="000000"/>
          <w:szCs w:val="24"/>
        </w:rPr>
        <w:footnoteReference w:id="5"/>
      </w:r>
      <w:r w:rsidRPr="005C6869">
        <w:t xml:space="preserve"> a dne 10. prosince 2017 v Buenos Aires</w:t>
      </w:r>
      <w:r w:rsidRPr="005C6869">
        <w:rPr>
          <w:rStyle w:val="FootnoteReference"/>
          <w:color w:val="000000"/>
          <w:szCs w:val="24"/>
        </w:rPr>
        <w:footnoteReference w:id="6"/>
      </w:r>
      <w:r w:rsidRPr="005C6869">
        <w:t>,</w:t>
      </w:r>
    </w:p>
    <w:p w:rsidR="00C16EE5" w:rsidRPr="005C6869" w:rsidRDefault="00C16EE5" w:rsidP="00C16EE5">
      <w:pPr>
        <w:pStyle w:val="NormalHanging12a"/>
        <w:rPr>
          <w:color w:val="000000"/>
        </w:rPr>
      </w:pPr>
      <w:r w:rsidRPr="005C6869">
        <w:rPr>
          <w:color w:val="000000"/>
        </w:rPr>
        <w:t>–</w:t>
      </w:r>
      <w:r w:rsidRPr="005C6869">
        <w:rPr>
          <w:color w:val="000000"/>
        </w:rPr>
        <w:tab/>
        <w:t>s ohledem na výsledky 12. zasedání Konference ministrů WTO konaného v Ženevě v červnu 2022, které zahrnují výsledný dokument, řadu ministerských rozhodnutí a prohlášení a Dohodu o subvencích na rybolov,</w:t>
      </w:r>
    </w:p>
    <w:p w:rsidR="00C16EE5" w:rsidRPr="005C6869" w:rsidRDefault="00C16EE5" w:rsidP="00C16EE5">
      <w:pPr>
        <w:pStyle w:val="NormalHanging12a"/>
        <w:rPr>
          <w:color w:val="000000"/>
        </w:rPr>
      </w:pPr>
      <w:r w:rsidRPr="005C6869">
        <w:rPr>
          <w:color w:val="000000"/>
        </w:rPr>
        <w:t>–</w:t>
      </w:r>
      <w:r w:rsidRPr="005C6869">
        <w:rPr>
          <w:color w:val="000000"/>
        </w:rPr>
        <w:tab/>
        <w:t xml:space="preserve">s ohledem na výsledky 11. zasedání Konference ministrů WTO konaného v Buenos Aires v prosinci 2017, které zahrnují řadu ministerských rozhodnutí a společných prohlášení o elektronickém obchodu, usnadnění investic, regulaci vnitrostátních služeb </w:t>
      </w:r>
      <w:r w:rsidRPr="005C6869">
        <w:rPr>
          <w:color w:val="000000"/>
        </w:rPr>
        <w:lastRenderedPageBreak/>
        <w:t xml:space="preserve">a o </w:t>
      </w:r>
      <w:proofErr w:type="spellStart"/>
      <w:r w:rsidRPr="005C6869">
        <w:rPr>
          <w:color w:val="000000"/>
        </w:rPr>
        <w:t>mikropodnicích</w:t>
      </w:r>
      <w:proofErr w:type="spellEnd"/>
      <w:r w:rsidRPr="005C6869">
        <w:rPr>
          <w:color w:val="000000"/>
        </w:rPr>
        <w:t xml:space="preserve"> a malých a středních podnicích,</w:t>
      </w:r>
    </w:p>
    <w:p w:rsidR="00C16EE5" w:rsidRPr="005C6869" w:rsidRDefault="00C16EE5" w:rsidP="00C16EE5">
      <w:pPr>
        <w:pStyle w:val="NormalHanging12a"/>
        <w:rPr>
          <w:color w:val="000000"/>
        </w:rPr>
      </w:pPr>
      <w:r w:rsidRPr="005C6869">
        <w:rPr>
          <w:color w:val="000000"/>
        </w:rPr>
        <w:t>–</w:t>
      </w:r>
      <w:r w:rsidRPr="005C6869">
        <w:rPr>
          <w:color w:val="000000"/>
        </w:rPr>
        <w:tab/>
        <w:t>s ohledem na prohlášení z Buenos Aires o obchodu a posílení hospodářského postavení žen schválené dne 12. prosince 2017 a na neformální pracovní skupinu pro obchod a gender zřízenou dne 23. září 2020,</w:t>
      </w:r>
    </w:p>
    <w:p w:rsidR="00C16EE5" w:rsidRPr="005C6869" w:rsidRDefault="00C16EE5" w:rsidP="00C16EE5">
      <w:pPr>
        <w:pStyle w:val="NormalHanging12a"/>
        <w:rPr>
          <w:color w:val="000000"/>
        </w:rPr>
      </w:pPr>
      <w:r w:rsidRPr="005C6869">
        <w:rPr>
          <w:color w:val="000000"/>
        </w:rPr>
        <w:t>–</w:t>
      </w:r>
      <w:r w:rsidRPr="005C6869">
        <w:rPr>
          <w:color w:val="000000"/>
        </w:rPr>
        <w:tab/>
      </w:r>
      <w:r w:rsidRPr="005C6869">
        <w:t>s ohledem na prohlášení ministrů zastupujících členy WTO ze dne 10. prosince 2021 o znečištění plasty a obchodu s environmentálně udržitelnými plasty, na prohlášení ze dne 14. prosince 2021 o obchodu a udržitelnosti životního prostředí a na prohlášení ze dne 14. prosince 2021 o dotacích na fosilní paliva,</w:t>
      </w:r>
    </w:p>
    <w:p w:rsidR="00C16EE5" w:rsidRPr="005C6869" w:rsidRDefault="00C16EE5" w:rsidP="00C16EE5">
      <w:pPr>
        <w:pStyle w:val="NormalHanging12a"/>
        <w:rPr>
          <w:color w:val="000000"/>
        </w:rPr>
      </w:pPr>
      <w:r w:rsidRPr="005C6869">
        <w:rPr>
          <w:color w:val="000000"/>
        </w:rPr>
        <w:t>–</w:t>
      </w:r>
      <w:r w:rsidRPr="005C6869">
        <w:rPr>
          <w:color w:val="000000"/>
        </w:rPr>
        <w:tab/>
        <w:t>s ohledem na cíle udržitelného rozvoje OSN,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>s ohledem na Pařížskou dohodu, která je součástí Rámcové úmluvy Organizace spojených národů o změně klimatu a jež nabyla účinnosti v listopadu 2016,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>s ohledem na sdělení Komise ze dne 18. února 2021 nazvané „Přezkum obchodní politiky – Otevřená, udržitelná a sebevědomá obchodní politika“ a na jeho přílohu s názvem „Reforma WTO: Na cestě k udržitelnému a účinnému mnohostrannému obchodnímu systému“ (</w:t>
      </w:r>
      <w:proofErr w:type="gramStart"/>
      <w:r w:rsidRPr="005C6869">
        <w:t>COM(2021</w:t>
      </w:r>
      <w:proofErr w:type="gramEnd"/>
      <w:r w:rsidRPr="005C6869">
        <w:t>)0066),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>s ohledem na čl. 132 odst. 2 jednacího řádu,</w:t>
      </w:r>
    </w:p>
    <w:p w:rsidR="00C16EE5" w:rsidRPr="005C6869" w:rsidRDefault="00C16EE5" w:rsidP="00C16EE5">
      <w:pPr>
        <w:pStyle w:val="NormalHanging12a"/>
        <w:widowControl/>
        <w:rPr>
          <w:szCs w:val="24"/>
        </w:rPr>
      </w:pPr>
      <w:r w:rsidRPr="005C6869">
        <w:t>–</w:t>
      </w:r>
      <w:r w:rsidRPr="005C6869">
        <w:tab/>
        <w:t xml:space="preserve">s ohledem na návrh </w:t>
      </w:r>
      <w:proofErr w:type="spellStart"/>
      <w:r w:rsidRPr="005C6869">
        <w:t>usneseníVýboru</w:t>
      </w:r>
      <w:proofErr w:type="spellEnd"/>
      <w:r w:rsidRPr="005C6869">
        <w:t xml:space="preserve"> pro mezinárodní obchod,</w:t>
      </w:r>
    </w:p>
    <w:p w:rsidR="00C16EE5" w:rsidRPr="005C6869" w:rsidRDefault="00C16EE5" w:rsidP="00C16EE5">
      <w:pPr>
        <w:pStyle w:val="NormalHanging12a"/>
      </w:pPr>
      <w:r w:rsidRPr="005C6869">
        <w:t>A.</w:t>
      </w:r>
      <w:r w:rsidRPr="005C6869">
        <w:tab/>
        <w:t>vzhledem k tomu, že WTO byla vytvořena za účelem další liberalizace obchodu se zbožím a službami, posílení multilateralismu a podpory spravedlivého, otevřeného, inkluzivního a nediskriminačního mnohostranného obchodního systému založeného na pravidlech s cílem zlepšit životní podmínky lidí na celém světě; vzhledem k tomu, že hlavním cílem obchodní politiky EU je přispívat k harmonickému rozvoji světového obchodu, postupnému odstraňování omezení v mezinárodním obchodu a v oblasti přímých zahraničních investic, ke snižování celních a jiných překážek a k zajištění blahobytu; vzhledem k tomu, že obchod je zásadně důležitým a hlavním nástrojem, který podporuje a doplňuje úsilí o dosažení udržitelného růstu a zlepšení životní úrovně, zajištění plné zaměstnanosti, kvalitnějších pracovních míst a velkého a trvale rostoucího objemu reálných příjmů v souladu s cílem udržitelného rozvoje, a který usiluje jak o ochranu a zachování životního prostředí, tak o posílení nástrojů ochrany v souladu s potřebami a zájmy jednotlivých zemí s různě rozvinutým hospodářstvím;</w:t>
      </w:r>
    </w:p>
    <w:p w:rsidR="00C16EE5" w:rsidRPr="005C6869" w:rsidRDefault="00C16EE5" w:rsidP="00C16EE5">
      <w:pPr>
        <w:pStyle w:val="NormalHanging12a"/>
      </w:pPr>
      <w:r w:rsidRPr="005C6869">
        <w:t>B.</w:t>
      </w:r>
      <w:r w:rsidRPr="005C6869">
        <w:tab/>
        <w:t>vzhledem k tomu, že silný, otevřený a inkluzivní mnohostranný obchodní systém by měl hrát ještě větší úlohu při plnění celosvětových cílů v oblasti změny klimatu a dosahování nulových čistých emisí, například směnou zboží, služeb a postupů nezbytných pro čisté technologie a oběhové hospodářství;</w:t>
      </w:r>
    </w:p>
    <w:p w:rsidR="00C16EE5" w:rsidRPr="005C6869" w:rsidRDefault="00C16EE5" w:rsidP="00C16EE5">
      <w:pPr>
        <w:pStyle w:val="NormalHanging12a"/>
      </w:pPr>
      <w:r w:rsidRPr="005C6869">
        <w:t>C.</w:t>
      </w:r>
      <w:r w:rsidRPr="005C6869">
        <w:tab/>
        <w:t xml:space="preserve">vzhledem k tomu, že mnohostranný obchodní systém založený na pravidlech je v současné době vystaven velkému tlaku kvůli geopolitickému napětí, které způsobila rozhodnutí a jednostranná opatření některých členů WTO, jakož i kvůli neodůvodněnému spoléhání některých členů na bezpečnostní výjimku Všeobecné dohody o clech a obchodu (GATT), což se již projevuje v roztříštěnějším a méně předvídatelném kontextu obchodní politiky; vzhledem k tomu, že 75 % obchodu se stále uskutečňuje na základě celních sazeb podle doložky nejvyšších výhod, což potvrzuje, že WTO je páteří světové ekonomiky; vzhledem k tomu, že z výsledku 12. zasedání </w:t>
      </w:r>
      <w:r w:rsidRPr="005C6869">
        <w:lastRenderedPageBreak/>
        <w:t>Konference ministrů WTO vyplývá, že WTO stále dokáže uzavírat mnohostranné dohody a reagovat na mimořádné situace;</w:t>
      </w:r>
    </w:p>
    <w:p w:rsidR="00C16EE5" w:rsidRPr="005C6869" w:rsidRDefault="00C16EE5" w:rsidP="00C16EE5">
      <w:pPr>
        <w:pStyle w:val="NormalHanging12a"/>
      </w:pPr>
      <w:r w:rsidRPr="005C6869">
        <w:t>D.</w:t>
      </w:r>
      <w:r w:rsidRPr="005C6869">
        <w:tab/>
        <w:t>vzhledem k tomu, že Dohoda WTO o subvencích na rybolov dohodnutá na 12. zasedání Konference ministrů WTO je vůbec první mnohostrannou obchodní dohodou, jejímž ústředním prvkem je udržitelnost životního prostředí a která stanoví závazný soubor celosvětových pravidel, jež mají pomoci omezit škodlivé státní dotace v odvětví rybolovu ve výši přibližně 22 miliard USD ročně, jak je stanoveno v cíli udržitelného rozvoje č. 14.6; vzhledem k tomu, že dohoda dosud neobsahuje pravidla týkající se subvencí na rybolov, které přispívají k nadměrné kapacitě a nadměrnému rybolovu, neboť o těchto pravidlech se stále ještě jedná;</w:t>
      </w:r>
    </w:p>
    <w:p w:rsidR="00C16EE5" w:rsidRPr="005C6869" w:rsidRDefault="00C16EE5" w:rsidP="00C16EE5">
      <w:pPr>
        <w:pStyle w:val="NormalHanging12a"/>
      </w:pPr>
      <w:r w:rsidRPr="005C6869">
        <w:t>E.</w:t>
      </w:r>
      <w:r w:rsidRPr="005C6869">
        <w:tab/>
        <w:t>vzhledem k tomu, že na 12. zasedání Konference ministrů WTO bylo dne 17. června 2022 přijato rozhodnutí, kterým se v rámci dohody o obchodních aspektech práv k duševnímu vlastnictví (TRIPS) poskytují omezené možnosti flexibility na výrobu a dodávky očkovacích látek proti onemocnění COVID-19 a kterým se zároveň odkládá rozhodnutí o rozšíření oblasti působnosti těchto možností flexibility na léčebné postupy a diagnostiku týkající se onemocnění COVID-19; vzhledem k tomu, že Rada WTO pro obchodní aspekty práv k duševnímu vlastnictví vede jednání o prodloužení výjimky z dohody TRIPS;</w:t>
      </w:r>
    </w:p>
    <w:p w:rsidR="00C16EE5" w:rsidRPr="005C6869" w:rsidRDefault="00C16EE5" w:rsidP="00C16EE5">
      <w:pPr>
        <w:pStyle w:val="NormalHanging12a"/>
      </w:pPr>
      <w:r w:rsidRPr="005C6869">
        <w:t>F.</w:t>
      </w:r>
      <w:r w:rsidRPr="005C6869">
        <w:tab/>
        <w:t>vzhledem k tomu, že zabezpečení potravin zůstává nesnadným úkolem, neboť 258 milionům lidí hrozil v roce 2022 akutní nedostatek potravin nebo se nacházeli v ještě horší situaci oproti 193 milionům osob v roce 2021; vzhledem k tomu, že dohoda o zemědělství z uruguayského kola jednání WTO výslovně uznává, že je důležité, aby se v probíhajících jednáních věnoval prostor otázce zabezpečení potravin; vzhledem k tomu, že obchod může zvýšit dostupnost potravin v regionech s omezenými zdroji a přispět ke zlepšení ekonomického přístupu k potravinám, neboť vytváří pracovní příležitosti a zvyšuje příjmy;</w:t>
      </w:r>
    </w:p>
    <w:p w:rsidR="00C16EE5" w:rsidRPr="005C6869" w:rsidRDefault="00C16EE5" w:rsidP="00C16EE5">
      <w:pPr>
        <w:pStyle w:val="NormalHanging12a"/>
      </w:pPr>
      <w:r w:rsidRPr="005C6869">
        <w:t>G.</w:t>
      </w:r>
      <w:r w:rsidRPr="005C6869">
        <w:tab/>
        <w:t>vzhledem k tomu, že členové WTO prokázali, že jsou odhodláni řešit nedostatek potravin a zajistit nouzovou potravinovou pomoc pro nejzranitelnější osoby, a to jak v ministerském prohlášení o nouzové reakci na nedostatek potravin, tak v ministerském rozhodnutí o vynětí humanitárních nákupů potravin Světového potravinového programu (WFP) ze zákazů nebo omezení vývozu, které bylo schváleno na 12. zasedání Konference ministrů WTO;</w:t>
      </w:r>
    </w:p>
    <w:p w:rsidR="00C16EE5" w:rsidRPr="005C6869" w:rsidRDefault="00C16EE5" w:rsidP="00C16EE5">
      <w:pPr>
        <w:pStyle w:val="NormalHanging12a"/>
      </w:pPr>
      <w:r w:rsidRPr="005C6869">
        <w:t>H.</w:t>
      </w:r>
      <w:r w:rsidRPr="005C6869">
        <w:tab/>
        <w:t>vzhledem k tomu, že udržitelný obchod může pomoci zmírnit změnu klimatu a přispět k boji proti této změně;</w:t>
      </w:r>
    </w:p>
    <w:p w:rsidR="00C16EE5" w:rsidRPr="005C6869" w:rsidRDefault="00C16EE5" w:rsidP="00C16EE5">
      <w:pPr>
        <w:pStyle w:val="NormalHanging12a"/>
      </w:pPr>
      <w:r w:rsidRPr="005C6869">
        <w:t>I.</w:t>
      </w:r>
      <w:r w:rsidRPr="005C6869">
        <w:tab/>
        <w:t>vzhledem k tomu, že dne 11. prosince 2019 přestal fungovat Odvolací orgán WTO, jenž byl funkčním, nezávislým a nestranným orgánem odvolací instance; vzhledem k tomu, že na 12. zasedání Konference ministrů WTO se členové WTO zavázali jednat, aby byl do roku 2024 ustaven plně a řádně fungující systém řešení sporů, který bude přístupný všem členům WTO;</w:t>
      </w:r>
    </w:p>
    <w:p w:rsidR="00C16EE5" w:rsidRPr="005C6869" w:rsidRDefault="00C16EE5" w:rsidP="00C16EE5">
      <w:pPr>
        <w:pStyle w:val="NormalHanging12a"/>
      </w:pPr>
      <w:r w:rsidRPr="005C6869">
        <w:t>J.</w:t>
      </w:r>
      <w:r w:rsidRPr="005C6869">
        <w:tab/>
        <w:t>vzhledem k tomu, že Evropský parlament spolu s Meziparlamentní unií hraje již více než 20 let klíčovou úlohu při vytváření parlamentního rozměru WTO prostřednictvím Parlamentní konference o WTO;</w:t>
      </w:r>
    </w:p>
    <w:p w:rsidR="00C16EE5" w:rsidRPr="005C6869" w:rsidRDefault="00C16EE5" w:rsidP="00C16EE5">
      <w:pPr>
        <w:pStyle w:val="NormalHanging12a"/>
      </w:pPr>
      <w:r w:rsidRPr="005C6869">
        <w:t>K.</w:t>
      </w:r>
      <w:r w:rsidRPr="005C6869">
        <w:tab/>
        <w:t xml:space="preserve">vzhledem k tomu, že 13. zasedání Konference ministrů WTO se bude konat ve dnech </w:t>
      </w:r>
      <w:r w:rsidRPr="005C6869">
        <w:lastRenderedPageBreak/>
        <w:t>26. až 29. února 2024 v Abú Dhabí (Spojené arabské emiráty);</w:t>
      </w:r>
    </w:p>
    <w:p w:rsidR="00C16EE5" w:rsidRPr="005C6869" w:rsidRDefault="00C16EE5" w:rsidP="00C16EE5">
      <w:pPr>
        <w:pStyle w:val="NormalHanging12a"/>
      </w:pPr>
      <w:r w:rsidRPr="005C6869">
        <w:t>1.</w:t>
      </w:r>
      <w:r w:rsidRPr="005C6869">
        <w:tab/>
        <w:t>znovu opakuje, že je plně odhodlán prosazovat trvalou hodnotu multilateralismu, a zdůrazňuje, že pro řízení obchodu je nepostradatelný modernizovaný mnohostranný systém; vyzývá k přijetí obchodní agendy založené na spravedlivém obchodu, který se řídí pravidly a přináší prospěch všem stranám; domnívá se, že tato agenda by měla podpořit udržitelný hospodářský rozvoj přesahující úzkou definici růstu HDP a prosperity, a tak posílit mír a bezpečnost; poukazuje na to, že WTO by měla podporovat realizaci cílů udržitelného rozvoje a dodržování sociálních, environmentálních a lidských práv a zajistit, aby mnohostranně dohodnutá a harmonizovaná pravidla byla uplatňována všemi stranami;</w:t>
      </w:r>
    </w:p>
    <w:p w:rsidR="00C16EE5" w:rsidRPr="005C6869" w:rsidRDefault="00C16EE5" w:rsidP="00C16EE5">
      <w:pPr>
        <w:pStyle w:val="NormalHanging12a"/>
      </w:pPr>
      <w:r w:rsidRPr="005C6869">
        <w:t>2.</w:t>
      </w:r>
      <w:r w:rsidRPr="005C6869">
        <w:tab/>
        <w:t>naléhavě vyzývá všechny členy WTO, aby usilovali o úspěšný výsledek 13. zasedání Konference ministrů WTO; domnívá se, že toto zasedání by se mělo stát výchozím bodem pro rozvoj a modernizaci WTO tak, aby se mohla podílet na řešení výzev 21. století, včetně otázek, jako je změna klimatu, potravinová bezpečnost, ztráta biologické rozmanitosti, zdraví, udržitelnost a snižování chudoby; naléhá na všechny členy WTO, aby se intenzivněji soustředili na hmatatelné výsledky, které by ukázaly, že WTO je schopna řešit současné výzvy; vítá pokyny vydané na zasedání vyšších úředníků ve dnech 22. a 23. října 2023; zejména žádá členy WTO, aby uzavřeli druhou fázi mnohostranné dohody o subvencích na rybolov a překonali zbývající překážky, aby mohl být konečně přijat komplexní balíček institucionálních reforem, včetně rozhodnutí, které by vedlo k vytvoření plně funkčního systému řešení sporů; znovu zdůrazňuje, že je třeba více posílit úlohu sekretariátu WTO;</w:t>
      </w:r>
    </w:p>
    <w:p w:rsidR="00C16EE5" w:rsidRPr="005C6869" w:rsidRDefault="00C16EE5" w:rsidP="00C16EE5">
      <w:pPr>
        <w:pStyle w:val="NormalHanging12a"/>
      </w:pPr>
      <w:r w:rsidRPr="005C6869">
        <w:t>3.</w:t>
      </w:r>
      <w:r w:rsidRPr="005C6869">
        <w:tab/>
        <w:t>domnívá se, že nyní je naléhavě nutné přistoupit k zásadní reformě WTO, což by se mělo odrazit ve výsledcích 13. Konference ministrů; oceňuje práci, která byl</w:t>
      </w:r>
      <w:r w:rsidR="005140E3">
        <w:t>a</w:t>
      </w:r>
      <w:r w:rsidRPr="005C6869">
        <w:t xml:space="preserve"> v tomto ohledu odvedena od poslední ministerské konference; vyzývá členy WTO, aby přijali komplexní balíček pro přezkum funkcí WTO v oblasti monitorování, vyjednávání, projednávání a řešení sporů, v němž by měli věnovat náležitou pozornost také parlamentnímu rozměru WTO s cílem zvýšit účinnost, </w:t>
      </w:r>
      <w:proofErr w:type="spellStart"/>
      <w:r w:rsidRPr="005C6869">
        <w:t>inkluzivnost</w:t>
      </w:r>
      <w:proofErr w:type="spellEnd"/>
      <w:r w:rsidRPr="005C6869">
        <w:t>, transparentnost, důvěryhodnost a legitimitu WTO;</w:t>
      </w:r>
    </w:p>
    <w:p w:rsidR="00C16EE5" w:rsidRPr="005C6869" w:rsidRDefault="00C16EE5" w:rsidP="00C16EE5">
      <w:pPr>
        <w:pStyle w:val="NormalHanging12a"/>
        <w:rPr>
          <w:szCs w:val="24"/>
        </w:rPr>
      </w:pPr>
      <w:r w:rsidRPr="005C6869">
        <w:t>4.</w:t>
      </w:r>
      <w:r w:rsidRPr="005C6869">
        <w:tab/>
        <w:t>žádá, aby se všichni členové WTO aktivněji a konstruktivněji zapojili do co nejrychlejší obnovy plně funkčního mechanismu řešení sporů a aby mimo jiné zkrátili mimořádně dlouhá řízení; oceňuje práci zprostředkovatele odvedenou během příprav konsolidovaného návrhu textu, který by měl být předložen na 13. zasedání Konference ministrů WTO; vyjadřuje však politování nad tím, že dosud nebylo dosaženo výrazných výsledků; vyzývá členy WTO, aby zahájili konstruktivní a transparentní diskuzi, aby mohla být na 13. zasedání Konference ministrů dosažena dohoda o systému řešení sporů; připomíná, že hlavním cílem by měl zůstat závazný, dvoustupňový a nezávislý proces;</w:t>
      </w:r>
    </w:p>
    <w:p w:rsidR="00C16EE5" w:rsidRPr="005C6869" w:rsidRDefault="00C16EE5" w:rsidP="00C16EE5">
      <w:pPr>
        <w:pStyle w:val="NormalHanging12a"/>
        <w:rPr>
          <w:szCs w:val="24"/>
        </w:rPr>
      </w:pPr>
      <w:r w:rsidRPr="005C6869">
        <w:t>5.</w:t>
      </w:r>
      <w:r w:rsidRPr="005C6869">
        <w:tab/>
        <w:t>vyzývá členy WTO, aby zvážili přistoupení k mnohostrannému prozatímnímu ujednání o odvolání při rozhodčím řízení (MPIA), aby překlenuli dobu, než bude na úrovni WTO vytvořen a znovu plně pracovat funkční orgán pro řešení sporů, a prokázali tak svůj závazek k spravedlivému a funkčnímu systému řešení sporů;</w:t>
      </w:r>
    </w:p>
    <w:p w:rsidR="00C16EE5" w:rsidRPr="005C6869" w:rsidRDefault="00C16EE5" w:rsidP="00C16EE5">
      <w:pPr>
        <w:pStyle w:val="NormalHanging12a"/>
      </w:pPr>
      <w:r w:rsidRPr="005C6869">
        <w:t>6.</w:t>
      </w:r>
      <w:r w:rsidRPr="005C6869">
        <w:tab/>
        <w:t xml:space="preserve">naléhavě vyzývá všechny členy WTO, aby urychleně ratifikovali dohodu WTO o subvencích na rybolov, pokud tak dosud neučinili, aby vstoupila v platnost co nejdříve, neboť je nutné, aby dohodu ratifikovaly dvě třetiny členů; zdůrazňuje, že je </w:t>
      </w:r>
      <w:r w:rsidRPr="005C6869">
        <w:lastRenderedPageBreak/>
        <w:t>naprosto nezbytné, aby bylo rychle dosaženo dohody také o pravidlech pro subvence na rybolov, které přispívají k nadbytečné kapacitě a nadměrnému rybolovu, aby se zabránilo vyčerpání mořských biologických zdrojů a umožnilo se jejich udržitelné řízení; tato dohoda by měla současně respektovat potřebu zvláštního a rozdílného zacházení v souladu s cílem udržitelného rozvoje č. 14.6;</w:t>
      </w:r>
    </w:p>
    <w:p w:rsidR="00C16EE5" w:rsidRPr="005C6869" w:rsidRDefault="00C16EE5" w:rsidP="00C16EE5">
      <w:pPr>
        <w:pStyle w:val="NormalHanging12a"/>
      </w:pPr>
      <w:r w:rsidRPr="005C6869">
        <w:t>7.</w:t>
      </w:r>
      <w:r w:rsidRPr="005C6869">
        <w:tab/>
        <w:t>zdůrazňuje, že je třeba zohledňovat rozvojovou dimenzi WTO i v reformním procesu WTO a náležitě upravit rovněž zásadu zvláštního a diferencovaného zacházení tak, aby lépe odpovídala potřebám rozvojových zemí; s politováním konstatuje, že WTO dosud nesplnila celou rozvojovou agendu z Dohá; v této souvislosti vítá již přijaté rozhodnutí o rozšíření podpůrných opatření na pomoc nejméně rozvinutým zemím, kterým má být odebrán status nejméně rozvinuté země, aby jim bylo poskytnuto hladké a udržitelné přechodné období po odnětí obchodních preferencí; znovu žádá, aby byl mechanismus zvláštního a rozdílného zacházení přezkoumán a revidován za důkladného přispění všech členů WTO, aby lépe odrážel ukazatele lidského rozvoje a zároveň zachovával politický prostor pro řešení nespravedlivého obchodu, a vyzývá proto členy WTO, aby tento systém revidovali; zdůrazňuje však, že prosazování statusu rozvoje jako jediného kritéria by mohlo vést k nespravedlivému obchodu;</w:t>
      </w:r>
    </w:p>
    <w:p w:rsidR="00C16EE5" w:rsidRPr="005C6869" w:rsidRDefault="00C16EE5" w:rsidP="00C16EE5">
      <w:pPr>
        <w:pStyle w:val="NormalHanging12a"/>
      </w:pPr>
      <w:r w:rsidRPr="005C6869">
        <w:t>8.</w:t>
      </w:r>
      <w:r w:rsidRPr="005C6869">
        <w:tab/>
        <w:t>zdůrazňuje, že na půdě WTO je třeba oživit diskuzi o státní podpoře průmyslových odvětví, včetně aktualizace dohody o subvencích a vyrovnávacích opatřeních (ASCM), s cílem zvýšit transparentnost a upravit soubor pravidel WTO pro subvence tak, aby reagovaly na současné výzvy, jako je změna klimatu, a účinně řešily nekalé praktiky některých členů WTO a jejich negativní vedlejší účinky, jako je nadbytečná kapacita a dodavatelské řetězce s vysokými emisemi uhlíku; domnívá se, že 13. zasedání Konference ministrů by mělo zahájit časově omezený pracovní program, který by umožnil jednat o státních intervencích na podporu průmyslových odvětví a vydat doporučení pro 14. zasedání Konference ministrů;</w:t>
      </w:r>
    </w:p>
    <w:p w:rsidR="00C16EE5" w:rsidRPr="005C6869" w:rsidRDefault="00C16EE5" w:rsidP="00C16EE5">
      <w:pPr>
        <w:pStyle w:val="NormalHanging12a"/>
      </w:pPr>
      <w:r w:rsidRPr="005C6869">
        <w:t>9.</w:t>
      </w:r>
      <w:r w:rsidRPr="005C6869">
        <w:tab/>
        <w:t>zdůrazňuje, že je třeba pokročit v jednáních o zemědělství a dosáhnout věrohodných výsledků v otázkách, jako je stálé řešení pro držení veřejných zásob za účelem potravinového zabezpečení, domácí dotace, přístup na trh, bavlna, omezení vývozu, hospodářská soutěž při vývozu a posílení zemědělského odvětví s ohledem na současné výzvy, jako jsou mj. možnosti obživy na venkově a udržitelnost životního prostředí; zdůrazňuje, že je třeba pro zemědělce zajistit spravedlivou hospodářskou soutěž a rovné podmínky; v zájmu slibného vývoje jednání vyzývá k lepšímu sdílení informací a větší transparentnosti zemědělských politik a dotací a žádá, aby na úrovni WTO byla podporováno větší sdílení údajů o obchodování s komoditami a o soukromých zásobách s Výborem pro světovou potravinovou bezpečnost; s potěšením konstatuje, že na konferenci OSN o změně klimatu v roce 2023 (COP 28) bylo podepsáno memorandum o porozumění mezi WTO a FAO, které posílí spolupráci mimo jiné na reformě zemědělství, potravinovém zabezpečení a změně klimatu; zdůrazňuje, že EU by měla v souladu s cíli Zelené dohody prosazovat přísnější kritéria udržitelnosti;</w:t>
      </w:r>
    </w:p>
    <w:p w:rsidR="00C16EE5" w:rsidRPr="005C6869" w:rsidRDefault="00C16EE5" w:rsidP="00C16EE5">
      <w:pPr>
        <w:pStyle w:val="NormalHanging12a"/>
      </w:pPr>
      <w:r w:rsidRPr="005C6869">
        <w:t>10.</w:t>
      </w:r>
      <w:r w:rsidRPr="005C6869">
        <w:tab/>
        <w:t>zdůrazňuje, že je třeba dosáhnout dohody o potravinovém zabezpečení, včetně konkrétních opatření na zvýšení odolnosti nejméně rozvinutých zemí a rozvojových zemí, které jsou čistými dovozci potravin, v jejich reakci na akutní potravinovou nestabilitu;</w:t>
      </w:r>
    </w:p>
    <w:p w:rsidR="00C16EE5" w:rsidRPr="005C6869" w:rsidRDefault="00C16EE5" w:rsidP="00C16EE5">
      <w:pPr>
        <w:pStyle w:val="NormalHanging12a"/>
      </w:pPr>
      <w:r w:rsidRPr="005C6869">
        <w:t>11.</w:t>
      </w:r>
      <w:r w:rsidRPr="005C6869">
        <w:tab/>
        <w:t xml:space="preserve">očekává, že reforma WTO umožní snazší začlenění otevřených vícestranných dohod do mnohostranné struktury s cílem zajistit pokrok v oblastech, v nichž zatím nejsou </w:t>
      </w:r>
      <w:r w:rsidRPr="005C6869">
        <w:lastRenderedPageBreak/>
        <w:t>připraveni všichni členové; znovu proto členy WTO vyzývá, aby se zamysleli nad tím, jak lze vytvořit nový systém s jasnými zásadami a stanoveným minimálním počtem členů, kteří by se měli na vícestranné iniciativě podílet, a aby na tomto základě zavedli jednoduchý mechanismus, který by výsledné dohody umožnil začlenit do struktury WTO;</w:t>
      </w:r>
    </w:p>
    <w:p w:rsidR="00C16EE5" w:rsidRPr="005C6869" w:rsidRDefault="00C16EE5" w:rsidP="00C16EE5">
      <w:pPr>
        <w:pStyle w:val="NormalHanging12a"/>
      </w:pPr>
      <w:r w:rsidRPr="005C6869">
        <w:t>12.</w:t>
      </w:r>
      <w:r w:rsidRPr="005C6869">
        <w:tab/>
        <w:t xml:space="preserve">s uspokojením konstatuje, že byla uzavřena jednání o dohodě o usnadnění investic pro rozvoj, která má vytvořit spravedlivější, transparentnější, účinnější a předvídatelnější prostředí pro snazší přeshraniční investice a účast rozvojových zemí na globálních investičních tocích; podporuje začlenění této dohody do souboru pravidel WTO podle přílohy 4 o vícestranných obchodních dohodách, jak je stanoveno v </w:t>
      </w:r>
      <w:proofErr w:type="gramStart"/>
      <w:r w:rsidRPr="005C6869">
        <w:t>článku X.9 dohody</w:t>
      </w:r>
      <w:proofErr w:type="gramEnd"/>
      <w:r w:rsidRPr="005C6869">
        <w:t xml:space="preserve"> o WTO, a domnívá se, že to může sloužit jako vzor pro budoucí vícestranné dohody;</w:t>
      </w:r>
    </w:p>
    <w:p w:rsidR="00C16EE5" w:rsidRPr="005C6869" w:rsidRDefault="00C16EE5" w:rsidP="00C16EE5">
      <w:pPr>
        <w:pStyle w:val="NormalHanging12a"/>
      </w:pPr>
      <w:r w:rsidRPr="005C6869">
        <w:t>13.</w:t>
      </w:r>
      <w:r w:rsidRPr="005C6869">
        <w:tab/>
        <w:t>upozorňuje na význam mnohostranných a vícestranných pravidel pro digitální obchod, neboť v současné době představuje 25 % celkového obchodu; důrazně podporuje snahy o nalezení spravedlivého a trvalého řešení pro moratorium na elektronické přenosy, zejména s ohledem na negativní dopady, které by neobnovení moratoria mělo zejména na ženy a malé a střední podniky; vítá a podporuje široké zapojení členů, ambiciózní agendu pro vyjednávání i pokrok, jehož bylo dosud dosaženo během vícestranných jednání WTO o elektronickém obchodu; zdůrazňuje význam volného toku elektronických přenosů, které mají zásadní význam pro digitální obchod a snižují náklady na obchodování, zvyšují životní úroveň spotřebitelů a konkurenceschopnost při vývozu a přinášejí značné výhody, zejména malým a středním podnikům a rozvojovým zemím; připomíná svůj postoj, že případná dohoda musí zaručit spravedlivý přístup na trh pro zboží a služby související s elektronickým obchodem ve třetích zemích, jakož i ochranu práv spotřebitelů a pracovních práv a usnadnit podnikatelské inovace; zdůrazňuje, že případná dohoda o elektronickém obchodu musí být v souladu se stávajícími i budoucími právními předpisy EU a musí poskytovat dostatečný politický prostor pro regulaci digitální oblasti, zejména otázek, jako jsou datové toky, lokalizace údajů, ochrana údajů, umělá inteligence a zdrojový kód; vyzývá všechny partnery, aby se plně zapojili do snah o uzavření jednání do 13. zasedání Konference ministrů a plně je podporovali; zdůrazňuje, že je třeba překlenout digitální propast sdílením osvědčených postupů a intenzivnějším budování kapacit;</w:t>
      </w:r>
    </w:p>
    <w:p w:rsidR="00C16EE5" w:rsidRPr="005C6869" w:rsidRDefault="00C16EE5" w:rsidP="00C16EE5">
      <w:pPr>
        <w:pStyle w:val="NormalHanging12a"/>
      </w:pPr>
      <w:r w:rsidRPr="005C6869">
        <w:t>14.</w:t>
      </w:r>
      <w:r w:rsidRPr="005C6869">
        <w:tab/>
        <w:t xml:space="preserve">připomíná závazek WTO vůči </w:t>
      </w:r>
      <w:proofErr w:type="spellStart"/>
      <w:r w:rsidRPr="005C6869">
        <w:t>mikropodnikům</w:t>
      </w:r>
      <w:proofErr w:type="spellEnd"/>
      <w:r w:rsidRPr="005C6869">
        <w:t xml:space="preserve"> a malým a středním podnikům a připomíná, že tyto podniky tvoří podstatnou část světové ekonomiky a mají nevyužitý potenciál v globálních hodnotových řetězcích; naléhavě vyzývá členy WTO, aby pokračovali v hledání řešení, která by </w:t>
      </w:r>
      <w:proofErr w:type="spellStart"/>
      <w:r w:rsidRPr="005C6869">
        <w:t>mikropodnikům</w:t>
      </w:r>
      <w:proofErr w:type="spellEnd"/>
      <w:r w:rsidRPr="005C6869">
        <w:t xml:space="preserve"> a malým a středním podnikům umožnila více se zapojit do světového obchodu, a to s přihlédnutím k jejich specifickým potřebám;</w:t>
      </w:r>
    </w:p>
    <w:p w:rsidR="00C16EE5" w:rsidRPr="005C6869" w:rsidRDefault="00C16EE5" w:rsidP="00C16EE5">
      <w:pPr>
        <w:pStyle w:val="NormalHanging12a"/>
      </w:pPr>
      <w:r w:rsidRPr="005C6869">
        <w:t>15.</w:t>
      </w:r>
      <w:r w:rsidRPr="005C6869">
        <w:tab/>
        <w:t xml:space="preserve">domnívá se, že výsledkem 13. zasedání Konference ministrů by měl být akční program pro obchodní politiku, který podpoří cíle udržitelného rozvoje pro rok 2030 a Pařížskou dohodu; důrazně vybízí členy WTO, aby zvážili veškerá možná opatření, která by mohla přispět k omezení emisí skleníkových plynů v souladu s Rámcovou úmluvou Organizace spojených národů o změně klimatu a se závěry konference COP 28, posílit soulad s Pařížskou dohodou a klimatickou neutralitu a zlepšit spolupráci v rámci WTO na opatřeních přijatých na domácím trhu; vítá konstruktivní jednání vedená v rámci vícestranných iniciativ o reformě dotací na fosilní paliva, dialogu o znečištění plasty a strukturovaných diskuzí o obchodu a environmentální udržitelnosti (TESSD); vyzývá k obnovení jednání o dohodě o environmentálním zboží (EGA); vybízí WTO, aby </w:t>
      </w:r>
      <w:r w:rsidRPr="005C6869">
        <w:lastRenderedPageBreak/>
        <w:t>usnadnila výměnu informací a spolupráci mezi členy WTO v souvislosti s metodikami stanovování cen uhlíku; zdůrazňuje, že je třeba pokročit v diskuzi o zboží a službách (včetně zpracovatelských a výrobních metod), které pomáhají řešit environmentální a klimatické problémy; připomíná, že veškerá jednostranná opatření členů musí být v souladu s pravidly WTO a že rozhodnutí o použití výjimek GATT musí být pečlivě zváženo; naléhavě vyzývá EU, aby zvýšila povědomí o svých právních předpisech v oblasti udržitelnosti, jako je směrnice o náležité péči podniků v oblasti udržitelnosti, mechanismus uhlíkového vyrovnání na hranicích a nařízení o odlesňování, a vysvětlila důvody, které k nim vedly, aby byly uznány jako upřímný a nediskriminační pokus přispět k plnění globálních cílů v oblasti životního prostředí a ke zvýšení udržitelnosti obchodu, mimo jiné tím, že poskytne více praktických informací o tom, jak se předpisy uplatňují v praxi; vítá vůbec první „obchodní den“ na konferenci COP 28 a odklon od fosilních paliv, což v kontextu COP považuje historický úspěch;  očekává, že rozhodnutí konference COP se promítne do práce WTO;</w:t>
      </w:r>
    </w:p>
    <w:p w:rsidR="00C16EE5" w:rsidRPr="005C6869" w:rsidRDefault="00C16EE5" w:rsidP="00C16EE5">
      <w:pPr>
        <w:pStyle w:val="NormalHanging12a"/>
      </w:pPr>
      <w:r w:rsidRPr="005C6869">
        <w:t>16.</w:t>
      </w:r>
      <w:r w:rsidRPr="005C6869">
        <w:tab/>
        <w:t>opětovně potvrzuje, že existuje souvislost mezi rovností žen a mužů a inkluzivním rozvojem, a zdůrazňuje, že silnější postavení žen má klíčový význam pro vymýcení chudoby a že odstranění překážek, které ženám brání zapojit se do obchodu, spolu s vyřešením nepříznivých dopadů současných obchodních pravidel na ženy v jejich vícenásobných rolích má zásadní význam pro hospodářský rozvoj; vybízí všechny členy WTO, aby podepsali prohlášení o obchodu a posílení hospodářského postavení žen přijaté v roce 2017 v Buenos Aires, a naléhavě vyzývá jeho signatáře, aby dostáli svým závazkům; vítá zřízení neformální pracovní skupiny WTO pro obchod a gender; vyjadřuje WTO uznání za to, že v prosinci 2022 uspořádala světový obchodní kongres o genderu, který byl první mezinárodní odbornou konferencí o obchodu a genderu;</w:t>
      </w:r>
    </w:p>
    <w:p w:rsidR="00C16EE5" w:rsidRPr="005C6869" w:rsidRDefault="00C16EE5" w:rsidP="00C16EE5">
      <w:pPr>
        <w:pStyle w:val="NormalHanging12a"/>
      </w:pPr>
      <w:r w:rsidRPr="005C6869">
        <w:t>17.</w:t>
      </w:r>
      <w:r w:rsidRPr="005C6869">
        <w:tab/>
        <w:t>bere na vědomí, že členové WTO souhlasili s tím, že projednají rozšíření působnosti rozhodnutí TRIPS na diagnostiku a léčebné postupy týkající se onemocnění COVID-19; vyzývá členy WTO, aby přijali rozhodnutí na 13. zasedání Konference ministrů a aby při tom měli na paměti pobídky k inovacím; vyzývá členy WTO, aby přezkoumali své vnitrostátní právní předpisy a politiky, aby zajistili plné začlenění všech příslušných flexibilních opatření, která chrání přístup ke zdravotnickým materiálům;</w:t>
      </w:r>
    </w:p>
    <w:p w:rsidR="00C16EE5" w:rsidRPr="005C6869" w:rsidRDefault="00C16EE5" w:rsidP="00C16EE5">
      <w:pPr>
        <w:pStyle w:val="NormalHanging12a"/>
      </w:pPr>
      <w:r w:rsidRPr="005C6869">
        <w:t>18.</w:t>
      </w:r>
      <w:r w:rsidRPr="005C6869">
        <w:tab/>
        <w:t>žádá Komisi a Radu, aby zajistily, že Parlament bude i nadále úzce zapojen do příprav 13. zasedání Konference ministrů a že bude během Konference ministrů v roce 2024 okamžitě informován o aktuálním vývoji a bude konzultován;</w:t>
      </w:r>
    </w:p>
    <w:p w:rsidR="00C16EE5" w:rsidRPr="005C6869" w:rsidRDefault="00C16EE5" w:rsidP="00C16EE5">
      <w:pPr>
        <w:pStyle w:val="NormalHanging12a"/>
      </w:pPr>
      <w:r w:rsidRPr="005C6869">
        <w:t>19.</w:t>
      </w:r>
      <w:r w:rsidRPr="005C6869">
        <w:tab/>
        <w:t>vyzývá členy WTO, aby zajistili demokratickou legitimitu a transparentnost posílením parlamentního rozměru WTO a parlamentní konference; oceňuje důležitou práci Parlamentní konference o WTO pořádané společně Evropským parlamentem a Meziparlamentní unií; zdůrazňuje, že je třeba zajistit, aby měli poslanci lepší přístup na všechna obchodní jednání a aby byli zapojeni do vytváření a provádění rozhodnutí WTO; vybízí vedoucí představitele, aby podpořili nové pojetí obchodu, v němž je obchod vnímán jako faktor, který podporuje dosažení udržitelnosti, bezpečnosti a </w:t>
      </w:r>
      <w:proofErr w:type="spellStart"/>
      <w:r w:rsidRPr="005C6869">
        <w:t>inkluzivity</w:t>
      </w:r>
      <w:proofErr w:type="spellEnd"/>
      <w:r w:rsidRPr="005C6869">
        <w:t>, a nikoli jako jejich překážka;</w:t>
      </w:r>
    </w:p>
    <w:p w:rsidR="00C16EE5" w:rsidRPr="005C6869" w:rsidRDefault="00C16EE5" w:rsidP="00C16EE5">
      <w:pPr>
        <w:pStyle w:val="NormalHanging12a"/>
      </w:pPr>
      <w:r w:rsidRPr="005C6869">
        <w:t>20.</w:t>
      </w:r>
      <w:r w:rsidRPr="005C6869">
        <w:tab/>
        <w:t>vyzývá členy WTO, aby zintenzivnili kontakty se všemi zúčastněnými stranami, včetně občanské společnosti, odborů a obchodních organizací, a aby prohloubili spolupráci s dalšími mezinárodními organizacemi, jako je Mezinárodní organizace práce a obecněji systém OSN; očekává, že vedoucí představitelé budou na všech úrovních více komunikovat o výhodách obchodu založeného na pravidlech;</w:t>
      </w:r>
    </w:p>
    <w:p w:rsidR="00C16EE5" w:rsidRPr="005C6869" w:rsidRDefault="00C16EE5" w:rsidP="00C16EE5">
      <w:pPr>
        <w:pStyle w:val="NormalHanging12a"/>
      </w:pPr>
      <w:r w:rsidRPr="005C6869">
        <w:lastRenderedPageBreak/>
        <w:t>21.</w:t>
      </w:r>
      <w:r w:rsidRPr="005C6869">
        <w:tab/>
        <w:t>pověřuje svou předsedkyni, aby předala toto usnesení Radě, Komisi, vládám a parlamentům členských států, generální ředitelce Světové obchodní organizace a Meziparlamentní unii.</w:t>
      </w:r>
    </w:p>
    <w:sectPr w:rsidR="00C16EE5" w:rsidRPr="005C6869" w:rsidSect="005C68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427" w:rsidRPr="005C6869" w:rsidRDefault="00100427">
      <w:r w:rsidRPr="005C6869">
        <w:separator/>
      </w:r>
    </w:p>
  </w:endnote>
  <w:endnote w:type="continuationSeparator" w:id="0">
    <w:p w:rsidR="00100427" w:rsidRPr="005C6869" w:rsidRDefault="00100427">
      <w:r w:rsidRPr="005C68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8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8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8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427" w:rsidRPr="005C6869" w:rsidRDefault="00100427">
      <w:r w:rsidRPr="005C6869">
        <w:separator/>
      </w:r>
    </w:p>
  </w:footnote>
  <w:footnote w:type="continuationSeparator" w:id="0">
    <w:p w:rsidR="00100427" w:rsidRPr="005C6869" w:rsidRDefault="00100427">
      <w:r w:rsidRPr="005C6869">
        <w:continuationSeparator/>
      </w:r>
    </w:p>
  </w:footnote>
  <w:footnote w:id="1">
    <w:p w:rsidR="00C16EE5" w:rsidRPr="005140E3" w:rsidRDefault="00C16EE5" w:rsidP="005C6869">
      <w:pPr>
        <w:pStyle w:val="FootnoteText"/>
        <w:ind w:left="567" w:hanging="567"/>
        <w:rPr>
          <w:rStyle w:val="FootnoteReference"/>
          <w:sz w:val="24"/>
          <w:vertAlign w:val="baseline"/>
          <w:lang w:val="cs-CZ"/>
        </w:rPr>
      </w:pPr>
      <w:r w:rsidRPr="005C6869">
        <w:rPr>
          <w:rStyle w:val="FootnoteReference"/>
          <w:sz w:val="24"/>
          <w:lang w:val="cs-CZ"/>
        </w:rPr>
        <w:footnoteRef/>
      </w:r>
      <w:r w:rsidR="005C6869" w:rsidRPr="005C6869">
        <w:rPr>
          <w:sz w:val="24"/>
          <w:lang w:val="cs-CZ"/>
        </w:rPr>
        <w:t xml:space="preserve"> </w:t>
      </w:r>
      <w:r w:rsidR="005C6869" w:rsidRPr="005C6869">
        <w:rPr>
          <w:sz w:val="24"/>
          <w:lang w:val="cs-CZ"/>
        </w:rPr>
        <w:tab/>
      </w:r>
      <w:r w:rsidRPr="005140E3">
        <w:rPr>
          <w:rStyle w:val="FootnoteReference"/>
          <w:sz w:val="24"/>
          <w:vertAlign w:val="baseline"/>
          <w:lang w:val="cs-CZ"/>
        </w:rPr>
        <w:t>Prohlášení ministrů z Dohá (WT/MIN(01)/DEC/1) ze dne 14.</w:t>
      </w:r>
      <w:r w:rsidRPr="005140E3">
        <w:rPr>
          <w:sz w:val="24"/>
          <w:lang w:val="cs-CZ"/>
        </w:rPr>
        <w:t> </w:t>
      </w:r>
      <w:r w:rsidRPr="005140E3">
        <w:rPr>
          <w:rStyle w:val="FootnoteReference"/>
          <w:sz w:val="24"/>
          <w:vertAlign w:val="baseline"/>
          <w:lang w:val="cs-CZ"/>
        </w:rPr>
        <w:t>listopadu</w:t>
      </w:r>
      <w:r w:rsidRPr="005140E3">
        <w:rPr>
          <w:sz w:val="24"/>
          <w:lang w:val="cs-CZ"/>
        </w:rPr>
        <w:t> </w:t>
      </w:r>
      <w:r w:rsidRPr="005140E3">
        <w:rPr>
          <w:rStyle w:val="FootnoteReference"/>
          <w:sz w:val="24"/>
          <w:vertAlign w:val="baseline"/>
          <w:lang w:val="cs-CZ"/>
        </w:rPr>
        <w:t>2001.</w:t>
      </w:r>
    </w:p>
  </w:footnote>
  <w:footnote w:id="2">
    <w:p w:rsidR="00C16EE5" w:rsidRPr="005140E3" w:rsidRDefault="00C16EE5" w:rsidP="005C6869">
      <w:pPr>
        <w:pStyle w:val="FootnoteText"/>
        <w:ind w:left="567" w:hanging="567"/>
        <w:rPr>
          <w:rStyle w:val="FootnoteReference"/>
          <w:sz w:val="24"/>
          <w:vertAlign w:val="baseline"/>
          <w:lang w:val="cs-CZ"/>
        </w:rPr>
      </w:pPr>
      <w:r w:rsidRPr="005C6869">
        <w:rPr>
          <w:rStyle w:val="FootnoteReference"/>
          <w:sz w:val="24"/>
          <w:lang w:val="cs-CZ"/>
        </w:rPr>
        <w:footnoteRef/>
      </w:r>
      <w:r w:rsidR="005C6869" w:rsidRPr="005C6869">
        <w:rPr>
          <w:sz w:val="24"/>
          <w:lang w:val="cs-CZ"/>
        </w:rPr>
        <w:t xml:space="preserve"> </w:t>
      </w:r>
      <w:r w:rsidR="005C6869" w:rsidRPr="005C6869">
        <w:rPr>
          <w:sz w:val="24"/>
          <w:lang w:val="cs-CZ"/>
        </w:rPr>
        <w:tab/>
      </w:r>
      <w:proofErr w:type="spellStart"/>
      <w:r w:rsidRPr="005140E3">
        <w:rPr>
          <w:rStyle w:val="FootnoteReference"/>
          <w:sz w:val="24"/>
          <w:vertAlign w:val="baseline"/>
          <w:lang w:val="cs-CZ"/>
        </w:rPr>
        <w:t>Ú</w:t>
      </w:r>
      <w:r w:rsidRPr="005140E3">
        <w:rPr>
          <w:sz w:val="24"/>
          <w:lang w:val="cs-CZ"/>
        </w:rPr>
        <w:t>ř</w:t>
      </w:r>
      <w:proofErr w:type="spellEnd"/>
      <w:r w:rsidRPr="005140E3">
        <w:rPr>
          <w:sz w:val="24"/>
          <w:lang w:val="cs-CZ"/>
        </w:rPr>
        <w:t xml:space="preserve">. </w:t>
      </w:r>
      <w:proofErr w:type="spellStart"/>
      <w:r w:rsidRPr="005140E3">
        <w:rPr>
          <w:sz w:val="24"/>
          <w:lang w:val="cs-CZ"/>
        </w:rPr>
        <w:t>věst</w:t>
      </w:r>
      <w:proofErr w:type="spellEnd"/>
      <w:r w:rsidRPr="005140E3">
        <w:rPr>
          <w:sz w:val="24"/>
          <w:lang w:val="cs-CZ"/>
        </w:rPr>
        <w:t>.</w:t>
      </w:r>
      <w:r w:rsidRPr="005140E3">
        <w:rPr>
          <w:rStyle w:val="FootnoteReference"/>
          <w:sz w:val="24"/>
          <w:vertAlign w:val="baseline"/>
          <w:lang w:val="cs-CZ"/>
        </w:rPr>
        <w:t xml:space="preserve"> C 224, 8.6.2022, s. 89.</w:t>
      </w:r>
    </w:p>
  </w:footnote>
  <w:footnote w:id="3">
    <w:p w:rsidR="00C16EE5" w:rsidRPr="005140E3" w:rsidRDefault="00C16EE5" w:rsidP="005C6869">
      <w:pPr>
        <w:pStyle w:val="FootnoteText"/>
        <w:ind w:left="567" w:hanging="567"/>
        <w:rPr>
          <w:rStyle w:val="FootnoteReference"/>
          <w:sz w:val="24"/>
          <w:vertAlign w:val="baseline"/>
          <w:lang w:val="cs-CZ"/>
        </w:rPr>
      </w:pPr>
      <w:r w:rsidRPr="005C6869">
        <w:rPr>
          <w:rStyle w:val="FootnoteReference"/>
          <w:sz w:val="24"/>
          <w:lang w:val="cs-CZ"/>
        </w:rPr>
        <w:footnoteRef/>
      </w:r>
      <w:r w:rsidR="005C6869" w:rsidRPr="005C6869">
        <w:rPr>
          <w:sz w:val="24"/>
          <w:lang w:val="cs-CZ"/>
        </w:rPr>
        <w:t xml:space="preserve"> </w:t>
      </w:r>
      <w:r w:rsidR="005C6869" w:rsidRPr="005C6869">
        <w:rPr>
          <w:sz w:val="24"/>
          <w:lang w:val="cs-CZ"/>
        </w:rPr>
        <w:tab/>
      </w:r>
      <w:proofErr w:type="spellStart"/>
      <w:r w:rsidRPr="005140E3">
        <w:rPr>
          <w:rStyle w:val="FootnoteReference"/>
          <w:sz w:val="24"/>
          <w:vertAlign w:val="baseline"/>
          <w:lang w:val="cs-CZ"/>
        </w:rPr>
        <w:t>Ú</w:t>
      </w:r>
      <w:r w:rsidRPr="005140E3">
        <w:rPr>
          <w:sz w:val="24"/>
          <w:lang w:val="cs-CZ"/>
        </w:rPr>
        <w:t>ř</w:t>
      </w:r>
      <w:proofErr w:type="spellEnd"/>
      <w:r w:rsidRPr="005140E3">
        <w:rPr>
          <w:sz w:val="24"/>
          <w:lang w:val="cs-CZ"/>
        </w:rPr>
        <w:t xml:space="preserve">. </w:t>
      </w:r>
      <w:proofErr w:type="spellStart"/>
      <w:r w:rsidRPr="005140E3">
        <w:rPr>
          <w:sz w:val="24"/>
          <w:lang w:val="cs-CZ"/>
        </w:rPr>
        <w:t>věst</w:t>
      </w:r>
      <w:proofErr w:type="spellEnd"/>
      <w:r w:rsidRPr="005140E3">
        <w:rPr>
          <w:sz w:val="24"/>
          <w:lang w:val="cs-CZ"/>
        </w:rPr>
        <w:t>.</w:t>
      </w:r>
      <w:r w:rsidRPr="005140E3">
        <w:rPr>
          <w:rStyle w:val="FootnoteReference"/>
          <w:sz w:val="24"/>
          <w:vertAlign w:val="baseline"/>
          <w:lang w:val="cs-CZ"/>
        </w:rPr>
        <w:t xml:space="preserve"> C 363, 28.10.2020, </w:t>
      </w:r>
      <w:r w:rsidRPr="005140E3">
        <w:rPr>
          <w:sz w:val="24"/>
          <w:lang w:val="cs-CZ"/>
        </w:rPr>
        <w:t>s</w:t>
      </w:r>
      <w:r w:rsidRPr="005140E3">
        <w:rPr>
          <w:rStyle w:val="FootnoteReference"/>
          <w:sz w:val="24"/>
          <w:vertAlign w:val="baseline"/>
          <w:lang w:val="cs-CZ"/>
        </w:rPr>
        <w:t>. 113</w:t>
      </w:r>
      <w:r w:rsidR="005140E3" w:rsidRPr="005140E3">
        <w:rPr>
          <w:sz w:val="24"/>
          <w:lang w:val="cs-CZ"/>
        </w:rPr>
        <w:t>.</w:t>
      </w:r>
    </w:p>
  </w:footnote>
  <w:footnote w:id="4">
    <w:p w:rsidR="00C16EE5" w:rsidRPr="005C6869" w:rsidRDefault="00C16EE5" w:rsidP="005C6869">
      <w:pPr>
        <w:pStyle w:val="FootnoteText"/>
        <w:ind w:left="567" w:hanging="567"/>
        <w:rPr>
          <w:rStyle w:val="FootnoteReference"/>
          <w:sz w:val="24"/>
          <w:lang w:val="cs-CZ"/>
        </w:rPr>
      </w:pPr>
      <w:r w:rsidRPr="005C6869">
        <w:rPr>
          <w:rStyle w:val="FootnoteReference"/>
          <w:sz w:val="24"/>
          <w:lang w:val="cs-CZ"/>
        </w:rPr>
        <w:footnoteRef/>
      </w:r>
      <w:r w:rsidR="005C6869" w:rsidRPr="005C6869">
        <w:rPr>
          <w:sz w:val="24"/>
          <w:lang w:val="cs-CZ"/>
        </w:rPr>
        <w:t xml:space="preserve"> </w:t>
      </w:r>
      <w:r w:rsidR="005C6869" w:rsidRPr="005C6869">
        <w:rPr>
          <w:sz w:val="24"/>
          <w:lang w:val="cs-CZ"/>
        </w:rPr>
        <w:tab/>
      </w:r>
      <w:proofErr w:type="spellStart"/>
      <w:r w:rsidRPr="005140E3">
        <w:rPr>
          <w:rStyle w:val="FootnoteReference"/>
          <w:sz w:val="24"/>
          <w:vertAlign w:val="baseline"/>
          <w:lang w:val="cs-CZ"/>
        </w:rPr>
        <w:t>Ú</w:t>
      </w:r>
      <w:r w:rsidRPr="005140E3">
        <w:rPr>
          <w:sz w:val="24"/>
          <w:lang w:val="cs-CZ"/>
        </w:rPr>
        <w:t>ř</w:t>
      </w:r>
      <w:proofErr w:type="spellEnd"/>
      <w:r w:rsidRPr="005140E3">
        <w:rPr>
          <w:sz w:val="24"/>
          <w:lang w:val="cs-CZ"/>
        </w:rPr>
        <w:t xml:space="preserve">. </w:t>
      </w:r>
      <w:proofErr w:type="spellStart"/>
      <w:r w:rsidRPr="005140E3">
        <w:rPr>
          <w:sz w:val="24"/>
          <w:lang w:val="cs-CZ"/>
        </w:rPr>
        <w:t>věst</w:t>
      </w:r>
      <w:proofErr w:type="spellEnd"/>
      <w:r w:rsidRPr="005140E3">
        <w:rPr>
          <w:sz w:val="24"/>
          <w:lang w:val="cs-CZ"/>
        </w:rPr>
        <w:t>.</w:t>
      </w:r>
      <w:r w:rsidRPr="005140E3">
        <w:rPr>
          <w:rStyle w:val="FootnoteReference"/>
          <w:sz w:val="24"/>
          <w:vertAlign w:val="baseline"/>
          <w:lang w:val="cs-CZ"/>
        </w:rPr>
        <w:t xml:space="preserve"> C 232, 16.6.2021, s. 62.</w:t>
      </w:r>
    </w:p>
  </w:footnote>
  <w:footnote w:id="5">
    <w:p w:rsidR="00C16EE5" w:rsidRPr="005C6869" w:rsidRDefault="00C16EE5" w:rsidP="005C6869">
      <w:pPr>
        <w:pStyle w:val="FootnoteText"/>
        <w:ind w:left="567" w:hanging="567"/>
        <w:rPr>
          <w:rStyle w:val="FootnoteReference"/>
          <w:sz w:val="24"/>
          <w:lang w:val="cs-CZ"/>
        </w:rPr>
      </w:pPr>
      <w:r w:rsidRPr="005C6869">
        <w:rPr>
          <w:rStyle w:val="FootnoteReference"/>
          <w:sz w:val="24"/>
          <w:lang w:val="cs-CZ"/>
        </w:rPr>
        <w:footnoteRef/>
      </w:r>
      <w:r w:rsidR="005C6869" w:rsidRPr="005C6869">
        <w:rPr>
          <w:sz w:val="24"/>
          <w:lang w:val="cs-CZ"/>
        </w:rPr>
        <w:t xml:space="preserve"> </w:t>
      </w:r>
      <w:r w:rsidR="005C6869" w:rsidRPr="005C6869">
        <w:rPr>
          <w:sz w:val="24"/>
          <w:lang w:val="cs-CZ"/>
        </w:rPr>
        <w:tab/>
      </w:r>
      <w:hyperlink r:id="rId1" w:history="1">
        <w:r w:rsidRPr="005140E3">
          <w:rPr>
            <w:rStyle w:val="FootnoteReference"/>
            <w:sz w:val="24"/>
            <w:vertAlign w:val="baseline"/>
            <w:lang w:val="cs-CZ"/>
          </w:rPr>
          <w:t>https://www.europarl.europa.eu/cmsdata/158345/outcome_document-final-e.pdf</w:t>
        </w:r>
      </w:hyperlink>
      <w:r w:rsidRPr="005140E3">
        <w:rPr>
          <w:sz w:val="24"/>
          <w:lang w:val="cs-CZ"/>
        </w:rPr>
        <w:t>.</w:t>
      </w:r>
    </w:p>
  </w:footnote>
  <w:footnote w:id="6">
    <w:p w:rsidR="00C16EE5" w:rsidRPr="005140E3" w:rsidRDefault="00C16EE5" w:rsidP="005C6869">
      <w:pPr>
        <w:pStyle w:val="FootnoteText"/>
        <w:ind w:left="567" w:hanging="567"/>
        <w:rPr>
          <w:sz w:val="24"/>
          <w:lang w:val="cs-CZ"/>
        </w:rPr>
      </w:pPr>
      <w:r w:rsidRPr="005C6869">
        <w:rPr>
          <w:rStyle w:val="FootnoteReference"/>
          <w:sz w:val="24"/>
          <w:lang w:val="cs-CZ"/>
        </w:rPr>
        <w:footnoteRef/>
      </w:r>
      <w:r w:rsidR="005C6869" w:rsidRPr="005C6869">
        <w:rPr>
          <w:sz w:val="24"/>
          <w:lang w:val="cs-CZ"/>
        </w:rPr>
        <w:t xml:space="preserve"> </w:t>
      </w:r>
      <w:r w:rsidR="005C6869" w:rsidRPr="005C6869">
        <w:rPr>
          <w:sz w:val="24"/>
          <w:lang w:val="cs-CZ"/>
        </w:rPr>
        <w:tab/>
      </w:r>
      <w:hyperlink r:id="rId2" w:history="1">
        <w:r w:rsidRPr="005140E3">
          <w:rPr>
            <w:rStyle w:val="Hyperlink"/>
            <w:sz w:val="24"/>
            <w:lang w:val="cs-CZ"/>
          </w:rPr>
          <w:t>https://www.europarl.europa.eu/cmsdata/231517/2017_PCWTO_outcome_EN.pdf</w:t>
        </w:r>
      </w:hyperlink>
      <w:r w:rsidRPr="005140E3">
        <w:rPr>
          <w:sz w:val="24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8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8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8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CS"/>
    <w:docVar w:name="dvnumam" w:val="0"/>
    <w:docVar w:name="dvpe" w:val="753.647"/>
    <w:docVar w:name="dvrapporteur" w:val="Zpravodaj: "/>
    <w:docVar w:name="dvtitre" w:val="Usnesení Evropského parlamentu ze dne.... 2024 o vícestranných jednáních s ohledem na 13. zasedání Konference ministrů Světové obchodní organizace (WTO) v Abú Dhabí ve dnech 26.–29. února 2024(2023/2868(RSP))"/>
  </w:docVars>
  <w:rsids>
    <w:rsidRoot w:val="00100427"/>
    <w:rsid w:val="00002272"/>
    <w:rsid w:val="00064002"/>
    <w:rsid w:val="000677B9"/>
    <w:rsid w:val="000831BA"/>
    <w:rsid w:val="000A42CC"/>
    <w:rsid w:val="000E7DD9"/>
    <w:rsid w:val="00100427"/>
    <w:rsid w:val="0010095E"/>
    <w:rsid w:val="00125B37"/>
    <w:rsid w:val="00187494"/>
    <w:rsid w:val="001F32AE"/>
    <w:rsid w:val="00200E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0E3"/>
    <w:rsid w:val="00514517"/>
    <w:rsid w:val="00545827"/>
    <w:rsid w:val="00560270"/>
    <w:rsid w:val="005C2568"/>
    <w:rsid w:val="005C686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8C5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EE5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41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C57BE"/>
  <w15:chartTrackingRefBased/>
  <w15:docId w15:val="{559FAF07-E6A6-4A58-8049-0B842932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6EE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16EE5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16EE5"/>
    <w:rPr>
      <w:sz w:val="24"/>
      <w:lang w:val="cs-CZ"/>
    </w:rPr>
  </w:style>
  <w:style w:type="character" w:styleId="Hyperlink">
    <w:name w:val="Hyperlink"/>
    <w:basedOn w:val="DefaultParagraphFont"/>
    <w:rsid w:val="005140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uroparl.europa.eu/cmsdata/231517/2017_PCWTO_outcome_EN.pdf" TargetMode="External"/><Relationship Id="rId1" Type="http://schemas.openxmlformats.org/officeDocument/2006/relationships/hyperlink" Target="https://www.europarl.europa.eu/cmsdata/158345/outcome_document-final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3A779-516A-457C-8603-456B59083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3283</Words>
  <Characters>19222</Characters>
  <Application>Microsoft Office Word</Application>
  <DocSecurity>0</DocSecurity>
  <Lines>436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2024-02-08T11:58:00Z</dcterms:created>
  <dcterms:modified xsi:type="dcterms:W3CDTF">2024-02-08T11:58:00Z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