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6E30" w:rsidTr="0010095E">
        <w:trPr>
          <w:trHeight w:hRule="exact" w:val="1418"/>
        </w:trPr>
        <w:tc>
          <w:tcPr>
            <w:tcW w:w="6804" w:type="dxa"/>
            <w:shd w:val="clear" w:color="auto" w:fill="auto"/>
            <w:vAlign w:val="center"/>
          </w:tcPr>
          <w:p w:rsidR="00751A4A" w:rsidRPr="005B6E30" w:rsidRDefault="0013757B" w:rsidP="0010095E">
            <w:pPr>
              <w:pStyle w:val="EPName"/>
            </w:pPr>
            <w:r w:rsidRPr="00BA79BC">
              <w:t>Europa-Parlamentet</w:t>
            </w:r>
          </w:p>
          <w:p w:rsidR="00751A4A" w:rsidRPr="005B6E30" w:rsidRDefault="00817416" w:rsidP="00756632">
            <w:pPr>
              <w:pStyle w:val="EPTerm"/>
              <w:rPr>
                <w:rStyle w:val="HideTWBExt"/>
                <w:noProof w:val="0"/>
                <w:vanish w:val="0"/>
                <w:color w:val="auto"/>
              </w:rPr>
            </w:pPr>
            <w:r w:rsidRPr="005B6E30">
              <w:t>2019-2024</w:t>
            </w:r>
          </w:p>
        </w:tc>
        <w:tc>
          <w:tcPr>
            <w:tcW w:w="2268" w:type="dxa"/>
            <w:shd w:val="clear" w:color="auto" w:fill="auto"/>
          </w:tcPr>
          <w:p w:rsidR="00751A4A" w:rsidRPr="00BA79BC" w:rsidRDefault="00187494" w:rsidP="0010095E">
            <w:pPr>
              <w:pStyle w:val="EPLogo"/>
            </w:pPr>
            <w:r w:rsidRPr="00BA79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6E30" w:rsidRDefault="00D058B8" w:rsidP="004C5D52">
      <w:pPr>
        <w:pStyle w:val="LineTop"/>
      </w:pPr>
    </w:p>
    <w:p w:rsidR="00680577" w:rsidRPr="005B6E30" w:rsidRDefault="0013757B" w:rsidP="00680577">
      <w:pPr>
        <w:pStyle w:val="EPBodyTA1"/>
      </w:pPr>
      <w:r w:rsidRPr="005B6E30">
        <w:t>VEDTAGNE TEKSTER</w:t>
      </w:r>
    </w:p>
    <w:p w:rsidR="00D058B8" w:rsidRPr="005B6E30" w:rsidRDefault="00D058B8" w:rsidP="00D058B8">
      <w:pPr>
        <w:pStyle w:val="LineBottom"/>
      </w:pPr>
    </w:p>
    <w:p w:rsidR="0013757B" w:rsidRPr="00CC7693" w:rsidRDefault="0013757B" w:rsidP="0013757B">
      <w:pPr>
        <w:pStyle w:val="ATHeading1"/>
      </w:pPr>
      <w:bookmarkStart w:id="0" w:name="TANumber"/>
      <w:r w:rsidRPr="00CC7693">
        <w:t>P9_TA(2024)00</w:t>
      </w:r>
      <w:r w:rsidR="00822394">
        <w:t>78</w:t>
      </w:r>
      <w:bookmarkStart w:id="1" w:name="_GoBack"/>
      <w:bookmarkEnd w:id="0"/>
      <w:bookmarkEnd w:id="1"/>
    </w:p>
    <w:p w:rsidR="0013757B" w:rsidRPr="00CC7693" w:rsidRDefault="0013757B" w:rsidP="0013757B">
      <w:pPr>
        <w:pStyle w:val="ATHeading2"/>
      </w:pPr>
      <w:bookmarkStart w:id="2" w:name="title"/>
      <w:r w:rsidRPr="00CC7693">
        <w:t>Multilaterale forhandlinger med henblik på WTO's 13. ministerkonference i Abu Dhabi, den 26.-29. februar 2024</w:t>
      </w:r>
      <w:bookmarkEnd w:id="2"/>
    </w:p>
    <w:p w:rsidR="0013757B" w:rsidRPr="00BA79BC" w:rsidRDefault="0013757B" w:rsidP="0013757B">
      <w:pPr>
        <w:rPr>
          <w:i/>
          <w:vanish/>
        </w:rPr>
      </w:pPr>
      <w:r w:rsidRPr="00BA79BC">
        <w:rPr>
          <w:i/>
        </w:rPr>
        <w:fldChar w:fldCharType="begin"/>
      </w:r>
      <w:r w:rsidRPr="00BA79BC">
        <w:rPr>
          <w:i/>
        </w:rPr>
        <w:instrText xml:space="preserve"> TC"(</w:instrText>
      </w:r>
      <w:bookmarkStart w:id="3" w:name="DocNumber"/>
      <w:r w:rsidRPr="00BA79BC">
        <w:rPr>
          <w:i/>
        </w:rPr>
        <w:instrText>B9-0090/2024</w:instrText>
      </w:r>
      <w:bookmarkEnd w:id="3"/>
      <w:r w:rsidRPr="00BA79BC">
        <w:rPr>
          <w:i/>
        </w:rPr>
        <w:instrText xml:space="preserve">)"\l3 \n&gt; \* MERGEFORMAT </w:instrText>
      </w:r>
      <w:r w:rsidRPr="00BA79BC">
        <w:rPr>
          <w:i/>
        </w:rPr>
        <w:fldChar w:fldCharType="end"/>
      </w:r>
    </w:p>
    <w:p w:rsidR="0013757B" w:rsidRPr="00CC7693" w:rsidRDefault="0013757B" w:rsidP="0013757B">
      <w:pPr>
        <w:rPr>
          <w:vanish/>
        </w:rPr>
      </w:pPr>
      <w:bookmarkStart w:id="4" w:name="PE"/>
      <w:r w:rsidRPr="005B6E30">
        <w:rPr>
          <w:vanish/>
        </w:rPr>
        <w:t>PE753.647</w:t>
      </w:r>
      <w:bookmarkEnd w:id="4"/>
    </w:p>
    <w:p w:rsidR="0013757B" w:rsidRPr="00CC7693" w:rsidRDefault="0013757B" w:rsidP="0013757B">
      <w:pPr>
        <w:pStyle w:val="ATHeading3"/>
      </w:pPr>
      <w:bookmarkStart w:id="5" w:name="Sujet"/>
      <w:r w:rsidRPr="00CC7693">
        <w:t xml:space="preserve">Europa-Parlamentets beslutning af </w:t>
      </w:r>
      <w:r w:rsidR="00750BFC" w:rsidRPr="00CC7693">
        <w:t>8</w:t>
      </w:r>
      <w:r w:rsidRPr="00CC7693">
        <w:t>. februar 2024 om multilaterale forhandlinger med henblik på WTO's 13. ministerkonference i Abu Dhabi, den 26.-29. februar 2024</w:t>
      </w:r>
      <w:bookmarkEnd w:id="5"/>
      <w:r w:rsidRPr="00CC7693">
        <w:t xml:space="preserve"> </w:t>
      </w:r>
      <w:bookmarkStart w:id="6" w:name="References"/>
      <w:r w:rsidRPr="00CC7693">
        <w:t>(2023/2868(RSP))</w:t>
      </w:r>
      <w:bookmarkEnd w:id="6"/>
    </w:p>
    <w:p w:rsidR="00B04A9F" w:rsidRPr="00CC7693" w:rsidRDefault="00B04A9F" w:rsidP="00B04A9F">
      <w:pPr>
        <w:pStyle w:val="EPComma"/>
      </w:pPr>
      <w:bookmarkStart w:id="7" w:name="TextBodyBegin"/>
      <w:bookmarkEnd w:id="7"/>
      <w:r w:rsidRPr="00BA79BC">
        <w:rPr>
          <w:i/>
        </w:rPr>
        <w:t>Europa-Parlamentet</w:t>
      </w:r>
      <w:r w:rsidRPr="005B6E30">
        <w:t>,</w:t>
      </w:r>
    </w:p>
    <w:p w:rsidR="00B04A9F" w:rsidRPr="00CC7693" w:rsidRDefault="00B04A9F" w:rsidP="00B04A9F">
      <w:pPr>
        <w:pStyle w:val="NormalHanging12a"/>
        <w:widowControl/>
        <w:rPr>
          <w:szCs w:val="24"/>
        </w:rPr>
      </w:pPr>
      <w:r w:rsidRPr="00CC7693">
        <w:t>–</w:t>
      </w:r>
      <w:r w:rsidRPr="00CC7693">
        <w:tab/>
        <w:t>der henviser til Marrakeshoverenskomsten af 15. april 1994 om oprettelse af Verdenshandelsorganisationen (WTO),</w:t>
      </w:r>
    </w:p>
    <w:p w:rsidR="00B04A9F" w:rsidRPr="005B6E30" w:rsidRDefault="00B04A9F" w:rsidP="00B04A9F">
      <w:pPr>
        <w:pStyle w:val="NormalHanging12a"/>
        <w:widowControl/>
        <w:rPr>
          <w:szCs w:val="24"/>
        </w:rPr>
      </w:pPr>
      <w:r w:rsidRPr="00CC7693">
        <w:t>–</w:t>
      </w:r>
      <w:r w:rsidRPr="00CC7693">
        <w:tab/>
        <w:t>der henviser til erklæringen fra WTO's ministerkonference i Doha af 14. november 2001</w:t>
      </w:r>
      <w:r w:rsidRPr="00BA79BC">
        <w:rPr>
          <w:rStyle w:val="FootnoteReference"/>
          <w:color w:val="000000"/>
          <w:szCs w:val="24"/>
        </w:rPr>
        <w:footnoteReference w:id="1"/>
      </w:r>
      <w:r w:rsidRPr="00BA79BC">
        <w:t>,</w:t>
      </w:r>
    </w:p>
    <w:p w:rsidR="00B04A9F" w:rsidRPr="005B6E30" w:rsidRDefault="00B04A9F" w:rsidP="00B04A9F">
      <w:pPr>
        <w:pStyle w:val="NormalHanging12a"/>
        <w:widowControl/>
        <w:rPr>
          <w:szCs w:val="24"/>
        </w:rPr>
      </w:pPr>
      <w:r w:rsidRPr="00CC7693">
        <w:t>–</w:t>
      </w:r>
      <w:r w:rsidRPr="00CC7693">
        <w:tab/>
        <w:t>der henviser til sine tidligere beslutninger om WTO, navnlig beslutning af 25. november 2021 om multilaterale forhandlinger med henblik på WTO's 12. ministerkonference</w:t>
      </w:r>
      <w:r w:rsidRPr="00BA79BC">
        <w:rPr>
          <w:rStyle w:val="FootnoteReference"/>
          <w:color w:val="000000"/>
          <w:szCs w:val="24"/>
        </w:rPr>
        <w:footnoteReference w:id="2"/>
      </w:r>
      <w:r w:rsidRPr="00BA79BC">
        <w:t>, af 29. november 2018 med titlen "WTO: Vejen frem"</w:t>
      </w:r>
      <w:r w:rsidRPr="00BA79BC">
        <w:rPr>
          <w:rStyle w:val="FootnoteReference"/>
          <w:color w:val="000000"/>
          <w:szCs w:val="24"/>
        </w:rPr>
        <w:footnoteReference w:id="3"/>
      </w:r>
      <w:r w:rsidRPr="00BA79BC">
        <w:t xml:space="preserve"> og af 28. november 2019 om krisen i WTO's appelinstans</w:t>
      </w:r>
      <w:r w:rsidRPr="00BA79BC">
        <w:rPr>
          <w:rStyle w:val="FootnoteReference"/>
          <w:color w:val="000000"/>
          <w:szCs w:val="24"/>
        </w:rPr>
        <w:footnoteReference w:id="4"/>
      </w:r>
      <w:r w:rsidRPr="00BA79BC">
        <w:t>,</w:t>
      </w:r>
    </w:p>
    <w:p w:rsidR="00B04A9F" w:rsidRPr="005B6E30" w:rsidRDefault="00B04A9F" w:rsidP="00B04A9F">
      <w:pPr>
        <w:pStyle w:val="NormalHanging12a"/>
        <w:rPr>
          <w:color w:val="000000"/>
        </w:rPr>
      </w:pPr>
      <w:r w:rsidRPr="00CC7693">
        <w:t>–</w:t>
      </w:r>
      <w:r w:rsidRPr="00CC7693">
        <w:tab/>
        <w:t>der henviser til de slutdokumenter, der blev vedtaget ved konsensus på de årlige møder i Den Parlamentariske Konference om WTO den 7. december 2018 i Genève</w:t>
      </w:r>
      <w:r w:rsidRPr="00BA79BC">
        <w:rPr>
          <w:rStyle w:val="FootnoteReference"/>
          <w:color w:val="000000"/>
          <w:szCs w:val="24"/>
        </w:rPr>
        <w:footnoteReference w:id="5"/>
      </w:r>
      <w:r w:rsidRPr="00BA79BC">
        <w:t xml:space="preserve"> og den 10. december 2017 i Buenos Aires</w:t>
      </w:r>
      <w:r w:rsidRPr="00BA79BC">
        <w:rPr>
          <w:rStyle w:val="FootnoteReference"/>
          <w:color w:val="000000"/>
          <w:szCs w:val="24"/>
        </w:rPr>
        <w:footnoteReference w:id="6"/>
      </w:r>
      <w:r w:rsidRPr="00BA79BC">
        <w:t>,</w:t>
      </w:r>
    </w:p>
    <w:p w:rsidR="00B04A9F" w:rsidRPr="00CC7693" w:rsidRDefault="00B04A9F" w:rsidP="00B04A9F">
      <w:pPr>
        <w:pStyle w:val="NormalHanging12a"/>
        <w:rPr>
          <w:color w:val="000000"/>
        </w:rPr>
      </w:pPr>
      <w:r w:rsidRPr="00CC7693">
        <w:rPr>
          <w:color w:val="000000"/>
        </w:rPr>
        <w:t>–</w:t>
      </w:r>
      <w:r w:rsidRPr="00CC7693">
        <w:rPr>
          <w:color w:val="000000"/>
        </w:rPr>
        <w:tab/>
        <w:t>der henviser til resultaterne af WTO's 12. ministerkonference, der blev afholdt i Genève i juni 2022 (MC12), og som omfatter et slutdokument, en række ministerielle afgørelser og erklæringer samt en aftale om fiskeristøtte,</w:t>
      </w:r>
    </w:p>
    <w:p w:rsidR="00B04A9F" w:rsidRPr="00CC7693" w:rsidRDefault="00B04A9F" w:rsidP="00B04A9F">
      <w:pPr>
        <w:pStyle w:val="NormalHanging12a"/>
        <w:rPr>
          <w:color w:val="000000"/>
        </w:rPr>
      </w:pPr>
      <w:r w:rsidRPr="00CC7693">
        <w:rPr>
          <w:color w:val="000000"/>
        </w:rPr>
        <w:t>–</w:t>
      </w:r>
      <w:r w:rsidRPr="00CC7693">
        <w:rPr>
          <w:color w:val="000000"/>
        </w:rPr>
        <w:tab/>
        <w:t xml:space="preserve">der henviser til resultaterne af WTO's 11. ministerkonference, der blev afholdt i Buenos Aires i december 2017 (MC11), og som omfatter en række ministerbeslutninger og fælles erklæringer om elektronisk handel, om investeringsfremme, om regulering af </w:t>
      </w:r>
      <w:r w:rsidRPr="00CC7693">
        <w:rPr>
          <w:color w:val="000000"/>
        </w:rPr>
        <w:lastRenderedPageBreak/>
        <w:t xml:space="preserve">indenlandske tjenesteydelser og om </w:t>
      </w:r>
      <w:proofErr w:type="spellStart"/>
      <w:r w:rsidRPr="00CC7693">
        <w:rPr>
          <w:color w:val="000000"/>
        </w:rPr>
        <w:t>mikrovirksomheder</w:t>
      </w:r>
      <w:proofErr w:type="spellEnd"/>
      <w:r w:rsidRPr="00CC7693">
        <w:rPr>
          <w:color w:val="000000"/>
        </w:rPr>
        <w:t xml:space="preserve"> og små og mellemstore virksomheder,</w:t>
      </w:r>
    </w:p>
    <w:p w:rsidR="00B04A9F" w:rsidRPr="00CC7693" w:rsidRDefault="00B04A9F" w:rsidP="00B04A9F">
      <w:pPr>
        <w:pStyle w:val="NormalHanging12a"/>
        <w:rPr>
          <w:color w:val="000000"/>
        </w:rPr>
      </w:pPr>
      <w:r w:rsidRPr="00CC7693">
        <w:rPr>
          <w:color w:val="000000"/>
        </w:rPr>
        <w:t>–</w:t>
      </w:r>
      <w:r w:rsidRPr="00CC7693">
        <w:rPr>
          <w:color w:val="000000"/>
        </w:rPr>
        <w:tab/>
        <w:t>der henviser til Buenos Aires-erklæringen om handel og styrkelse af kvinders økonomiske indflydelse, der blev godkendt den 12. december 2017, og til den uformelle arbejdsgruppe om handel og ligestilling, der blev nedsat den 23. september 2020,</w:t>
      </w:r>
    </w:p>
    <w:p w:rsidR="00B04A9F" w:rsidRPr="00CC7693" w:rsidRDefault="00B04A9F" w:rsidP="00B04A9F">
      <w:pPr>
        <w:pStyle w:val="NormalHanging12a"/>
        <w:rPr>
          <w:color w:val="000000"/>
        </w:rPr>
      </w:pPr>
      <w:r w:rsidRPr="00CC7693">
        <w:rPr>
          <w:color w:val="000000"/>
        </w:rPr>
        <w:t>–</w:t>
      </w:r>
      <w:r w:rsidRPr="00CC7693">
        <w:rPr>
          <w:color w:val="000000"/>
        </w:rPr>
        <w:tab/>
      </w:r>
      <w:r w:rsidRPr="00CC7693">
        <w:t>der henviser til ministererklæringerne fra ministre, der repræsenterer medlemmer af WTO, af 10. december 2021 om plastforurening og miljømæssigt bæredygtig handel med plast, af 14. december 2021 om handel og miljømæssig bæredygtighed og af 14. december 2021 om subsidier til fossile brændstoffer,</w:t>
      </w:r>
    </w:p>
    <w:p w:rsidR="00B04A9F" w:rsidRPr="00CC7693" w:rsidRDefault="00B04A9F" w:rsidP="00B04A9F">
      <w:pPr>
        <w:pStyle w:val="NormalHanging12a"/>
        <w:rPr>
          <w:color w:val="000000"/>
        </w:rPr>
      </w:pPr>
      <w:r w:rsidRPr="00CC7693">
        <w:rPr>
          <w:color w:val="000000"/>
        </w:rPr>
        <w:t>–</w:t>
      </w:r>
      <w:r w:rsidRPr="00CC7693">
        <w:rPr>
          <w:color w:val="000000"/>
        </w:rPr>
        <w:tab/>
        <w:t>der henviser til De Forenede Nationers verdensmål for bæredygtig udvikling,</w:t>
      </w:r>
    </w:p>
    <w:p w:rsidR="00B04A9F" w:rsidRPr="00CC7693" w:rsidRDefault="00B04A9F" w:rsidP="00B04A9F">
      <w:pPr>
        <w:pStyle w:val="NormalHanging12a"/>
        <w:widowControl/>
        <w:rPr>
          <w:szCs w:val="24"/>
        </w:rPr>
      </w:pPr>
      <w:r w:rsidRPr="00CC7693">
        <w:t>–</w:t>
      </w:r>
      <w:r w:rsidRPr="00CC7693">
        <w:tab/>
        <w:t>der henviser til Parisaftalen inden for De Forenede Nationers rammekonvention om klimaændringer (UNFCCC), som trådte i kraft i november 2016,</w:t>
      </w:r>
    </w:p>
    <w:p w:rsidR="00B04A9F" w:rsidRPr="00CC7693" w:rsidRDefault="00B04A9F" w:rsidP="00B04A9F">
      <w:pPr>
        <w:pStyle w:val="NormalHanging12a"/>
        <w:widowControl/>
        <w:rPr>
          <w:szCs w:val="24"/>
        </w:rPr>
      </w:pPr>
      <w:r w:rsidRPr="00CC7693">
        <w:t>–</w:t>
      </w:r>
      <w:r w:rsidRPr="00CC7693">
        <w:tab/>
        <w:t>der henviser til Kommissionens meddelelse af 18. februar 2021 med titlen "Gennemgang af handelspolitikken– en åben, bæredygtig og determineret handelspolitik" og til bilaget hertil med titlen "Reform af WTO: Mod et bæredygtigt og effektivt multilateralt handelssystem" (</w:t>
      </w:r>
      <w:proofErr w:type="gramStart"/>
      <w:r w:rsidRPr="00CC7693">
        <w:t>COM(</w:t>
      </w:r>
      <w:proofErr w:type="gramEnd"/>
      <w:r w:rsidRPr="00CC7693">
        <w:t>2021)0066),</w:t>
      </w:r>
    </w:p>
    <w:p w:rsidR="00B04A9F" w:rsidRPr="00CC7693" w:rsidRDefault="00B04A9F" w:rsidP="00B04A9F">
      <w:pPr>
        <w:pStyle w:val="NormalHanging12a"/>
        <w:widowControl/>
        <w:rPr>
          <w:szCs w:val="24"/>
        </w:rPr>
      </w:pPr>
      <w:r w:rsidRPr="00CC7693">
        <w:t>–</w:t>
      </w:r>
      <w:r w:rsidRPr="00CC7693">
        <w:tab/>
        <w:t>der henviser til forretningsordenens artikel 132, stk. 2,</w:t>
      </w:r>
    </w:p>
    <w:p w:rsidR="00B04A9F" w:rsidRPr="00CC7693" w:rsidRDefault="00B04A9F" w:rsidP="00B04A9F">
      <w:pPr>
        <w:pStyle w:val="NormalHanging12a"/>
        <w:widowControl/>
        <w:rPr>
          <w:szCs w:val="24"/>
        </w:rPr>
      </w:pPr>
      <w:r w:rsidRPr="00CC7693">
        <w:t>–</w:t>
      </w:r>
      <w:r w:rsidRPr="00CC7693">
        <w:tab/>
        <w:t>der henviser til forslag til beslutning fra Udvalget om International Handel,</w:t>
      </w:r>
    </w:p>
    <w:p w:rsidR="00B04A9F" w:rsidRPr="00CC7693" w:rsidRDefault="00B04A9F" w:rsidP="00B04A9F">
      <w:pPr>
        <w:pStyle w:val="NormalHanging12a"/>
      </w:pPr>
      <w:r w:rsidRPr="00CC7693">
        <w:t>A.</w:t>
      </w:r>
      <w:r w:rsidRPr="00CC7693">
        <w:tab/>
        <w:t>der henviser til, at WTO blev oprettet for at fremme liberaliseringen af handelen med varer og tjenesteydelser, styrke multilateralismen og fremme et retfærdigt, åbent, inklusivt, regelbaseret og ikkediskriminerende multilateralt handelssystem med henblik på at forbedre velfærden for mennesker i hele verden; der henviser til, at det overordnede mål med EU's handelspolitik er at bidrage til en harmonisk udvikling af verdenshandelen, til en gradvis afskaffelse af restriktionerne for den internationale handel og de direkte udenlandske investeringer og til en sænkning af toldsatser og andre hindringer samt til at sikre menneskers velfærd; der henviser til, at handel er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 idet det tilstræbes både at beskytte og bevare miljøet og forbedre midlerne til at gøre det på en måde, der er i overensstemmelse med landenes respektive behov og udfordringer på deres forskellige niveauer af økonomisk udvikling;</w:t>
      </w:r>
    </w:p>
    <w:p w:rsidR="00B04A9F" w:rsidRPr="00CC7693" w:rsidRDefault="00B04A9F" w:rsidP="00B04A9F">
      <w:pPr>
        <w:pStyle w:val="NormalHanging12a"/>
      </w:pPr>
      <w:r w:rsidRPr="00CC7693">
        <w:t>B.</w:t>
      </w:r>
      <w:r w:rsidRPr="00CC7693">
        <w:tab/>
        <w:t xml:space="preserve">der henviser til, at et stærkt, åbent og inklusivt multilateralt handelssystem bør spille en endnu større rolle med hensyn til at nå de globale mål for klimaændringer og opnå </w:t>
      </w:r>
      <w:proofErr w:type="spellStart"/>
      <w:r w:rsidRPr="00CC7693">
        <w:t>nettonulemissioner</w:t>
      </w:r>
      <w:proofErr w:type="spellEnd"/>
      <w:r w:rsidRPr="00CC7693">
        <w:t>, f.eks. gennem udveksling af varer, tjenesteydelser og praksis, der er afgørende for rene energiteknologier og en cirkulær økonomi;</w:t>
      </w:r>
    </w:p>
    <w:p w:rsidR="00B04A9F" w:rsidRPr="00CC7693" w:rsidRDefault="00B04A9F" w:rsidP="00B04A9F">
      <w:pPr>
        <w:pStyle w:val="NormalHanging12a"/>
      </w:pPr>
      <w:r w:rsidRPr="00CC7693">
        <w:t>C.</w:t>
      </w:r>
      <w:r w:rsidRPr="00CC7693">
        <w:tab/>
        <w:t xml:space="preserve">der henviser til, at det regelbaserede multilaterale handelssystem i øjeblikket er under stort pres på grund af geopolitiske spændinger forårsaget af nogle WTO-medlemmers afgørelser og de ensidige foranstaltninger, de har truffet, samt en uberettiget afhængighed af sikkerhedsundtagelsen fra den almindelige overenskomst om told og udenrigshandel (GATT) fra nogle af dens medlemmers side, hvilket allerede resulterer i en mere fragmenteret og mindre forudsigelig handelspolitisk kontekst; der henviser til, </w:t>
      </w:r>
      <w:r w:rsidRPr="00CC7693">
        <w:lastRenderedPageBreak/>
        <w:t>at 75 % af handelen stadig er baseret på mestbegunstigelsessatser, hvilket bekræfter WTO's status som rygraden i den globale økonomi; der henviser til, at resultatet på MC12 viste, at WTO stadig kan levere multilaterale aftaler og reagere på nødsituationer;</w:t>
      </w:r>
    </w:p>
    <w:p w:rsidR="00B04A9F" w:rsidRPr="00CC7693" w:rsidRDefault="00B04A9F" w:rsidP="00B04A9F">
      <w:pPr>
        <w:pStyle w:val="NormalHanging12a"/>
      </w:pPr>
      <w:r w:rsidRPr="00CC7693">
        <w:t>D.</w:t>
      </w:r>
      <w:r w:rsidRPr="00CC7693">
        <w:tab/>
        <w:t>der henviser til, at WTO-aftalen om fiskerisubsidier, der blev indgået på MC12, er den første multilaterale handelsaftale nogensinde med miljømæssig bæredygtighed i centrum, der fastsætter et bindende sæt globale regler, der skal bidrage til at begrænse et anslået beløb på 22 mia. USD om året i skadelige subsidier, som regeringerne yder til fiskerisektoren, som fastsat i verdensmål 14.6; der henviser til, at aftalen endnu ikke omfatter discipliner om fiskerisubsidier, der bidrager til overkapacitet og overfiskning, hvilket udgør mere end halvdelen af alle fiskerisubsidier, og som der stadig forhandles om;</w:t>
      </w:r>
    </w:p>
    <w:p w:rsidR="00B04A9F" w:rsidRPr="00CC7693" w:rsidRDefault="00B04A9F" w:rsidP="00B04A9F">
      <w:pPr>
        <w:pStyle w:val="NormalHanging12a"/>
      </w:pPr>
      <w:r w:rsidRPr="00CC7693">
        <w:t>E.</w:t>
      </w:r>
      <w:r w:rsidRPr="00CC7693">
        <w:tab/>
        <w:t>der henviser til, at WTO's 12. ministerkonference (MC12) den 17. juni 2022 vedtog en afgørelse om fleksibilitet inden for rammerne af aftalen om handelsrelaterede intellektuelle ejendomsrettigheder (TRIPS) med henblik på at muliggøre produktion og levering af covid-19-vacciner, samtidig med at udsætte afgørelsen om udvidelsen af anvendelsesområdet for denne fleksibilitet til at omfatte covid-19-behandlinger og -diagnostik; der henviser til, at WTO's TRIPS-råd fører forhandlinger om en forlængelse af TRIPS-undtagelsen;</w:t>
      </w:r>
    </w:p>
    <w:p w:rsidR="00B04A9F" w:rsidRPr="00CC7693" w:rsidRDefault="00B04A9F" w:rsidP="00B04A9F">
      <w:pPr>
        <w:pStyle w:val="NormalHanging12a"/>
      </w:pPr>
      <w:r w:rsidRPr="00CC7693">
        <w:t>F.</w:t>
      </w:r>
      <w:r w:rsidRPr="00CC7693">
        <w:tab/>
        <w:t xml:space="preserve">der henviser til, at fødevaresikkerhed fortsat er en udfordring, eftersom 258 mio. mennesker var i krise eller i en værre situation af akut fødevareusikkerhed i 2022, hvilket er en stigning fra 193 mio. i 2021; der henviser til, at WTO's </w:t>
      </w:r>
      <w:proofErr w:type="spellStart"/>
      <w:r w:rsidRPr="00CC7693">
        <w:t>Uruguayrundeaftale</w:t>
      </w:r>
      <w:proofErr w:type="spellEnd"/>
      <w:r w:rsidRPr="00CC7693">
        <w:t xml:space="preserve"> om landbrug udtrykkeligt anerkender betydningen af at inkludere fødevaresikkerhed i de igangværende forhandlinger; der henviser til, at handel har potentiale til at øge fødevaretilgængeligheden i regioner, hvor den er begrænset, og at den også kan bidrage til at forbedre den økonomiske adgang til fødevarer ved at skabe beskæftigelsesmuligheder og øge indkomsterne;</w:t>
      </w:r>
    </w:p>
    <w:p w:rsidR="00B04A9F" w:rsidRPr="00CC7693" w:rsidRDefault="00B04A9F" w:rsidP="00B04A9F">
      <w:pPr>
        <w:pStyle w:val="NormalHanging12a"/>
      </w:pPr>
      <w:r w:rsidRPr="00CC7693">
        <w:t>G.</w:t>
      </w:r>
      <w:r w:rsidRPr="00CC7693">
        <w:tab/>
        <w:t>der henviser til, at WTO's medlemmer har bevist deres engagement i at afhjælpe fødevaremangel og sikre fødevarenødhjælp til de mest sårbare, både i ministererklæringen om katastrofeberedskabet over for fødevareusikkerhed og ministerafgørelsen om at undtage Verdensfødevareprogrammets humanitære fødevareindkøb fra eksportforbud eller -restriktioner, der blev aftalt på MC12;</w:t>
      </w:r>
    </w:p>
    <w:p w:rsidR="00B04A9F" w:rsidRPr="00CC7693" w:rsidRDefault="00B04A9F" w:rsidP="00B04A9F">
      <w:pPr>
        <w:pStyle w:val="NormalHanging12a"/>
      </w:pPr>
      <w:r w:rsidRPr="00CC7693">
        <w:t>H.</w:t>
      </w:r>
      <w:r w:rsidRPr="00CC7693">
        <w:tab/>
        <w:t>der henviser til, at bæredygtig handel kan bidrage til at afbøde og bekæmpe klimaændringer;</w:t>
      </w:r>
    </w:p>
    <w:p w:rsidR="00B04A9F" w:rsidRPr="00CC7693" w:rsidRDefault="00B04A9F" w:rsidP="00B04A9F">
      <w:pPr>
        <w:pStyle w:val="NormalHanging12a"/>
      </w:pPr>
      <w:r w:rsidRPr="00CC7693">
        <w:t>I.</w:t>
      </w:r>
      <w:r w:rsidRPr="00CC7693">
        <w:tab/>
        <w:t>der henviser til, at WTO's appelinstans pr. 11. december 2019 ophørte med at fungere, hvilket førte til ophøret af et funktionelt, uafhængigt og upartisk appeltrin; der henviser til, at WTO-medlemmerne på MC12 forpligtede sig til at føre drøftelser med henblik på at få et fuldt og velfungerende tvistbilæggelsessystem, der er tilgængeligt for alle WTO-medlemmer senest i 2024;</w:t>
      </w:r>
    </w:p>
    <w:p w:rsidR="00B04A9F" w:rsidRPr="00CC7693" w:rsidRDefault="00B04A9F" w:rsidP="00B04A9F">
      <w:pPr>
        <w:pStyle w:val="NormalHanging12a"/>
      </w:pPr>
      <w:r w:rsidRPr="00CC7693">
        <w:t>J.</w:t>
      </w:r>
      <w:r w:rsidRPr="00CC7693">
        <w:tab/>
        <w:t>der henviser til, at Europa-Parlamentet sammen med Den Interparlamentariske Union i mere end 20 år har spillet en afgørende rolle i etableringen af en parlamentarisk dimension til WTO gennem Den Parlamentariske Konference om WTO;</w:t>
      </w:r>
    </w:p>
    <w:p w:rsidR="00B04A9F" w:rsidRPr="00CC7693" w:rsidRDefault="00B04A9F" w:rsidP="00B04A9F">
      <w:pPr>
        <w:pStyle w:val="NormalHanging12a"/>
      </w:pPr>
      <w:r w:rsidRPr="00CC7693">
        <w:t>K.</w:t>
      </w:r>
      <w:r w:rsidRPr="00CC7693">
        <w:tab/>
        <w:t xml:space="preserve">der henviser til, at WTO's 13. ministerkonference (MC13) vil finde sted i Abu Dhabi, </w:t>
      </w:r>
      <w:r w:rsidRPr="00CC7693">
        <w:lastRenderedPageBreak/>
        <w:t>De Forenede Arabiske Emirater, fra den 26. til den 29. februar 2024;</w:t>
      </w:r>
    </w:p>
    <w:p w:rsidR="00B04A9F" w:rsidRPr="00CC7693" w:rsidRDefault="00B04A9F" w:rsidP="00B04A9F">
      <w:pPr>
        <w:pStyle w:val="NormalHanging12a"/>
      </w:pPr>
      <w:r w:rsidRPr="00CC7693">
        <w:t>1.</w:t>
      </w:r>
      <w:r w:rsidRPr="00CC7693">
        <w:tab/>
        <w:t>gentager sit fulde engagement i multilateralismens vedvarende værdi og understreger, at det er afgørende at have et moderne multilateralt system til at forvalte handelen; opfordrer til en handelsdagsorden baseret på fair og regelbaseret handel til gavn for alle, hvilket bidrager til bæredygtig økonomisk udvikling ud over den snævre definition af BNP-vækst og velstand og dermed styrker fred og sikkerhed; understreger, at WTO bør fremme gennemførelsen af verdensmålene, sundhedsmæssige og sociale rettigheder og miljø- og menneskerettigheder og sikre, at multilateralt aftalte og harmoniserede regler anvendes af alle;</w:t>
      </w:r>
    </w:p>
    <w:p w:rsidR="00B04A9F" w:rsidRPr="00CC7693" w:rsidRDefault="00B04A9F" w:rsidP="00B04A9F">
      <w:pPr>
        <w:pStyle w:val="NormalHanging12a"/>
      </w:pPr>
      <w:r w:rsidRPr="00CC7693">
        <w:t>2.</w:t>
      </w:r>
      <w:r w:rsidRPr="00CC7693">
        <w:tab/>
        <w:t>opfordrer indtrængende alle WTO-medlemmer til at forpligte sig til et vellykket resultat af MC13; mener, at MC13 bør være udgangspunktet for at fremme og modernisere WTO med henblik på at sikre, at den kan spille en rolle i håndteringen af det 21. århundredes udfordringer, herunder spørgsmål som klimaændringer, fødevaresikkerhed, tab af biodiversitet, sundhed, bæredygtighed og nedbringelse af fattigdom; opfordrer indtrængende alle WTO-medlemmer til at intensivere deres bestræbelser på at fokusere på konkrete resultater, der viser, at WTO kan tackle de aktuelle udfordringer; glæder sig over retningslinjerne fra mødet mellem højtstående embedsmænd den 22. og 23. oktober 2023; anmoder navnlig WTO-medlemmerne om at afslutte anden fase af den multilaterale aftale om fiskeristøtte og overvinde de resterende hindringer for endelig at vedtage en omfattende pakke af institutionelle reformer, herunder en afgørelse, der vil føre til et fuldt fungerende tvistbilæggelsessystem; gentager, at den rolle, WTO's sekretariat spiller, skal styrkes yderligere;</w:t>
      </w:r>
    </w:p>
    <w:p w:rsidR="00B04A9F" w:rsidRPr="00CC7693" w:rsidRDefault="00B04A9F" w:rsidP="00B04A9F">
      <w:pPr>
        <w:pStyle w:val="NormalHanging12a"/>
      </w:pPr>
      <w:r w:rsidRPr="00CC7693">
        <w:t>3.</w:t>
      </w:r>
      <w:r w:rsidRPr="00CC7693">
        <w:tab/>
        <w:t xml:space="preserve">mener, at det nu haster med at gennemføre en omfattende reform af WTO, og at dette bør afspejles i resultatet af MC13; glæder sig over alt det arbejde, der er blevet udført i denne henseende siden sidste ministerkonference; opfordrer WTO-medlemmerne til at vedtage en omfattende pakke om revision af WTO's overvågnings-, forhandlings-, og tvistbilæggelsesfunktioner, hvori der også bør tages behørigt hensyn til WTO's parlamentariske dimension med henblik på at øge WTO's effektivitet, </w:t>
      </w:r>
      <w:proofErr w:type="spellStart"/>
      <w:r w:rsidRPr="00CC7693">
        <w:t>inklusivitet</w:t>
      </w:r>
      <w:proofErr w:type="spellEnd"/>
      <w:r w:rsidRPr="00CC7693">
        <w:t>, gennemsigtighed, troværdighed og legitimitet;</w:t>
      </w:r>
    </w:p>
    <w:p w:rsidR="00B04A9F" w:rsidRPr="00CC7693" w:rsidRDefault="00B04A9F" w:rsidP="00B04A9F">
      <w:pPr>
        <w:pStyle w:val="NormalHanging12a"/>
        <w:rPr>
          <w:szCs w:val="24"/>
        </w:rPr>
      </w:pPr>
      <w:r w:rsidRPr="00CC7693">
        <w:t>4.</w:t>
      </w:r>
      <w:r w:rsidRPr="00CC7693">
        <w:tab/>
        <w:t xml:space="preserve">opfordrer til et stærkere og endnu mere konstruktivt engagement fra alle WTO-medlemmers side for at genoprette et fuldt fungerende tvistbilæggelsessystem så hurtigt som muligt, som bl.a. tackler den alt for lange procedure; roser </w:t>
      </w:r>
      <w:proofErr w:type="spellStart"/>
      <w:r w:rsidRPr="00CC7693">
        <w:t>facilitatorens</w:t>
      </w:r>
      <w:proofErr w:type="spellEnd"/>
      <w:r w:rsidRPr="00CC7693">
        <w:t xml:space="preserve"> arbejde med at styre processen, som bør føre til et konsolideret tekstudkast, der skal forelægges MC13; beklager imidlertid, at der indtil videre ikke er gjort væsentlige fremskridt; opfordrer medlemmerne til at indgå i konstruktive og gennemsigtige drøftelser for at nå til enighed om tvistbilæggelsesordningen på MC13; minder om, at en bindende, tostrenget og uafhængig proces fortsat bør være det centrale mål;</w:t>
      </w:r>
    </w:p>
    <w:p w:rsidR="00B04A9F" w:rsidRPr="00CC7693" w:rsidRDefault="00B04A9F" w:rsidP="00B04A9F">
      <w:pPr>
        <w:pStyle w:val="NormalHanging12a"/>
        <w:rPr>
          <w:szCs w:val="24"/>
        </w:rPr>
      </w:pPr>
      <w:r w:rsidRPr="00CC7693">
        <w:t>5.</w:t>
      </w:r>
      <w:r w:rsidRPr="00CC7693">
        <w:tab/>
        <w:t>opfordrer medlemmerne til, indtil et fuldt fungerende tvistbilæggelsesorgan på WTO-plan er trådt i kraft igen, at overveje at tilslutte sig den midlertidige ordning mellem flere parter om appel af voldgiftssager (MPIA) for at vise deres engagement i et retfærdigt og velfungerende tvistbilæggelsessystem;</w:t>
      </w:r>
    </w:p>
    <w:p w:rsidR="00B04A9F" w:rsidRPr="00CC7693" w:rsidRDefault="00B04A9F" w:rsidP="00B04A9F">
      <w:pPr>
        <w:pStyle w:val="NormalHanging12a"/>
      </w:pPr>
      <w:r w:rsidRPr="00CC7693">
        <w:t>6.</w:t>
      </w:r>
      <w:r w:rsidRPr="00CC7693">
        <w:tab/>
        <w:t xml:space="preserve">opfordrer indtrængende alle WTO-medlemmer, der endnu ikke har gjort det, til hurtigt at ratificere WTO-aftalen om fiskerisubsidier, således at aftalen kan træde i kraft så hurtigt som muligt, hvilket kræver, at to tredjedele af medlemmerne ratificerer den; understreger den afgørende betydning af også hurtigt at nå frem til en aftale om </w:t>
      </w:r>
      <w:r w:rsidRPr="00CC7693">
        <w:lastRenderedPageBreak/>
        <w:t>discipliner om fiskerisubsidier, der bidrager til overkapacitet og overfiskning, med henblik på at undgå at udtømme havets biologiske ressourcer og give mulighed for en bæredygtig forvaltning heraf; opfordrer samtidig til, at behovene for særlig og differentieret behandling i overensstemmelse med verdensmål 14.6 respekteres;</w:t>
      </w:r>
    </w:p>
    <w:p w:rsidR="00B04A9F" w:rsidRPr="00CC7693" w:rsidRDefault="00B04A9F" w:rsidP="00B04A9F">
      <w:pPr>
        <w:pStyle w:val="NormalHanging12a"/>
      </w:pPr>
      <w:r w:rsidRPr="00CC7693">
        <w:t>7.</w:t>
      </w:r>
      <w:r w:rsidRPr="00CC7693">
        <w:tab/>
        <w:t xml:space="preserve">understreger behovet for at integrere WTO's udviklingsdimension, herunder gennem WTO-reformprocessen og ved at gøre princippet om særlig og differentieret behandling bedre egnet til at opfylde udviklingslandenes behov; beklager, at WTO endnu ikke fuldt ud har opfyldt sin Doha-udviklingsdagsorden; glæder sig over den beslutning, der allerede er truffet om at forlænge støtteforanstaltningerne for at hjælpe de mindst udviklede lande på vejen væk fra deres status som mindst udviklede lande med henblik på at sikre en gnidningsløs og bæredygtig overgangsperiode for tilbagetrækning af handelspræferencer; gentager sin opfordring til, at mekanismen for særlig og differentieret behandling tages op til fornyet overvejelse og revideres med behørig inddragelse af alle WTO-medlemmer for bedre at afspejle indekset for menneskelig udvikling, samtidig med at den beskytter det politiske råderum til at bekæmpe illoyal handel, og opfordrer derfor WTO's medlemmer til at revidere systemet; understreger imidlertid, at </w:t>
      </w:r>
      <w:proofErr w:type="spellStart"/>
      <w:r w:rsidRPr="00CC7693">
        <w:t>egenvurdering</w:t>
      </w:r>
      <w:proofErr w:type="spellEnd"/>
      <w:r w:rsidRPr="00CC7693">
        <w:t xml:space="preserve"> af udviklingsstatus som eneste kriterium kan føre til uretfærdig handel;</w:t>
      </w:r>
    </w:p>
    <w:p w:rsidR="00B04A9F" w:rsidRPr="00CC7693" w:rsidRDefault="00B04A9F" w:rsidP="00B04A9F">
      <w:pPr>
        <w:pStyle w:val="NormalHanging12a"/>
      </w:pPr>
      <w:r w:rsidRPr="00CC7693">
        <w:t>8.</w:t>
      </w:r>
      <w:r w:rsidRPr="00CC7693">
        <w:tab/>
        <w:t>understreger behovet for at puste nyt liv i drøftelserne om statsstøtte til industrisektorer inden for WTO, herunder en opdatering af aftalen om subsidier og udligningsforanstaltninger, med henblik på at øge gennemsigtigheden og tilpasse WTO's regelsæt om subsidier med henblik på at reagere på aktuelle udfordringer såsom klimaændringerne og tackle visse WTO-medlemmers urimelige handelspraksis og effektivt tackle negative afsmittende virkninger såsom overkapacitet og kulstofintensive forsyningskæder; er af den opfattelse, at MC13 bør lancere et tidsbegrænset arbejdsprogram for at gøre det muligt at drøfte statslig intervention til støtte for industrisektorer med henblik på at fremsætte anbefalinger til MC14;</w:t>
      </w:r>
    </w:p>
    <w:p w:rsidR="00B04A9F" w:rsidRPr="00CC7693" w:rsidRDefault="00B04A9F" w:rsidP="00B04A9F">
      <w:pPr>
        <w:pStyle w:val="NormalHanging12a"/>
      </w:pPr>
      <w:r w:rsidRPr="00CC7693">
        <w:t>9.</w:t>
      </w:r>
      <w:r w:rsidRPr="00CC7693">
        <w:tab/>
        <w:t>understreger behovet for at gøre fremskridt i landbrugsforhandlingerne for at opnå troværdige resultater på områder som en permanent løsning på offentlig oplagring af hensyn til fødevaresikkerheden, indenlandsk støtte, markedsadgang, bomuld, eksportrestriktioner og eksportkonkurrence og styrkelse af landbrugssektoren med henblik på at imødegå nutidige udfordringer, herunder eksistensgrundlag i landdistrikterne og miljømæssig bæredygtighed; understreger behovet for at sikre fair konkurrence og loyale konkurrencevilkår for landbrugere; opfordrer til bedre informationsdeling og gennemsigtighed om landbrugspolitikker og subsidier for at fremme forhandlinger på WTO-plan og støtte en større udveksling af data om råvarehandel og private lagre med Komitéen for Verdens Fødevaresikkerhed; glæder sig over undertegnelsen af et aftalememorandum mellem WTO og FAO på FN's klimakonference (COP 28) i 2023, som vil styrke samarbejdet om bl.a. landbrugsreformer, fødevaresikkerhed og klimaændringer; fremhæver, at EU bør slå til lyd for højere bæredygtighedskriterier i overensstemmelse med målene i den grønne pagt;</w:t>
      </w:r>
    </w:p>
    <w:p w:rsidR="00B04A9F" w:rsidRPr="00CC7693" w:rsidRDefault="00B04A9F" w:rsidP="00B04A9F">
      <w:pPr>
        <w:pStyle w:val="NormalHanging12a"/>
      </w:pPr>
      <w:r w:rsidRPr="00CC7693">
        <w:t>10.</w:t>
      </w:r>
      <w:r w:rsidRPr="00CC7693">
        <w:tab/>
        <w:t>understreger behovet for et resultat vedrørende fødevaresikkerhed, herunder konkrete foranstaltninger til at øge de mindst udviklede landes og nettofødevareimporterende udviklingslandes modstandsdygtighed i deres reaktion på akut fødevareubalance;</w:t>
      </w:r>
    </w:p>
    <w:p w:rsidR="00B04A9F" w:rsidRPr="00CC7693" w:rsidRDefault="00B04A9F" w:rsidP="00B04A9F">
      <w:pPr>
        <w:pStyle w:val="NormalHanging12a"/>
      </w:pPr>
      <w:r w:rsidRPr="00CC7693">
        <w:t>11.</w:t>
      </w:r>
      <w:r w:rsidRPr="00CC7693">
        <w:tab/>
        <w:t xml:space="preserve">forventer, at WTO-reformen vil skabe en lettere vej til, at </w:t>
      </w:r>
      <w:proofErr w:type="spellStart"/>
      <w:r w:rsidRPr="00CC7693">
        <w:t>plurilaterale</w:t>
      </w:r>
      <w:proofErr w:type="spellEnd"/>
      <w:r w:rsidRPr="00CC7693">
        <w:t xml:space="preserve"> aftaler kan blive </w:t>
      </w:r>
      <w:r w:rsidRPr="00CC7693">
        <w:lastRenderedPageBreak/>
        <w:t>integreret i den multilaterale arkitektur for at sikre fremskridt på områder, der ikke er tilstrækkeligt modne for alle medlemmer; gentager derfor sin opfordring til WTO-medlemmer til at overveje, hvordan der kan udvikles et nyt system med klare principper og et minimum af medlemmer, der bør deltage i et multilateralt initiativ, og på dette grundlag etablere en enkel mekanisme, der gør det muligt at indarbejde de deraf følgende aftaler i WTO-strukturen;</w:t>
      </w:r>
    </w:p>
    <w:p w:rsidR="00B04A9F" w:rsidRPr="00CC7693" w:rsidRDefault="00B04A9F" w:rsidP="00B04A9F">
      <w:pPr>
        <w:pStyle w:val="NormalHanging12a"/>
      </w:pPr>
      <w:r w:rsidRPr="00CC7693">
        <w:t>12.</w:t>
      </w:r>
      <w:r w:rsidRPr="00CC7693">
        <w:tab/>
        <w:t xml:space="preserve">glæder sig over afslutningen af forhandlingerne om aftalen om investeringsfremme for udvikling med henblik på at skabe et mere retfærdigt, gennemsigtigt, effektivt og forudsigeligt miljø for at lette grænseoverskridende investeringer og udviklingslandenes deltagelse i globale investeringsstrømme; støtter indarbejdelsen af denne aftale i WTO's regelsæt i bilag 4 om </w:t>
      </w:r>
      <w:proofErr w:type="spellStart"/>
      <w:r w:rsidRPr="00CC7693">
        <w:t>plurilaterale</w:t>
      </w:r>
      <w:proofErr w:type="spellEnd"/>
      <w:r w:rsidRPr="00CC7693">
        <w:t xml:space="preserve"> handelsaftaler som fastsat i artikel X.9 i WTO-overenskomsten og mener, at dette kan tjene som model for fremtidige </w:t>
      </w:r>
      <w:proofErr w:type="spellStart"/>
      <w:r w:rsidRPr="00CC7693">
        <w:t>plurilaterale</w:t>
      </w:r>
      <w:proofErr w:type="spellEnd"/>
      <w:r w:rsidRPr="00CC7693">
        <w:t xml:space="preserve"> aftaler;</w:t>
      </w:r>
    </w:p>
    <w:p w:rsidR="00B04A9F" w:rsidRPr="00CC7693" w:rsidRDefault="00B04A9F" w:rsidP="00B04A9F">
      <w:pPr>
        <w:pStyle w:val="NormalHanging12a"/>
      </w:pPr>
      <w:r w:rsidRPr="00CC7693">
        <w:t>13.</w:t>
      </w:r>
      <w:r w:rsidRPr="00CC7693">
        <w:tab/>
        <w:t>fremhæver betydningen af multi</w:t>
      </w:r>
      <w:r w:rsidRPr="00CC7693">
        <w:noBreakHyphen/>
        <w:t xml:space="preserve"> og </w:t>
      </w:r>
      <w:proofErr w:type="spellStart"/>
      <w:r w:rsidRPr="00CC7693">
        <w:t>plurilaterale</w:t>
      </w:r>
      <w:proofErr w:type="spellEnd"/>
      <w:r w:rsidRPr="00CC7693">
        <w:t xml:space="preserve"> regler for digital handel, da den i øjeblikket tegner sig for 25 % af den samlede handel; opfordrer på det kraftigste til, at der gøres bestræbelser på at finde en retfærdig og permanent løsning på elektroniske overførsler i forbindelse med moratoriet, navnlig i betragtning af de negative virkninger af en ikkeforlængelse, særlig for kvinder og små og mellemstore virksomheder (</w:t>
      </w:r>
      <w:proofErr w:type="spellStart"/>
      <w:r w:rsidRPr="00CC7693">
        <w:t>SMV'er</w:t>
      </w:r>
      <w:proofErr w:type="spellEnd"/>
      <w:r w:rsidRPr="00CC7693">
        <w:t xml:space="preserve">); glæder sig over og støtter det brede medlemskab, den ambitiøse forhandlingsdagsorden og de fremskridt, der er gjort hidtil i WTO's </w:t>
      </w:r>
      <w:proofErr w:type="spellStart"/>
      <w:r w:rsidRPr="00CC7693">
        <w:t>plurilaterale</w:t>
      </w:r>
      <w:proofErr w:type="spellEnd"/>
      <w:r w:rsidRPr="00CC7693">
        <w:t xml:space="preserve"> forhandlinger om e-handelsregler; fremhæver betydningen af den frie strøm af elektroniske overførsler, som er afgørende for digital handel og reducerer handelsomkostningerne, øger forbrugernes velfærd og eksportens konkurrenceevne og medfører betydelige fordele, navnlig for </w:t>
      </w:r>
      <w:proofErr w:type="spellStart"/>
      <w:r w:rsidRPr="00CC7693">
        <w:t>SMV'er</w:t>
      </w:r>
      <w:proofErr w:type="spellEnd"/>
      <w:r w:rsidRPr="00CC7693">
        <w:t xml:space="preserve"> og udviklingslande; minder om sin holdning om, at en potentiel aftale skal sikre en retfærdig markedsadgang for e-handelsrelaterede varer og tjenesteydelser i tredjelande samt beskyttelse af forbruger- og arbejdstagerrettigheder og fremme virksomhedsinnovation; understreger, at en potentiel aftale om e-handel skal overholde eksisterende og fremtidig EU-lovgivning og give tilstrækkeligt politisk råderum til digital regulering, navnlig for så vidt angår spørgsmål som datastrømme, datalokalisering, databeskyttelse, kunstig intelligens og kildekode; opfordrer alle partnere til fuldt ud at engagere sig i og støtte bestræbelserne på at afslutte forhandlingerne med MC13; understreger behovet for at bygge bro over den digitale kløft ved at udveksle bedste praksis og styrke kapacitetsopbygning;</w:t>
      </w:r>
    </w:p>
    <w:p w:rsidR="00B04A9F" w:rsidRPr="00CC7693" w:rsidRDefault="00B04A9F" w:rsidP="00B04A9F">
      <w:pPr>
        <w:pStyle w:val="NormalHanging12a"/>
      </w:pPr>
      <w:r w:rsidRPr="00CC7693">
        <w:t>14.</w:t>
      </w:r>
      <w:r w:rsidRPr="00CC7693">
        <w:tab/>
        <w:t xml:space="preserve">minder om WTO's forpligtelse over for </w:t>
      </w:r>
      <w:proofErr w:type="spellStart"/>
      <w:r w:rsidRPr="00CC7693">
        <w:t>mikrovirksomheder</w:t>
      </w:r>
      <w:proofErr w:type="spellEnd"/>
      <w:r w:rsidRPr="00CC7693">
        <w:t xml:space="preserve"> og </w:t>
      </w:r>
      <w:proofErr w:type="spellStart"/>
      <w:r w:rsidRPr="00CC7693">
        <w:t>SMV'er</w:t>
      </w:r>
      <w:proofErr w:type="spellEnd"/>
      <w:r w:rsidRPr="00CC7693">
        <w:t xml:space="preserve"> og minder om, at </w:t>
      </w:r>
      <w:proofErr w:type="spellStart"/>
      <w:r w:rsidRPr="00CC7693">
        <w:t>mikrovirksomheder</w:t>
      </w:r>
      <w:proofErr w:type="spellEnd"/>
      <w:r w:rsidRPr="00CC7693">
        <w:t xml:space="preserve"> og </w:t>
      </w:r>
      <w:proofErr w:type="spellStart"/>
      <w:r w:rsidRPr="00CC7693">
        <w:t>SMV'er</w:t>
      </w:r>
      <w:proofErr w:type="spellEnd"/>
      <w:r w:rsidRPr="00CC7693">
        <w:t xml:space="preserve"> udgør en væsentlig del af den globale økonomi og har uudnyttet potentiale i globale værdikæder; opfordrer indtrængende medlemmerne til fortsat at finde løsninger, der kan hjælpe </w:t>
      </w:r>
      <w:proofErr w:type="spellStart"/>
      <w:r w:rsidRPr="00CC7693">
        <w:t>mikrovirksomheder</w:t>
      </w:r>
      <w:proofErr w:type="spellEnd"/>
      <w:r w:rsidRPr="00CC7693">
        <w:t xml:space="preserve"> og </w:t>
      </w:r>
      <w:proofErr w:type="spellStart"/>
      <w:r w:rsidRPr="00CC7693">
        <w:t>SMV'er</w:t>
      </w:r>
      <w:proofErr w:type="spellEnd"/>
      <w:r w:rsidRPr="00CC7693">
        <w:t xml:space="preserve"> med at øge deres deltagelse i verdenshandelen, samtidig med at der tages hensyn til deres særlige behov;</w:t>
      </w:r>
    </w:p>
    <w:p w:rsidR="00B04A9F" w:rsidRPr="00CC7693" w:rsidRDefault="00B04A9F" w:rsidP="00B04A9F">
      <w:pPr>
        <w:pStyle w:val="NormalHanging12a"/>
      </w:pPr>
      <w:r w:rsidRPr="00CC7693">
        <w:t>15.</w:t>
      </w:r>
      <w:r w:rsidRPr="00CC7693">
        <w:tab/>
        <w:t xml:space="preserve">mener, at resultatet af MC13 bør tilvejebringe en handlingsbaseret dagsorden for handelspolitik til støtte for 2030-verdensmålene og Parisaftalen; opfordrer på det kraftigste WTO-medlemmerne til at overveje alle mulige foranstaltninger til at bidrage til at begrænse drivhusgasemissioner i overensstemmelse med UNFCCC og konklusionerne på COP28, styrke tilpasningen til Parisaftalen og klimaneutralitet og udvide samarbejdet i WTO om foranstaltninger, der vedtages på nationalt plan; glæder sig over de konstruktive drøftelser, der har fundet sted inden for rammerne af </w:t>
      </w:r>
      <w:proofErr w:type="spellStart"/>
      <w:r w:rsidRPr="00CC7693">
        <w:t>plurilaterale</w:t>
      </w:r>
      <w:proofErr w:type="spellEnd"/>
      <w:r w:rsidRPr="00CC7693">
        <w:t xml:space="preserve"> initiativer om en subsidiereform for fossilt brændstof, dialog om </w:t>
      </w:r>
      <w:r w:rsidRPr="00CC7693">
        <w:lastRenderedPageBreak/>
        <w:t>plastforurening og de strukturerede drøftelser om handel og miljømæssig bæredygtighed; opfordrer til genoptagelse af forhandlingerne om aftalen om miljøvenlige varer; opfordrer WTO til at lette udvekslingen af oplysninger og samarbejdet mellem WTO's medlemmer om metoder til CO2-prissætning; understreger behovet for at fremme drøftelserne om varer og tjenesteydelser, herunder processer og produktionsmetoder, der bidrager til at løse miljø- og klimaudfordringer; minder om, at enhver ensidig foranstaltning, der træffes af medlemmerne, skal følge WTO's regler, og at beslutningen om at anvende GATT-undtagelser skal overvejes nøje; opfordrer indtrængende EU til at øge bevidstheden om sin bæredygtighedslovgivning såsom direktivet om virksomheders due diligence i forbindelse med bæredygtighed, CO2-grænsetilpasningsmekanismen (CBAM) og skovrydning og forklare motivationerne bag den for at sikre, at den anerkendes som et reelt forsøg uden forskelsbehandling på at bidrage til at håndtere globale miljømål og til at gøre handelen mere bæredygtig, herunder ved at give flere praktiske oplysninger om, hvordan forordningerne finder anvendelse i praksis; glæder sig over den første "branchedag" nogensinde på COP28 og det historiske resultat på COP om at bevæge sig væk fra fossile brændstoffer; forventer, at COP-beslutningen afspejles i WTO's arbejde;</w:t>
      </w:r>
    </w:p>
    <w:p w:rsidR="00B04A9F" w:rsidRPr="00CC7693" w:rsidRDefault="00B04A9F" w:rsidP="00B04A9F">
      <w:pPr>
        <w:pStyle w:val="NormalHanging12a"/>
      </w:pPr>
      <w:r w:rsidRPr="00CC7693">
        <w:t>16.</w:t>
      </w:r>
      <w:r w:rsidRPr="00CC7693">
        <w:tab/>
        <w:t>bekræfter på ny forbindelserne mellem ligestilling og inkluderende udvikling og understreger, at styrkelse af kvinders status er nøglen til at udrydde fattigdom, og at det er afgørende for den økonomiske udvikling samtidig at fjerne hindringer for kvinders deltagelse i handelen og at imødegå de negative virkninger af de nuværende handelsregler for kvinder i deres mangeartede roller; opfordrer alle WTO-medlemmer til at undertegne Buenos Aires-erklæringen fra 2017 om handel og styrkelse af kvinders økonomiske indflydelse og status og opfordrer indtrængende dens underskrivere til at opfylde deres forpligtelser; glæder sig over oprettelsen af WTO's uformelle arbejdsgruppe om handel og kønsspørgsmål; lykønsker WTO med afholdelsen af verdenshandelskongressen om kønsspørgsmål i december 2022, den første internationale forskningskonference om handel og kønsspørgsmål;</w:t>
      </w:r>
    </w:p>
    <w:p w:rsidR="00B04A9F" w:rsidRPr="00CC7693" w:rsidRDefault="00B04A9F" w:rsidP="00B04A9F">
      <w:pPr>
        <w:pStyle w:val="NormalHanging12a"/>
      </w:pPr>
      <w:r w:rsidRPr="00CC7693">
        <w:t>17.</w:t>
      </w:r>
      <w:r w:rsidRPr="00CC7693">
        <w:tab/>
        <w:t>anerkender, at WTO-medlemmerne er blevet enige om at drøfte anvendelsesområdet for TRIPS-afgørelsen til at omfatte covid-19-diagnosticering og -behandling; opfordrer WTO-medlemmerne til at træffe en afgørelse på MC13, samtidig med at incitamenterne til at innovere holdes for øje; opfordrer WTO's medlemmer til at revidere deres nationale love og politikker for at sikre fuld indarbejdelse af alle relevante intellektuelle ejendomsrettigheder, der beskytter adgangen til lægemidler;</w:t>
      </w:r>
    </w:p>
    <w:p w:rsidR="00B04A9F" w:rsidRPr="00CC7693" w:rsidRDefault="00B04A9F" w:rsidP="00B04A9F">
      <w:pPr>
        <w:pStyle w:val="NormalHanging12a"/>
      </w:pPr>
      <w:r w:rsidRPr="00CC7693">
        <w:t>18.</w:t>
      </w:r>
      <w:r w:rsidRPr="00CC7693">
        <w:tab/>
        <w:t>opfordrer Kommissionen og Rådet til at sikre, at Parlamentet fortsat inddrages tæt i forberedelserne til MC13 og hurtigst muligt opdateres og høres under ministerkonferencen i 2024;</w:t>
      </w:r>
    </w:p>
    <w:p w:rsidR="00B04A9F" w:rsidRPr="00CC7693" w:rsidRDefault="00B04A9F" w:rsidP="00B04A9F">
      <w:pPr>
        <w:pStyle w:val="NormalHanging12a"/>
      </w:pPr>
      <w:r w:rsidRPr="00CC7693">
        <w:t>19.</w:t>
      </w:r>
      <w:r w:rsidRPr="00CC7693">
        <w:tab/>
        <w:t>opfordrer WTO's medlemmer til at sikre demokratisk legitimitet og gennemsigtighed ved at styrke WTO's og den parlamentariske konferences parlamentariske dimension;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tilskynder lederne til at støtte en ny fortælling om handel, hvor handel betragtes som katalysator snarere end som en hindring for at opnå bæredygtighed, sikkerhed og inklusion;</w:t>
      </w:r>
    </w:p>
    <w:p w:rsidR="00B04A9F" w:rsidRPr="00CC7693" w:rsidRDefault="00B04A9F" w:rsidP="00B04A9F">
      <w:pPr>
        <w:pStyle w:val="NormalHanging12a"/>
      </w:pPr>
      <w:r w:rsidRPr="00CC7693">
        <w:t>20.</w:t>
      </w:r>
      <w:r w:rsidRPr="00CC7693">
        <w:tab/>
        <w:t xml:space="preserve">opfordrer WTO's medlemmer til at styrke udvekslingen med alle interessenter, herunder </w:t>
      </w:r>
      <w:r w:rsidRPr="00CC7693">
        <w:lastRenderedPageBreak/>
        <w:t>civilsamfundet, fagforeninger og erhvervsorganisationer, samt til at intensivere samarbejdet med andre internationale organisationer såsom Den Internationale Arbejdsorganisation og FN-systemet i bredere forstand; forventer, at ledere i højere grad kommunikerer på alle niveauer om fordelene ved regelbaseret handel;</w:t>
      </w:r>
    </w:p>
    <w:p w:rsidR="00B04A9F" w:rsidRPr="00CC7693" w:rsidRDefault="00B04A9F" w:rsidP="003832C1">
      <w:pPr>
        <w:ind w:left="567" w:hanging="567"/>
      </w:pPr>
      <w:r w:rsidRPr="00CC7693">
        <w:t>21.</w:t>
      </w:r>
      <w:r w:rsidRPr="00CC7693">
        <w:tab/>
        <w:t>pålægger sin formand at sende denne beslutning til Rådet, Kommissionen, medlemsstaternes regeringer og parlamenter og generaldirektøren for Verdenshandelsorganisationen og Den Interparlamentariske Union.</w:t>
      </w:r>
    </w:p>
    <w:sectPr w:rsidR="00B04A9F" w:rsidRPr="00CC7693" w:rsidSect="002A12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57B" w:rsidRPr="002A12EC" w:rsidRDefault="0013757B">
      <w:r w:rsidRPr="002A12EC">
        <w:separator/>
      </w:r>
    </w:p>
  </w:endnote>
  <w:endnote w:type="continuationSeparator" w:id="0">
    <w:p w:rsidR="0013757B" w:rsidRPr="002A12EC" w:rsidRDefault="0013757B">
      <w:r w:rsidRPr="002A12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57B" w:rsidRPr="002A12EC" w:rsidRDefault="0013757B">
      <w:r w:rsidRPr="002A12EC">
        <w:separator/>
      </w:r>
    </w:p>
  </w:footnote>
  <w:footnote w:type="continuationSeparator" w:id="0">
    <w:p w:rsidR="0013757B" w:rsidRPr="002A12EC" w:rsidRDefault="0013757B">
      <w:r w:rsidRPr="002A12EC">
        <w:continuationSeparator/>
      </w:r>
    </w:p>
  </w:footnote>
  <w:footnote w:id="1">
    <w:p w:rsidR="00B04A9F" w:rsidRPr="00CC7693" w:rsidRDefault="00B04A9F" w:rsidP="002A12EC">
      <w:pPr>
        <w:pStyle w:val="FootnoteText"/>
        <w:ind w:left="567" w:hanging="567"/>
        <w:rPr>
          <w:rStyle w:val="FootnoteReference"/>
          <w:sz w:val="24"/>
          <w:vertAlign w:val="baseline"/>
          <w:lang w:val="da-DK"/>
        </w:rPr>
      </w:pPr>
      <w:r w:rsidRPr="002A12EC">
        <w:rPr>
          <w:rStyle w:val="FootnoteReference"/>
          <w:sz w:val="24"/>
          <w:lang w:val="da-DK"/>
        </w:rPr>
        <w:footnoteRef/>
      </w:r>
      <w:r w:rsidR="002A12EC" w:rsidRPr="002A12EC">
        <w:rPr>
          <w:sz w:val="24"/>
          <w:lang w:val="da-DK"/>
        </w:rPr>
        <w:t xml:space="preserve"> </w:t>
      </w:r>
      <w:r w:rsidR="002A12EC" w:rsidRPr="002A12EC">
        <w:rPr>
          <w:sz w:val="24"/>
          <w:lang w:val="da-DK"/>
        </w:rPr>
        <w:tab/>
      </w:r>
      <w:r w:rsidRPr="00CC7693">
        <w:rPr>
          <w:rStyle w:val="FootnoteReference"/>
          <w:sz w:val="24"/>
          <w:vertAlign w:val="baseline"/>
          <w:lang w:val="da-DK"/>
        </w:rPr>
        <w:t>Ministererklæringen fra Doha (WT/MIN(01)/DEC/1) af 14.</w:t>
      </w:r>
      <w:r w:rsidRPr="005A1C61">
        <w:rPr>
          <w:sz w:val="24"/>
          <w:lang w:val="da-DK"/>
        </w:rPr>
        <w:t> </w:t>
      </w:r>
      <w:r w:rsidRPr="00CC7693">
        <w:rPr>
          <w:rStyle w:val="FootnoteReference"/>
          <w:sz w:val="24"/>
          <w:vertAlign w:val="baseline"/>
          <w:lang w:val="da-DK"/>
        </w:rPr>
        <w:t>november</w:t>
      </w:r>
      <w:r w:rsidRPr="005A1C61">
        <w:rPr>
          <w:sz w:val="24"/>
          <w:lang w:val="da-DK"/>
        </w:rPr>
        <w:t> </w:t>
      </w:r>
      <w:r w:rsidRPr="00CC7693">
        <w:rPr>
          <w:rStyle w:val="FootnoteReference"/>
          <w:sz w:val="24"/>
          <w:vertAlign w:val="baseline"/>
          <w:lang w:val="da-DK"/>
        </w:rPr>
        <w:t>2001.</w:t>
      </w:r>
    </w:p>
  </w:footnote>
  <w:footnote w:id="2">
    <w:p w:rsidR="00B04A9F" w:rsidRPr="00CC7693" w:rsidRDefault="00B04A9F" w:rsidP="002A12EC">
      <w:pPr>
        <w:pStyle w:val="FootnoteText"/>
        <w:ind w:left="567" w:hanging="567"/>
        <w:rPr>
          <w:rStyle w:val="FootnoteReference"/>
          <w:sz w:val="24"/>
          <w:vertAlign w:val="baseline"/>
          <w:lang w:val="da-DK"/>
        </w:rPr>
      </w:pPr>
      <w:r w:rsidRPr="002A12EC">
        <w:rPr>
          <w:rStyle w:val="FootnoteReference"/>
          <w:sz w:val="24"/>
          <w:lang w:val="da-DK"/>
        </w:rPr>
        <w:footnoteRef/>
      </w:r>
      <w:r w:rsidR="002A12EC" w:rsidRPr="002A12EC">
        <w:rPr>
          <w:sz w:val="24"/>
          <w:lang w:val="da-DK"/>
        </w:rPr>
        <w:t xml:space="preserve"> </w:t>
      </w:r>
      <w:r w:rsidR="002A12EC" w:rsidRPr="002A12EC">
        <w:rPr>
          <w:sz w:val="24"/>
          <w:lang w:val="da-DK"/>
        </w:rPr>
        <w:tab/>
      </w:r>
      <w:r w:rsidRPr="00CC7693">
        <w:rPr>
          <w:rStyle w:val="FootnoteReference"/>
          <w:sz w:val="24"/>
          <w:vertAlign w:val="baseline"/>
          <w:lang w:val="da-DK"/>
        </w:rPr>
        <w:t>EUT C 224 af 8.6.2022, s. 89.</w:t>
      </w:r>
    </w:p>
  </w:footnote>
  <w:footnote w:id="3">
    <w:p w:rsidR="00B04A9F" w:rsidRPr="00CC7693" w:rsidRDefault="00B04A9F" w:rsidP="002A12EC">
      <w:pPr>
        <w:pStyle w:val="FootnoteText"/>
        <w:ind w:left="567" w:hanging="567"/>
        <w:rPr>
          <w:rStyle w:val="FootnoteReference"/>
          <w:sz w:val="24"/>
          <w:vertAlign w:val="baseline"/>
          <w:lang w:val="da-DK"/>
        </w:rPr>
      </w:pPr>
      <w:r w:rsidRPr="002A12EC">
        <w:rPr>
          <w:rStyle w:val="FootnoteReference"/>
          <w:sz w:val="24"/>
          <w:lang w:val="da-DK"/>
        </w:rPr>
        <w:footnoteRef/>
      </w:r>
      <w:r w:rsidR="002A12EC" w:rsidRPr="002A12EC">
        <w:rPr>
          <w:sz w:val="24"/>
          <w:lang w:val="da-DK"/>
        </w:rPr>
        <w:t xml:space="preserve"> </w:t>
      </w:r>
      <w:r w:rsidR="002A12EC" w:rsidRPr="002A12EC">
        <w:rPr>
          <w:sz w:val="24"/>
          <w:lang w:val="da-DK"/>
        </w:rPr>
        <w:tab/>
      </w:r>
      <w:r w:rsidRPr="00CC7693">
        <w:rPr>
          <w:rStyle w:val="FootnoteReference"/>
          <w:sz w:val="24"/>
          <w:vertAlign w:val="baseline"/>
          <w:lang w:val="da-DK"/>
        </w:rPr>
        <w:t>EUT C 363 af 28.10.2020, s. 113.</w:t>
      </w:r>
    </w:p>
  </w:footnote>
  <w:footnote w:id="4">
    <w:p w:rsidR="00B04A9F" w:rsidRPr="00CC7693" w:rsidRDefault="00B04A9F" w:rsidP="002A12EC">
      <w:pPr>
        <w:pStyle w:val="FootnoteText"/>
        <w:ind w:left="567" w:hanging="567"/>
        <w:rPr>
          <w:rStyle w:val="FootnoteReference"/>
          <w:sz w:val="24"/>
          <w:vertAlign w:val="baseline"/>
          <w:lang w:val="da-DK"/>
        </w:rPr>
      </w:pPr>
      <w:r w:rsidRPr="002A12EC">
        <w:rPr>
          <w:rStyle w:val="FootnoteReference"/>
          <w:sz w:val="24"/>
          <w:lang w:val="da-DK"/>
        </w:rPr>
        <w:footnoteRef/>
      </w:r>
      <w:r w:rsidR="002A12EC" w:rsidRPr="002A12EC">
        <w:rPr>
          <w:sz w:val="24"/>
          <w:lang w:val="da-DK"/>
        </w:rPr>
        <w:t xml:space="preserve"> </w:t>
      </w:r>
      <w:r w:rsidR="002A12EC" w:rsidRPr="002A12EC">
        <w:rPr>
          <w:sz w:val="24"/>
          <w:lang w:val="da-DK"/>
        </w:rPr>
        <w:tab/>
      </w:r>
      <w:r w:rsidRPr="00CC7693">
        <w:rPr>
          <w:rStyle w:val="FootnoteReference"/>
          <w:sz w:val="24"/>
          <w:vertAlign w:val="baseline"/>
          <w:lang w:val="da-DK"/>
        </w:rPr>
        <w:t>EUT C 232 af 16.6.2021, s. 62.</w:t>
      </w:r>
    </w:p>
  </w:footnote>
  <w:footnote w:id="5">
    <w:p w:rsidR="00B04A9F" w:rsidRPr="00CC7693" w:rsidRDefault="00B04A9F" w:rsidP="002A12EC">
      <w:pPr>
        <w:pStyle w:val="FootnoteText"/>
        <w:ind w:left="567" w:hanging="567"/>
        <w:rPr>
          <w:rStyle w:val="FootnoteReference"/>
          <w:sz w:val="24"/>
          <w:vertAlign w:val="baseline"/>
          <w:lang w:val="da-DK"/>
        </w:rPr>
      </w:pPr>
      <w:r w:rsidRPr="002A12EC">
        <w:rPr>
          <w:rStyle w:val="FootnoteReference"/>
          <w:sz w:val="24"/>
          <w:lang w:val="da-DK"/>
        </w:rPr>
        <w:footnoteRef/>
      </w:r>
      <w:r w:rsidR="002A12EC" w:rsidRPr="002A12EC">
        <w:rPr>
          <w:sz w:val="24"/>
          <w:lang w:val="da-DK"/>
        </w:rPr>
        <w:t xml:space="preserve"> </w:t>
      </w:r>
      <w:r w:rsidR="002A12EC" w:rsidRPr="002A12EC">
        <w:rPr>
          <w:sz w:val="24"/>
          <w:lang w:val="da-DK"/>
        </w:rPr>
        <w:tab/>
      </w:r>
      <w:r w:rsidR="00822394">
        <w:fldChar w:fldCharType="begin"/>
      </w:r>
      <w:r w:rsidR="00822394" w:rsidRPr="00822394">
        <w:rPr>
          <w:lang w:val="da-DK"/>
        </w:rPr>
        <w:instrText xml:space="preserve"> HYPERLINK "https://www.europarl.europa.eu/cmsdata/158345/outcome_document-final-e.pdf" </w:instrText>
      </w:r>
      <w:r w:rsidR="00822394">
        <w:fldChar w:fldCharType="separate"/>
      </w:r>
      <w:r w:rsidRPr="00CC7693">
        <w:rPr>
          <w:rStyle w:val="FootnoteReference"/>
          <w:sz w:val="24"/>
          <w:vertAlign w:val="baseline"/>
          <w:lang w:val="da-DK"/>
        </w:rPr>
        <w:t>https://www.europarl.europa.eu/cmsdata/158345/outcome_document-final-e.pdf</w:t>
      </w:r>
      <w:r w:rsidR="00822394">
        <w:rPr>
          <w:rStyle w:val="FootnoteReference"/>
          <w:sz w:val="24"/>
          <w:vertAlign w:val="baseline"/>
          <w:lang w:val="da-DK"/>
        </w:rPr>
        <w:fldChar w:fldCharType="end"/>
      </w:r>
    </w:p>
  </w:footnote>
  <w:footnote w:id="6">
    <w:p w:rsidR="00B04A9F" w:rsidRPr="005A1C61" w:rsidRDefault="00B04A9F" w:rsidP="002A12EC">
      <w:pPr>
        <w:pStyle w:val="FootnoteText"/>
        <w:ind w:left="567" w:hanging="567"/>
        <w:rPr>
          <w:sz w:val="24"/>
          <w:lang w:val="da-DK"/>
        </w:rPr>
      </w:pPr>
      <w:r w:rsidRPr="002A12EC">
        <w:rPr>
          <w:rStyle w:val="FootnoteReference"/>
          <w:sz w:val="24"/>
          <w:lang w:val="da-DK"/>
        </w:rPr>
        <w:footnoteRef/>
      </w:r>
      <w:r w:rsidR="002A12EC" w:rsidRPr="002A12EC">
        <w:rPr>
          <w:sz w:val="24"/>
          <w:lang w:val="da-DK"/>
        </w:rPr>
        <w:t xml:space="preserve"> </w:t>
      </w:r>
      <w:r w:rsidR="002A12EC" w:rsidRPr="002A12EC">
        <w:rPr>
          <w:sz w:val="24"/>
          <w:lang w:val="da-DK"/>
        </w:rPr>
        <w:tab/>
      </w:r>
      <w:r w:rsidRPr="00CC7693">
        <w:rPr>
          <w:rStyle w:val="FootnoteReference"/>
          <w:sz w:val="24"/>
          <w:vertAlign w:val="baseline"/>
          <w:lang w:val="da-DK"/>
        </w:rPr>
        <w:t>https://www.europarl.europa.eu/cmsdata/231517/2017_PCWTO_outcome_EN.pdf</w:t>
      </w:r>
      <w:r w:rsidRPr="005A1C61">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DA"/>
    <w:docVar w:name="dvnumam" w:val="0"/>
    <w:docVar w:name="dvpe" w:val="753.647"/>
    <w:docVar w:name="dvtitre" w:val="Europa-Parlamentets beslutning af xx. februar 2024 om multilaterale forhandlinger med henblik på WTO's 13. ministerkonference i Abu Dhabi, den 26.-29. februar 2024(2023/2868(RSP))"/>
  </w:docVars>
  <w:rsids>
    <w:rsidRoot w:val="0013757B"/>
    <w:rsid w:val="00002272"/>
    <w:rsid w:val="00064002"/>
    <w:rsid w:val="000677B9"/>
    <w:rsid w:val="000831BA"/>
    <w:rsid w:val="000A42CC"/>
    <w:rsid w:val="000E7DD9"/>
    <w:rsid w:val="0010095E"/>
    <w:rsid w:val="00125B37"/>
    <w:rsid w:val="0013757B"/>
    <w:rsid w:val="00187494"/>
    <w:rsid w:val="001F32AE"/>
    <w:rsid w:val="002767FF"/>
    <w:rsid w:val="002A12EC"/>
    <w:rsid w:val="002B18FE"/>
    <w:rsid w:val="002B5493"/>
    <w:rsid w:val="00343214"/>
    <w:rsid w:val="00361C00"/>
    <w:rsid w:val="003832C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C61"/>
    <w:rsid w:val="005B6E30"/>
    <w:rsid w:val="005C2568"/>
    <w:rsid w:val="006037C0"/>
    <w:rsid w:val="006631B6"/>
    <w:rsid w:val="00680577"/>
    <w:rsid w:val="006F74FA"/>
    <w:rsid w:val="00731ADD"/>
    <w:rsid w:val="00734777"/>
    <w:rsid w:val="00747932"/>
    <w:rsid w:val="00750BFC"/>
    <w:rsid w:val="00751A4A"/>
    <w:rsid w:val="00756632"/>
    <w:rsid w:val="00762C74"/>
    <w:rsid w:val="00786EC0"/>
    <w:rsid w:val="007D1690"/>
    <w:rsid w:val="007E22AD"/>
    <w:rsid w:val="00817416"/>
    <w:rsid w:val="0082239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A9F"/>
    <w:rsid w:val="00B12E95"/>
    <w:rsid w:val="00B22876"/>
    <w:rsid w:val="00B558F0"/>
    <w:rsid w:val="00BA79BC"/>
    <w:rsid w:val="00BD48FE"/>
    <w:rsid w:val="00BD7BD8"/>
    <w:rsid w:val="00BE6ADC"/>
    <w:rsid w:val="00C05BFE"/>
    <w:rsid w:val="00C23CD4"/>
    <w:rsid w:val="00C61C0C"/>
    <w:rsid w:val="00C941CB"/>
    <w:rsid w:val="00CC2357"/>
    <w:rsid w:val="00CC769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CD57B"/>
  <w15:chartTrackingRefBased/>
  <w15:docId w15:val="{E7C3157F-A312-41E5-98B9-FEEA5F7AA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4A9F"/>
    <w:pPr>
      <w:spacing w:before="480" w:after="240"/>
    </w:pPr>
  </w:style>
  <w:style w:type="paragraph" w:customStyle="1" w:styleId="NormalHanging12a">
    <w:name w:val="NormalHanging12a"/>
    <w:basedOn w:val="Normal"/>
    <w:link w:val="NormalHanging12aChar"/>
    <w:rsid w:val="00B04A9F"/>
    <w:pPr>
      <w:spacing w:after="240"/>
      <w:ind w:left="567" w:hanging="567"/>
    </w:pPr>
  </w:style>
  <w:style w:type="character" w:customStyle="1" w:styleId="NormalHanging12aChar">
    <w:name w:val="NormalHanging12a Char"/>
    <w:basedOn w:val="DefaultParagraphFont"/>
    <w:link w:val="NormalHanging12a"/>
    <w:locked/>
    <w:rsid w:val="00B04A9F"/>
    <w:rPr>
      <w:sz w:val="24"/>
      <w:lang w:val="da-DK"/>
    </w:rPr>
  </w:style>
  <w:style w:type="paragraph" w:styleId="BalloonText">
    <w:name w:val="Balloon Text"/>
    <w:basedOn w:val="Normal"/>
    <w:link w:val="BalloonTextChar"/>
    <w:rsid w:val="005A1C61"/>
    <w:rPr>
      <w:rFonts w:ascii="Segoe UI" w:hAnsi="Segoe UI" w:cs="Segoe UI"/>
      <w:sz w:val="18"/>
      <w:szCs w:val="18"/>
    </w:rPr>
  </w:style>
  <w:style w:type="character" w:customStyle="1" w:styleId="BalloonTextChar">
    <w:name w:val="Balloon Text Char"/>
    <w:basedOn w:val="DefaultParagraphFont"/>
    <w:link w:val="BalloonText"/>
    <w:rsid w:val="005A1C6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9A22D-00F7-4F72-8C7E-69542E4AC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3203</Words>
  <Characters>20029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2024-02-08T11:55:00Z</dcterms:created>
  <dcterms:modified xsi:type="dcterms:W3CDTF">2024-02-08T11:55:00Z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B9-0090/2024</vt:lpwstr>
  </property>
  <property fmtid="{D5CDD505-2E9C-101B-9397-08002B2CF9AE}" pid="4" name="&lt;Type&gt;">
    <vt:lpwstr>RR</vt:lpwstr>
  </property>
</Properties>
</file>