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1A7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21A76" w:rsidRDefault="00FD094C" w:rsidP="0010095E">
            <w:pPr>
              <w:pStyle w:val="EPName"/>
            </w:pPr>
            <w:bookmarkStart w:id="0" w:name="_GoBack"/>
            <w:bookmarkEnd w:id="0"/>
            <w:r w:rsidRPr="00D21A76">
              <w:t>Europski parlament</w:t>
            </w:r>
          </w:p>
          <w:p w:rsidR="00751A4A" w:rsidRPr="00D21A7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1A7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21A76" w:rsidRDefault="00187494" w:rsidP="0010095E">
            <w:pPr>
              <w:pStyle w:val="EPLogo"/>
            </w:pPr>
            <w:r w:rsidRPr="00D21A7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21A76" w:rsidRDefault="00D058B8" w:rsidP="004C5D52">
      <w:pPr>
        <w:pStyle w:val="LineTop"/>
      </w:pPr>
    </w:p>
    <w:p w:rsidR="00680577" w:rsidRPr="00D21A76" w:rsidRDefault="00FD094C" w:rsidP="00680577">
      <w:pPr>
        <w:pStyle w:val="EPBodyTA1"/>
      </w:pPr>
      <w:r w:rsidRPr="00D21A76">
        <w:t>USVOJENI TEKSTOVI</w:t>
      </w:r>
    </w:p>
    <w:p w:rsidR="00D058B8" w:rsidRPr="00D21A76" w:rsidRDefault="00D058B8" w:rsidP="00D058B8">
      <w:pPr>
        <w:pStyle w:val="LineBottom"/>
      </w:pPr>
    </w:p>
    <w:p w:rsidR="00FD094C" w:rsidRPr="00D21A76" w:rsidRDefault="00FD094C" w:rsidP="00FD094C">
      <w:pPr>
        <w:pStyle w:val="ATHeading1"/>
      </w:pPr>
      <w:bookmarkStart w:id="1" w:name="TANumber"/>
      <w:r w:rsidRPr="00D21A76">
        <w:t>P9_TA(2024)00</w:t>
      </w:r>
      <w:bookmarkEnd w:id="1"/>
      <w:r w:rsidR="00727BF8" w:rsidRPr="00D21A76">
        <w:t>78</w:t>
      </w:r>
    </w:p>
    <w:p w:rsidR="00FD094C" w:rsidRPr="00D21A76" w:rsidRDefault="00E34122" w:rsidP="00FD094C">
      <w:pPr>
        <w:pStyle w:val="ATHeading2"/>
      </w:pPr>
      <w:bookmarkStart w:id="2" w:name="title"/>
      <w:r w:rsidRPr="00D21A76">
        <w:t>Multilateralni pregovori</w:t>
      </w:r>
      <w:r w:rsidR="00FD094C" w:rsidRPr="00D21A76">
        <w:t xml:space="preserve"> uoči 13. ministarske konferencije WTO-a koja će se održati u Abu </w:t>
      </w:r>
      <w:proofErr w:type="spellStart"/>
      <w:r w:rsidR="00FD094C" w:rsidRPr="00D21A76">
        <w:t>Dhabiju</w:t>
      </w:r>
      <w:proofErr w:type="spellEnd"/>
      <w:r w:rsidR="00FD094C" w:rsidRPr="00D21A76">
        <w:t xml:space="preserve"> od 26. do 29. veljače 2024. </w:t>
      </w:r>
      <w:bookmarkEnd w:id="2"/>
    </w:p>
    <w:p w:rsidR="00FD094C" w:rsidRPr="00D21A76" w:rsidRDefault="00FD094C" w:rsidP="00FD094C">
      <w:pPr>
        <w:rPr>
          <w:i/>
          <w:vanish/>
        </w:rPr>
      </w:pPr>
      <w:r w:rsidRPr="00D21A76">
        <w:rPr>
          <w:i/>
        </w:rPr>
        <w:fldChar w:fldCharType="begin"/>
      </w:r>
      <w:r w:rsidRPr="00D21A76">
        <w:rPr>
          <w:i/>
        </w:rPr>
        <w:instrText xml:space="preserve"> TC"(</w:instrText>
      </w:r>
      <w:bookmarkStart w:id="3" w:name="DocNumber"/>
      <w:r w:rsidRPr="00D21A76">
        <w:rPr>
          <w:i/>
        </w:rPr>
        <w:instrText>B9-0090/2024</w:instrText>
      </w:r>
      <w:bookmarkEnd w:id="3"/>
      <w:r w:rsidRPr="00D21A76">
        <w:rPr>
          <w:i/>
        </w:rPr>
        <w:instrText xml:space="preserve">)"\l3 \n&gt; \* MERGEFORMAT </w:instrText>
      </w:r>
      <w:r w:rsidRPr="00D21A76">
        <w:rPr>
          <w:i/>
        </w:rPr>
        <w:fldChar w:fldCharType="end"/>
      </w:r>
    </w:p>
    <w:p w:rsidR="00FD094C" w:rsidRPr="00D21A76" w:rsidRDefault="00FD094C" w:rsidP="00FD094C">
      <w:pPr>
        <w:rPr>
          <w:vanish/>
        </w:rPr>
      </w:pPr>
      <w:bookmarkStart w:id="4" w:name="PE"/>
      <w:r w:rsidRPr="00D21A76">
        <w:rPr>
          <w:vanish/>
        </w:rPr>
        <w:t>PE753.647</w:t>
      </w:r>
      <w:bookmarkEnd w:id="4"/>
    </w:p>
    <w:p w:rsidR="00FD094C" w:rsidRPr="00D21A76" w:rsidRDefault="00FD094C" w:rsidP="00FD094C">
      <w:pPr>
        <w:pStyle w:val="ATHeading3"/>
      </w:pPr>
      <w:bookmarkStart w:id="5" w:name="Sujet"/>
      <w:r w:rsidRPr="00D21A76">
        <w:t>Rezoluc</w:t>
      </w:r>
      <w:r w:rsidR="00E34122" w:rsidRPr="00D21A76">
        <w:t>ija Europskog parlamenta od 8. veljače</w:t>
      </w:r>
      <w:r w:rsidRPr="00D21A76">
        <w:t xml:space="preserve"> 2024. o multilateralnim pregovorima uoči 13. ministarske konferencije WTO-a koja će se održati u Abu </w:t>
      </w:r>
      <w:proofErr w:type="spellStart"/>
      <w:r w:rsidRPr="00D21A76">
        <w:t>Dhabiju</w:t>
      </w:r>
      <w:proofErr w:type="spellEnd"/>
      <w:r w:rsidRPr="00D21A76">
        <w:t xml:space="preserve"> od 26. do 29. veljače 2024.</w:t>
      </w:r>
      <w:bookmarkEnd w:id="5"/>
      <w:r w:rsidRPr="00D21A76">
        <w:t xml:space="preserve"> </w:t>
      </w:r>
      <w:bookmarkStart w:id="6" w:name="References"/>
      <w:r w:rsidRPr="00D21A76">
        <w:t>(2023/2868(RSP))</w:t>
      </w:r>
      <w:bookmarkEnd w:id="6"/>
    </w:p>
    <w:p w:rsidR="00575F71" w:rsidRPr="00D21A76" w:rsidRDefault="00575F71" w:rsidP="00575F71">
      <w:pPr>
        <w:pStyle w:val="EPComma"/>
      </w:pPr>
      <w:bookmarkStart w:id="7" w:name="TextBodyBegin"/>
      <w:bookmarkEnd w:id="7"/>
      <w:r w:rsidRPr="00D21A76">
        <w:rPr>
          <w:i/>
          <w:iCs/>
        </w:rPr>
        <w:t>Europski parlament</w:t>
      </w:r>
      <w:r w:rsidRPr="00D21A76">
        <w:t>,</w:t>
      </w:r>
    </w:p>
    <w:p w:rsidR="00575F71" w:rsidRPr="00D21A76" w:rsidRDefault="00575F71" w:rsidP="00575F71">
      <w:pPr>
        <w:pStyle w:val="NormalHanging12a"/>
        <w:widowControl/>
        <w:rPr>
          <w:szCs w:val="24"/>
        </w:rPr>
      </w:pPr>
      <w:r w:rsidRPr="00D21A76">
        <w:t>–</w:t>
      </w:r>
      <w:r w:rsidRPr="00D21A76">
        <w:tab/>
        <w:t xml:space="preserve">uzimajući u obzir Sporazum iz </w:t>
      </w:r>
      <w:proofErr w:type="spellStart"/>
      <w:r w:rsidRPr="00D21A76">
        <w:t>Marakeša</w:t>
      </w:r>
      <w:proofErr w:type="spellEnd"/>
      <w:r w:rsidRPr="00D21A76">
        <w:t xml:space="preserve"> od 15. travnja 1994. o osnivanju Svjetske trgovinske organizacije (WTO),</w:t>
      </w:r>
    </w:p>
    <w:p w:rsidR="00575F71" w:rsidRPr="00D21A76" w:rsidRDefault="00575F71" w:rsidP="00575F71">
      <w:pPr>
        <w:pStyle w:val="NormalHanging12a"/>
        <w:widowControl/>
        <w:rPr>
          <w:szCs w:val="24"/>
        </w:rPr>
      </w:pPr>
      <w:r w:rsidRPr="00D21A76">
        <w:t>–</w:t>
      </w:r>
      <w:r w:rsidRPr="00D21A76">
        <w:tab/>
        <w:t>uzimajući u obzir Ministarsku deklaraciju WTO-a iz Dohe od 14. studenoga 2001.</w:t>
      </w:r>
      <w:r w:rsidRPr="00D21A76">
        <w:rPr>
          <w:rStyle w:val="FootnoteReference"/>
          <w:color w:val="000000"/>
          <w:szCs w:val="24"/>
        </w:rPr>
        <w:footnoteReference w:id="1"/>
      </w:r>
      <w:r w:rsidRPr="00D21A76">
        <w:t>,</w:t>
      </w:r>
    </w:p>
    <w:p w:rsidR="00575F71" w:rsidRPr="00D21A76" w:rsidRDefault="00575F71" w:rsidP="00575F71">
      <w:pPr>
        <w:pStyle w:val="NormalHanging12a"/>
        <w:widowControl/>
        <w:rPr>
          <w:szCs w:val="24"/>
        </w:rPr>
      </w:pPr>
      <w:r w:rsidRPr="00D21A76">
        <w:t>–</w:t>
      </w:r>
      <w:r w:rsidRPr="00D21A76">
        <w:tab/>
        <w:t>uzimajući u obzir svoje prethodne rezolucije o WTO-u, osobito one od 25. studenoga 2021. o multilateralnim pregovorima uoči 12. ministarske konferencije WTO-a</w:t>
      </w:r>
      <w:r w:rsidRPr="00D21A76">
        <w:rPr>
          <w:rStyle w:val="FootnoteReference"/>
          <w:color w:val="000000"/>
          <w:szCs w:val="24"/>
        </w:rPr>
        <w:footnoteReference w:id="2"/>
      </w:r>
      <w:r w:rsidRPr="00D21A76">
        <w:t>, od 29. studenoga 2018. naslovljenu „WTO: smjernice za budućnost”</w:t>
      </w:r>
      <w:r w:rsidRPr="00D21A76">
        <w:rPr>
          <w:rStyle w:val="FootnoteReference"/>
          <w:color w:val="000000"/>
          <w:szCs w:val="24"/>
        </w:rPr>
        <w:footnoteReference w:id="3"/>
      </w:r>
      <w:r w:rsidRPr="00D21A76">
        <w:t xml:space="preserve"> i od 28. studenoga 2019. o krizi žalbenog tijela WTO-a</w:t>
      </w:r>
      <w:r w:rsidRPr="00D21A76">
        <w:rPr>
          <w:rStyle w:val="FootnoteReference"/>
          <w:color w:val="000000"/>
          <w:szCs w:val="24"/>
        </w:rPr>
        <w:footnoteReference w:id="4"/>
      </w:r>
      <w:r w:rsidRPr="00D21A76">
        <w:t>,</w:t>
      </w:r>
    </w:p>
    <w:p w:rsidR="00575F71" w:rsidRPr="00D21A76" w:rsidRDefault="00575F71" w:rsidP="00575F71">
      <w:pPr>
        <w:pStyle w:val="NormalHanging12a"/>
        <w:rPr>
          <w:color w:val="000000"/>
        </w:rPr>
      </w:pPr>
      <w:r w:rsidRPr="00D21A76">
        <w:t>–</w:t>
      </w:r>
      <w:r w:rsidRPr="00D21A76">
        <w:tab/>
        <w:t>uzimajući u obzir zaključne dokumente usvojene konsenzusom na godišnjim sjednicama Parlamentarne konferencije o WTO-u 7. prosinca 2018. u Ženevi</w:t>
      </w:r>
      <w:r w:rsidRPr="00D21A76">
        <w:rPr>
          <w:rStyle w:val="FootnoteReference"/>
          <w:color w:val="000000"/>
          <w:szCs w:val="24"/>
        </w:rPr>
        <w:footnoteReference w:id="5"/>
      </w:r>
      <w:r w:rsidRPr="00D21A76">
        <w:rPr>
          <w:color w:val="000000"/>
        </w:rPr>
        <w:t xml:space="preserve"> i 10. prosinca 2017. u Buenos Airesu</w:t>
      </w:r>
      <w:r w:rsidRPr="00D21A76">
        <w:rPr>
          <w:rStyle w:val="FootnoteReference"/>
          <w:color w:val="000000"/>
          <w:szCs w:val="24"/>
        </w:rPr>
        <w:footnoteReference w:id="6"/>
      </w:r>
      <w:r w:rsidRPr="00D21A76">
        <w:rPr>
          <w:color w:val="000000"/>
        </w:rPr>
        <w:t>,</w:t>
      </w:r>
    </w:p>
    <w:p w:rsidR="00575F71" w:rsidRPr="00D21A76" w:rsidRDefault="00575F71" w:rsidP="00575F71">
      <w:pPr>
        <w:pStyle w:val="NormalHanging12a"/>
        <w:rPr>
          <w:color w:val="000000"/>
        </w:rPr>
      </w:pPr>
      <w:r w:rsidRPr="00D21A76">
        <w:rPr>
          <w:color w:val="000000"/>
        </w:rPr>
        <w:t>–</w:t>
      </w:r>
      <w:r w:rsidRPr="00D21A76">
        <w:rPr>
          <w:color w:val="000000"/>
        </w:rPr>
        <w:tab/>
        <w:t>uzimajući u obzir rezultate 12. ministarske konferencije WTO-a održane u Ženevi u lipnju 2022. (MC12), koji uključuju zaključni dokument, niz ministarskih odluka i izjava te Sporazum o subvencijama za ribarstvo,</w:t>
      </w:r>
    </w:p>
    <w:p w:rsidR="00575F71" w:rsidRPr="00D21A76" w:rsidRDefault="00575F71" w:rsidP="00575F71">
      <w:pPr>
        <w:pStyle w:val="NormalHanging12a"/>
        <w:rPr>
          <w:color w:val="000000"/>
        </w:rPr>
      </w:pPr>
      <w:r w:rsidRPr="00D21A76">
        <w:rPr>
          <w:color w:val="000000"/>
        </w:rPr>
        <w:t>–</w:t>
      </w:r>
      <w:r w:rsidRPr="00D21A76">
        <w:rPr>
          <w:color w:val="000000"/>
        </w:rPr>
        <w:tab/>
        <w:t xml:space="preserve">uzimajući u obzir rezultate 11. ministarske konferencije WTO-a održane u Buenos Airesu u prosincu 2017. (MC11), koji uključuju niz ministarskih odluka i zajedničkih izjava o elektroničkoj trgovini, olakšavanju ulaganja, domaćim propisima o uslugama te </w:t>
      </w:r>
      <w:r w:rsidRPr="00D21A76">
        <w:rPr>
          <w:color w:val="000000"/>
        </w:rPr>
        <w:lastRenderedPageBreak/>
        <w:t xml:space="preserve">o </w:t>
      </w:r>
      <w:proofErr w:type="spellStart"/>
      <w:r w:rsidRPr="00D21A76">
        <w:rPr>
          <w:color w:val="000000"/>
        </w:rPr>
        <w:t>mikropoduzećima</w:t>
      </w:r>
      <w:proofErr w:type="spellEnd"/>
      <w:r w:rsidRPr="00D21A76">
        <w:rPr>
          <w:color w:val="000000"/>
        </w:rPr>
        <w:t xml:space="preserve"> te malim i srednjim poduzećima,</w:t>
      </w:r>
    </w:p>
    <w:p w:rsidR="00575F71" w:rsidRPr="00D21A76" w:rsidRDefault="00575F71" w:rsidP="00575F71">
      <w:pPr>
        <w:pStyle w:val="NormalHanging12a"/>
        <w:rPr>
          <w:color w:val="000000"/>
        </w:rPr>
      </w:pPr>
      <w:r w:rsidRPr="00D21A76">
        <w:rPr>
          <w:color w:val="000000"/>
        </w:rPr>
        <w:t>–</w:t>
      </w:r>
      <w:r w:rsidRPr="00D21A76">
        <w:rPr>
          <w:color w:val="000000"/>
        </w:rPr>
        <w:tab/>
        <w:t>uzimajući u obzir Deklaraciju iz Buenos Airesa o trgovini i gospodarskom osnaživanju žena usvojenu 12. prosinca 2017. i neformalnu radnu skupinu za trgovinu i rodna pitanja osnovanu 23. rujna 2020.,</w:t>
      </w:r>
    </w:p>
    <w:p w:rsidR="00575F71" w:rsidRPr="00D21A76" w:rsidRDefault="00575F71" w:rsidP="00575F71">
      <w:pPr>
        <w:pStyle w:val="NormalHanging12a"/>
        <w:rPr>
          <w:color w:val="000000"/>
        </w:rPr>
      </w:pPr>
      <w:r w:rsidRPr="00D21A76">
        <w:rPr>
          <w:color w:val="000000"/>
        </w:rPr>
        <w:t>–</w:t>
      </w:r>
      <w:r w:rsidRPr="00D21A76">
        <w:rPr>
          <w:color w:val="000000"/>
        </w:rPr>
        <w:tab/>
        <w:t>uzimajući u obzir ministarske izjave ministara i ministrica</w:t>
      </w:r>
      <w:r w:rsidRPr="00D21A76">
        <w:t xml:space="preserve"> koji predstavljaju članice WTO-a </w:t>
      </w:r>
      <w:r w:rsidRPr="00D21A76">
        <w:rPr>
          <w:color w:val="000000"/>
        </w:rPr>
        <w:t>od 10. prosinca 2021. o onečišćenju plastikom i okolišno održivoj trgovini plastikom, od 14. prosinca 2021. o trgovini i okolišnoj održivosti i od 14. prosinca 2021. o subvencijama za fosilna goriva,</w:t>
      </w:r>
    </w:p>
    <w:p w:rsidR="00575F71" w:rsidRPr="00D21A76" w:rsidRDefault="00575F71" w:rsidP="00575F71">
      <w:pPr>
        <w:pStyle w:val="NormalHanging12a"/>
        <w:rPr>
          <w:color w:val="000000"/>
        </w:rPr>
      </w:pPr>
      <w:r w:rsidRPr="00D21A76">
        <w:rPr>
          <w:color w:val="000000"/>
        </w:rPr>
        <w:t>–</w:t>
      </w:r>
      <w:r w:rsidRPr="00D21A76">
        <w:rPr>
          <w:color w:val="000000"/>
        </w:rPr>
        <w:tab/>
        <w:t>uzimajući u obzir UN-ove ciljeve održivog razvoja,</w:t>
      </w:r>
    </w:p>
    <w:p w:rsidR="00575F71" w:rsidRPr="00D21A76" w:rsidRDefault="00575F71" w:rsidP="00575F71">
      <w:pPr>
        <w:pStyle w:val="NormalHanging12a"/>
        <w:widowControl/>
        <w:rPr>
          <w:szCs w:val="24"/>
        </w:rPr>
      </w:pPr>
      <w:r w:rsidRPr="00D21A76">
        <w:t>–</w:t>
      </w:r>
      <w:r w:rsidRPr="00D21A76">
        <w:tab/>
        <w:t>uzimajući u obzir Pariški sporazum u sklopu Okvirne konvencije Ujedinjenih naroda o promjeni klime (UNFCCC), koji je na snazi od studenoga 2016.,</w:t>
      </w:r>
    </w:p>
    <w:p w:rsidR="00575F71" w:rsidRPr="00D21A76" w:rsidRDefault="00575F71" w:rsidP="00575F71">
      <w:pPr>
        <w:pStyle w:val="NormalHanging12a"/>
        <w:widowControl/>
        <w:rPr>
          <w:szCs w:val="24"/>
        </w:rPr>
      </w:pPr>
      <w:r w:rsidRPr="00D21A76">
        <w:t>–</w:t>
      </w:r>
      <w:r w:rsidRPr="00D21A76">
        <w:tab/>
        <w:t>uzimajući u obzir komunikaciju Komisije od 18. veljače 2021. naslovljenu „Revizija trgovinske politike – otvorena, održiva i odlučna trgovinska politika” i njezin prilog naslovljen „Reforma WTO-a: prema održivom i učinkovitom multilateralnom trgovinskom sustavu” (COM(2021)0066),</w:t>
      </w:r>
    </w:p>
    <w:p w:rsidR="00575F71" w:rsidRPr="00D21A76" w:rsidRDefault="00575F71" w:rsidP="00575F71">
      <w:pPr>
        <w:pStyle w:val="NormalHanging12a"/>
        <w:widowControl/>
        <w:rPr>
          <w:szCs w:val="24"/>
        </w:rPr>
      </w:pPr>
      <w:r w:rsidRPr="00D21A76">
        <w:t>–</w:t>
      </w:r>
      <w:r w:rsidRPr="00D21A76">
        <w:tab/>
        <w:t>uzimajući u obzir članak 132. stavak 2. Poslovnika,</w:t>
      </w:r>
    </w:p>
    <w:p w:rsidR="00575F71" w:rsidRPr="00D21A76" w:rsidRDefault="00575F71" w:rsidP="00575F71">
      <w:pPr>
        <w:pStyle w:val="NormalHanging12a"/>
        <w:widowControl/>
        <w:rPr>
          <w:szCs w:val="24"/>
        </w:rPr>
      </w:pPr>
      <w:r w:rsidRPr="00D21A76">
        <w:t>–</w:t>
      </w:r>
      <w:r w:rsidRPr="00D21A76">
        <w:tab/>
        <w:t>uzimajući u obzir Prijedlog rezolucije Odbora za međunarodnu trgovinu,</w:t>
      </w:r>
    </w:p>
    <w:p w:rsidR="00575F71" w:rsidRPr="00D21A76" w:rsidRDefault="00575F71" w:rsidP="00575F71">
      <w:pPr>
        <w:pStyle w:val="NormalHanging12a"/>
      </w:pPr>
      <w:r w:rsidRPr="00D21A76">
        <w:t>A.</w:t>
      </w:r>
      <w:r w:rsidRPr="00D21A76">
        <w:tab/>
        <w:t xml:space="preserve">budući da je WTO osnovan radi daljnje liberalizacije trgovine robom i uslugama, jačanja </w:t>
      </w:r>
      <w:proofErr w:type="spellStart"/>
      <w:r w:rsidRPr="00D21A76">
        <w:t>multilateralizma</w:t>
      </w:r>
      <w:proofErr w:type="spellEnd"/>
      <w:r w:rsidRPr="00D21A76">
        <w:t xml:space="preserve"> i poticanja pravednog, otvorenog, </w:t>
      </w:r>
      <w:proofErr w:type="spellStart"/>
      <w:r w:rsidRPr="00D21A76">
        <w:t>uključivog</w:t>
      </w:r>
      <w:proofErr w:type="spellEnd"/>
      <w:r w:rsidRPr="00D21A76">
        <w:t xml:space="preserve"> i </w:t>
      </w:r>
      <w:proofErr w:type="spellStart"/>
      <w:r w:rsidRPr="00D21A76">
        <w:t>nediskriminirajućeg</w:t>
      </w:r>
      <w:proofErr w:type="spellEnd"/>
      <w:r w:rsidRPr="00D21A76">
        <w:t xml:space="preserve"> multilateralnog trgovinskog sustava utemeljenog na pravilima kako bi se poboljšala dobrobit ljudi diljem svijeta; budući da je ukupni cilj trgovinske politike EU-a doprinijeti usklađenom razvoju svjetske trgovine, postupnom ukidanju ograničenja u međunarodnoj trgovini i izravnim stranim ulaganjima te smanjenju carinskih i drugih prepreka, kao i jamčenju dobrobiti ljudi; budući da je trgovina ključna te da je osnovni instrument za podupiranje i dopunjavanje napora za unapređenje održivog rasta i poboljšanje životnog standarda, da se njome pritom jamči potpuno i kvalitetnije zapošljavanje te velik i stalno rastući obujam stvarnih prihoda u skladu s ciljem održivog razvoja, te da se paralelno nastoji zaštititi i očuvati okoliš te poboljšati načine za njegovu zaštitu i očuvanje u skladu s potrebama i problemima pojedinih zemalja ovisno o njihovim različitim razinama gospodarskog razvoja;</w:t>
      </w:r>
    </w:p>
    <w:p w:rsidR="00575F71" w:rsidRPr="00D21A76" w:rsidRDefault="00575F71" w:rsidP="00575F71">
      <w:pPr>
        <w:pStyle w:val="NormalHanging12a"/>
      </w:pPr>
      <w:r w:rsidRPr="00D21A76">
        <w:t>B.</w:t>
      </w:r>
      <w:r w:rsidRPr="00D21A76">
        <w:tab/>
        <w:t>budući da snažan, otvoren i uključiv multilateralni trgovinski sustav treba imati i veću ulogu u postizanju globalnih ciljeva u pogledu klimatskih promjena i postizanju nulte neto stope emisija, primjerice razmjenom robe, usluga i praksi ključnih za tehnologije čiste energije i za kružno gospodarstvo;</w:t>
      </w:r>
    </w:p>
    <w:p w:rsidR="00575F71" w:rsidRPr="00D21A76" w:rsidRDefault="00575F71" w:rsidP="00575F71">
      <w:pPr>
        <w:pStyle w:val="NormalHanging12a"/>
      </w:pPr>
      <w:r w:rsidRPr="00D21A76">
        <w:t>C.</w:t>
      </w:r>
      <w:r w:rsidRPr="00D21A76">
        <w:tab/>
        <w:t xml:space="preserve">budući da je multilateralni trgovinski sustav utemeljen na pravilima trenutačno pod velikim pritiskom, podložan je geopolitičkim napetostima uslijed odluka nekih članica WTO-a i jednostranim mjerama koje su te članice poduzele, kao i neopravdanom oslanjanju nekih njegovih članica na sigurnosnu iznimku iz Općeg sporazuma o carinama i trgovini (GATT), što već dovodi do </w:t>
      </w:r>
      <w:proofErr w:type="spellStart"/>
      <w:r w:rsidRPr="00D21A76">
        <w:t>fragmentiranijeg</w:t>
      </w:r>
      <w:proofErr w:type="spellEnd"/>
      <w:r w:rsidRPr="00D21A76">
        <w:t xml:space="preserve"> i manje predvidljivog konteksta trgovinske politike; budući da se 75 % trgovine i dalje odvija na temelju carina prema načelu najpovlaštenije nacije, čime se potvrđuje da je WTO okosnica svjetskog gospodarstva; budući da je ishod 12. ministarske konferencije pokazao da </w:t>
      </w:r>
      <w:r w:rsidRPr="00D21A76">
        <w:lastRenderedPageBreak/>
        <w:t>WTO i dalje može ostvariti multilateralne sporazume i odgovoriti na hitne situacije;</w:t>
      </w:r>
    </w:p>
    <w:p w:rsidR="00575F71" w:rsidRPr="00D21A76" w:rsidRDefault="00575F71" w:rsidP="00575F71">
      <w:pPr>
        <w:pStyle w:val="NormalHanging12a"/>
      </w:pPr>
      <w:r w:rsidRPr="00D21A76">
        <w:t>D.</w:t>
      </w:r>
      <w:r w:rsidRPr="00D21A76">
        <w:tab/>
        <w:t xml:space="preserve">budući da je Sporazum WTO-a o subvencijama za ribarstvo dogovoren na 12. ministarskoj konferenciji prvi multilateralni trgovinski sporazum u čijem je središtu ekološka održivost, kojim se uspostavlja obvezujući skup globalnih pravila za pomoću u suzbijanju procijenjenih 22 milijarde USD štetnih subvencija godišnje koje vlade pružaju sektoru ribarstva, kako je propisano u okviru cilja održivog razvoja br. 14.6; budući da sporazum još ne uključuje pravila o subvencijama za ribarstvo kojima se doprinosi prekapacitiranosti i </w:t>
      </w:r>
      <w:proofErr w:type="spellStart"/>
      <w:r w:rsidRPr="00D21A76">
        <w:t>prelovu</w:t>
      </w:r>
      <w:proofErr w:type="spellEnd"/>
      <w:r w:rsidRPr="00D21A76">
        <w:t>, a koje predstavljaju više od polovice svih subvencija za ribarstvo, o čemu su pregovori još u tijeku;</w:t>
      </w:r>
    </w:p>
    <w:p w:rsidR="00575F71" w:rsidRPr="00D21A76" w:rsidRDefault="00575F71" w:rsidP="00575F71">
      <w:pPr>
        <w:pStyle w:val="NormalHanging12a"/>
      </w:pPr>
      <w:r w:rsidRPr="00D21A76">
        <w:t>E.</w:t>
      </w:r>
      <w:r w:rsidRPr="00D21A76">
        <w:tab/>
        <w:t>budući da je na 12. ministarskoj konferenciji WTO-a 17. lipnja 2022. donesena Odluka kojom se pruža fleksibilnost u okviru Sporazuma o trgovinskim aspektima prava intelektualnog vlasništva (TRIPS) kako bi se omogućila proizvodnja i opskrba cjepivima protiv bolesti COVID-19, uz odgodu odluke o proširenju područja primjene tih fleksibilnosti na terapeutike i dijagnostiku povezanih s bolešću COVID-19; budući da Vijeće WTO-a za TRIPS vodi pregovore o produljenju izuzeća od primjene TRIPS-a;</w:t>
      </w:r>
    </w:p>
    <w:p w:rsidR="00575F71" w:rsidRPr="00D21A76" w:rsidRDefault="00575F71" w:rsidP="00575F71">
      <w:pPr>
        <w:pStyle w:val="NormalHanging12a"/>
      </w:pPr>
      <w:r w:rsidRPr="00D21A76">
        <w:t>F.</w:t>
      </w:r>
      <w:r w:rsidRPr="00D21A76">
        <w:tab/>
        <w:t>budući da je sigurnost opskrbe hranom i dalje izazov jer se 258 milijuna osoba 2022. našlo u kriznoj situaciji ili u situaciji pogoršane razine akutne nesigurnosti opskrbe hranom, što je porast u odnosu na 193 milijuna 2021.; budući da se u Sporazumu WTO-a iz Urugvaja o poljoprivredi izričito priznaje važnost razmatranja sigurnosti opskrbe hranom u tekućim pregovorima; budući da trgovina može povećati dostupnost hrane u regijama u kojima je ona ograničena te da može doprinijeti poboljšanju ekonomskog pristupa hrani stvaranjem prilika za zapošljavanje i povećanjem prihoda;</w:t>
      </w:r>
    </w:p>
    <w:p w:rsidR="00575F71" w:rsidRPr="00D21A76" w:rsidRDefault="00575F71" w:rsidP="00575F71">
      <w:pPr>
        <w:pStyle w:val="NormalHanging12a"/>
      </w:pPr>
      <w:r w:rsidRPr="00D21A76">
        <w:t>G.</w:t>
      </w:r>
      <w:r w:rsidRPr="00D21A76">
        <w:tab/>
        <w:t>budući da su članice WTO-a dokazale svoju predanost rješavanju problema nestašice hrane i osiguravanju hitne pomoći u hrani za najranjivije skupine, i u Ministarskoj izjavi o hitnom odgovoru na nesigurnost opskrbe hranom, kao i u Ministarskoj odluci o izuzimanju nabave humanitarne hrane preko Svjetskog programa za hranu (WFP) od zabrana ili ograničenja izvoza dogovorenih na 12. ministarskoj konferenciji;</w:t>
      </w:r>
    </w:p>
    <w:p w:rsidR="00575F71" w:rsidRPr="00D21A76" w:rsidRDefault="00575F71" w:rsidP="00575F71">
      <w:pPr>
        <w:pStyle w:val="NormalHanging12a"/>
      </w:pPr>
      <w:r w:rsidRPr="00D21A76">
        <w:t>H.</w:t>
      </w:r>
      <w:r w:rsidRPr="00D21A76">
        <w:tab/>
        <w:t>budući da održiva trgovina može pomoći u ublažavanju klimatskih promjena i u borbi protiv njih;</w:t>
      </w:r>
    </w:p>
    <w:p w:rsidR="00575F71" w:rsidRPr="00D21A76" w:rsidRDefault="00575F71" w:rsidP="00575F71">
      <w:pPr>
        <w:pStyle w:val="NormalHanging12a"/>
      </w:pPr>
      <w:r w:rsidRPr="00D21A76">
        <w:t>I.</w:t>
      </w:r>
      <w:r w:rsidRPr="00D21A76">
        <w:tab/>
        <w:t>budući da je 11. prosinca 2019. žalbeno tijelo WTO-a prestalo biti operativno, što je dovelo do prekida funkcionalnog, neovisnog i nepristranog žalbenog procesa; budući da su se na 12. ministarskoj konferenciji članice WTO-a obvezale na vođenje rasprava kako bi sustav za rješavanje sporova koji u potpunosti i pravilno funkcionira bio dostupan svim članicama WTO-a do 2024.;</w:t>
      </w:r>
    </w:p>
    <w:p w:rsidR="00575F71" w:rsidRPr="00D21A76" w:rsidRDefault="00575F71" w:rsidP="00575F71">
      <w:pPr>
        <w:pStyle w:val="NormalHanging12a"/>
      </w:pPr>
      <w:r w:rsidRPr="00D21A76">
        <w:t>J.</w:t>
      </w:r>
      <w:r w:rsidRPr="00D21A76">
        <w:tab/>
        <w:t>budući da Europski parlament, zajedno s Međuparlamentarnom unijom, već više od 20 godina ima ključnu ulogu u uspostavi parlamentarne dimenzije WTO-a putem Parlamentarne konferencije o WTO-u;</w:t>
      </w:r>
    </w:p>
    <w:p w:rsidR="00575F71" w:rsidRPr="00D21A76" w:rsidRDefault="00575F71" w:rsidP="00575F71">
      <w:pPr>
        <w:pStyle w:val="NormalHanging12a"/>
      </w:pPr>
      <w:r w:rsidRPr="00D21A76">
        <w:t>K.</w:t>
      </w:r>
      <w:r w:rsidRPr="00D21A76">
        <w:tab/>
        <w:t xml:space="preserve">budući da će se 13. ministarska konferencija WTO-a održati u Abu </w:t>
      </w:r>
      <w:proofErr w:type="spellStart"/>
      <w:r w:rsidRPr="00D21A76">
        <w:t>Dhabiju</w:t>
      </w:r>
      <w:proofErr w:type="spellEnd"/>
      <w:r w:rsidRPr="00D21A76">
        <w:t>, Ujedinjenim Arapskim Emiratima, od 26. do 29. veljače 2024.;</w:t>
      </w:r>
    </w:p>
    <w:p w:rsidR="00575F71" w:rsidRPr="00D21A76" w:rsidRDefault="00575F71" w:rsidP="00575F71">
      <w:pPr>
        <w:pStyle w:val="NormalHanging12a"/>
      </w:pPr>
      <w:r w:rsidRPr="00D21A76">
        <w:t>1.</w:t>
      </w:r>
      <w:r w:rsidRPr="00D21A76">
        <w:tab/>
        <w:t xml:space="preserve">ponovno ističe svoju potpunu predanost trajnoj vrijednosti </w:t>
      </w:r>
      <w:proofErr w:type="spellStart"/>
      <w:r w:rsidRPr="00D21A76">
        <w:t>multilateralizma</w:t>
      </w:r>
      <w:proofErr w:type="spellEnd"/>
      <w:r w:rsidRPr="00D21A76">
        <w:t xml:space="preserve"> i ističe da je ključno da modernizirani multilateralni sustav upravlja trgovinom; poziva na donošenje </w:t>
      </w:r>
      <w:r w:rsidRPr="00D21A76">
        <w:lastRenderedPageBreak/>
        <w:t>trgovinskog programa koji bi se temeljio na pravednoj trgovini zasnovanoj na pravilima u korist svih, čime bi se doprinijelo održivom gospodarskom rastu, izvan okvira definicije rasta BDP-a, i blagostanju, jačajući mir i sigurnost; naglašava da bi WTO trebao promicati ostvarenje ciljeva održivog razvoja, kao i zdravstvenih, socijalnih, ekoloških i ljudskih prava, te jamčenja primjene multilateralno dogovorenih i usklađenih pravila na sve;</w:t>
      </w:r>
    </w:p>
    <w:p w:rsidR="00575F71" w:rsidRPr="00D21A76" w:rsidRDefault="00575F71" w:rsidP="00575F71">
      <w:pPr>
        <w:pStyle w:val="NormalHanging12a"/>
      </w:pPr>
      <w:r w:rsidRPr="00D21A76">
        <w:t>2.</w:t>
      </w:r>
      <w:r w:rsidRPr="00D21A76">
        <w:tab/>
        <w:t xml:space="preserve">potiče sve članice WTO-a da se obvežu na uspješan ishod 13. ministarske konferencije; smatra da 13. ministarska konferencija treba biti polazište unaprjeđenja i modernizacije WTO-a kako bi se zajamčilo da može utjecati na izazove 21. stoljeća, uključujući pitanja kao što su klimatske promjene, sigurnost opskrbe hranom, gubitak </w:t>
      </w:r>
      <w:proofErr w:type="spellStart"/>
      <w:r w:rsidRPr="00D21A76">
        <w:t>bioraznolikosti</w:t>
      </w:r>
      <w:proofErr w:type="spellEnd"/>
      <w:r w:rsidRPr="00D21A76">
        <w:t>, zdravlje, održivost i smanjenje siromaštva; potiče sve članice WTO-a da pojačaju napore kako bi se usredotočile na konkretne rezultate koji pokazuju da WTO može odgovoriti na trenutačne izazove; pozdravlja smjernice sa sastanka visokih dužnosnika održanog 22. i 23. listopada 2023.; posebno traži od članica WTO-a da zaključe drugu fazu multilateralnog sporazuma o subvencijama za ribarstvo i da nadiđu preostale probleme kako bi konačno mogle donijeti sveobuhvatan paket o institucijskim reformama, uključujući odluku koja bi dovela do potpuno funkcionalnog sustava rješavanja sporova; ponavlja da je potrebno dodatno ojačati ulogu tajništva WTO-a;</w:t>
      </w:r>
    </w:p>
    <w:p w:rsidR="00575F71" w:rsidRPr="00D21A76" w:rsidRDefault="00575F71" w:rsidP="00575F71">
      <w:pPr>
        <w:pStyle w:val="NormalHanging12a"/>
      </w:pPr>
      <w:r w:rsidRPr="00D21A76">
        <w:t>3.</w:t>
      </w:r>
      <w:r w:rsidRPr="00D21A76">
        <w:tab/>
        <w:t xml:space="preserve">smatra da je sada hitno potrebno provesti temeljitu reformu WTO-a i da bi se to trebalo odraziti u ishodu 13. ministarske konferencije; pozdravlja sav rad koji je u tom pogledu izvršen od posljednje ministarske konferencije; poziva članice WTO-a da donesu sveobuhvatan paket kojim bi se preispitale funkcije WTO-a u pogledu praćenja, pregovaranja, rasprave i rješavanja sporova, u kojem bi se odgovarajuća pozornost također trebala posvetiti parlamentarnoj dimenziji WTO-a u cilju povećanja učinkovitosti, </w:t>
      </w:r>
      <w:proofErr w:type="spellStart"/>
      <w:r w:rsidRPr="00D21A76">
        <w:t>uključivosti</w:t>
      </w:r>
      <w:proofErr w:type="spellEnd"/>
      <w:r w:rsidRPr="00D21A76">
        <w:t>, transparentnosti, vjerodostojnosti i legitimnosti WTO-a;</w:t>
      </w:r>
    </w:p>
    <w:p w:rsidR="00575F71" w:rsidRPr="00D21A76" w:rsidRDefault="00575F71" w:rsidP="00575F71">
      <w:pPr>
        <w:pStyle w:val="NormalHanging12a"/>
        <w:rPr>
          <w:szCs w:val="24"/>
        </w:rPr>
      </w:pPr>
      <w:r w:rsidRPr="00D21A76">
        <w:t>4.</w:t>
      </w:r>
      <w:r w:rsidRPr="00D21A76">
        <w:tab/>
        <w:t xml:space="preserve">poziva na snažniji i još konstruktivniji angažman svih članica WTO-a kako bi se što prije ponovno uspostavio potpuno funkcionalan sustav rješavanja sporova kojim se, među ostalim, rješava prekomjerno trajanje postupaka; pohvaljuje rad posrednika u usmjeravanju procesa koji bi trebao dovesti do podnošenja pročišćenog nacrta teksta na 13. ministarskoj konferenciji; međutim, žali zbog toga što dosad nije postignut znatan napredak; poziva članice da na 13. ministarskoj konferenciji stupe u konstruktivnu i transparentnu raspravu i da postignu dogovor o sustavu rješavanja sporova; podsjeća da bi obvezujući, </w:t>
      </w:r>
      <w:proofErr w:type="spellStart"/>
      <w:r w:rsidRPr="00D21A76">
        <w:t>dvorazinski</w:t>
      </w:r>
      <w:proofErr w:type="spellEnd"/>
      <w:r w:rsidRPr="00D21A76">
        <w:t xml:space="preserve"> i neovisan proces trebao ostati glavni cilj;</w:t>
      </w:r>
    </w:p>
    <w:p w:rsidR="00575F71" w:rsidRPr="00D21A76" w:rsidRDefault="00575F71" w:rsidP="00575F71">
      <w:pPr>
        <w:pStyle w:val="NormalHanging12a"/>
        <w:rPr>
          <w:szCs w:val="24"/>
        </w:rPr>
      </w:pPr>
      <w:r w:rsidRPr="00D21A76">
        <w:t>5.</w:t>
      </w:r>
      <w:r w:rsidRPr="00D21A76">
        <w:tab/>
        <w:t>kako bi se premostilo vrijeme do uspostave i ponovnog pokretanja potpuno funkcionalnog tijela za rješavanje sporova na razini WTO-a, poziva članice da razmotre pridruživanje višestranom privremenom mehanizmu za arbitražu u žalbenom postupku (MPIA) kako bi dokazale svoju predanost pravednom i funkcionalnom sustavu rješavanja sporova;</w:t>
      </w:r>
    </w:p>
    <w:p w:rsidR="00575F71" w:rsidRPr="00D21A76" w:rsidRDefault="00575F71" w:rsidP="00575F71">
      <w:pPr>
        <w:pStyle w:val="NormalHanging12a"/>
      </w:pPr>
      <w:r w:rsidRPr="00D21A76">
        <w:t>6.</w:t>
      </w:r>
      <w:r w:rsidRPr="00D21A76">
        <w:tab/>
        <w:t xml:space="preserve">potiče sve članice WTO-a koje to još nisu učinile da bez odlaganja ratificiraju Sporazum WTO-a o subvencijama za ribarstvo kako bi on stupio na snagu što je prije moguće, za što je potrebna ratifikacija dvije trećine članica; naglašava ključnu važnost brzog postizanja sporazuma o pravilima o subvencijama za ribarstvo kojima se doprinosi prekapacitiranosti i </w:t>
      </w:r>
      <w:proofErr w:type="spellStart"/>
      <w:r w:rsidRPr="00D21A76">
        <w:t>prelovu</w:t>
      </w:r>
      <w:proofErr w:type="spellEnd"/>
      <w:r w:rsidRPr="00D21A76">
        <w:t>, kako bi se izbjeglo smanjenje morskih bioloških resursa i omogućilo održivo upravljanje tim resursima ; pritom je potrebno poštovati potrebu za posebnim i različitim postupanjem u skladu s ciljem održivog razvoja 14.6;</w:t>
      </w:r>
    </w:p>
    <w:p w:rsidR="00575F71" w:rsidRPr="00D21A76" w:rsidRDefault="00575F71" w:rsidP="00575F71">
      <w:pPr>
        <w:pStyle w:val="NormalHanging12a"/>
      </w:pPr>
      <w:r w:rsidRPr="00D21A76">
        <w:lastRenderedPageBreak/>
        <w:t>7.</w:t>
      </w:r>
      <w:r w:rsidRPr="00D21A76">
        <w:tab/>
        <w:t xml:space="preserve">naglašava potrebu za uključivanjem razvojne dimenzije WTO-a, među ostalim u okviru procesa reforme WTO-a i boljom prilagodbom načela posebnog i diferenciranog postupanja potrebama zemalja u razvoju; žali zbog toga što WTO još nije u potpunosti ispunio svoj Razvojni plan iz Dohe; pozdravlja već donesenu odluku o produljenju mjera potpore za pomoć najmanje razvijenim zemljama na putu prema izlasku iz statusa najmanje razvijenih zemalja kako bi se osiguralo neometano i održivo prijelazno razdoblje za povlačenje trgovinskih povlastica; ponavlja svoj poziv na preispitivanje i reviziju mehanizma za posebno i različito postupanje uz prikladno uključivanje svih članica WTO-a kako bi se bolje odrazili indeksi ljudskog razvoja dok se štiti prostor za politiku koji se suočava s nepoštenom trgovinom te zbog toga poziva članice WTO-a da revidiraju sustav; ipak ističe da bi </w:t>
      </w:r>
      <w:proofErr w:type="spellStart"/>
      <w:r w:rsidRPr="00D21A76">
        <w:t>samoprocjena</w:t>
      </w:r>
      <w:proofErr w:type="spellEnd"/>
      <w:r w:rsidRPr="00D21A76">
        <w:t xml:space="preserve"> statusa razvoja kao jedini kriterij mogla dovesti do nepoštene trgovine;</w:t>
      </w:r>
    </w:p>
    <w:p w:rsidR="00575F71" w:rsidRPr="00D21A76" w:rsidRDefault="00575F71" w:rsidP="00575F71">
      <w:pPr>
        <w:pStyle w:val="NormalHanging12a"/>
      </w:pPr>
      <w:r w:rsidRPr="00D21A76">
        <w:t>8.</w:t>
      </w:r>
      <w:r w:rsidRPr="00D21A76">
        <w:tab/>
        <w:t>naglašava da je potrebno oživjeti raspravu o državnoj potpori industrijskim sektorima u okviru WTO-a, uključujući ažuriranje Sporazuma WTO-a o subvencijama i kompenzacijskim mjerama (ASCM), kako bi se povećala transparentnost i prilagodio pravilnik WTO-a o subvencijama, a sve u cilju odgovaranja na aktualne izazove kao što su klimatske promjene i borba protiv nepoštenih praksi određenih članica WTO-a, i učinkovitog rješavanja negativnih učinaka prelijevanja kao što je prekapacitiranost i lanci opskrbe s višom razinom emisija ugljika; smatra da bi 13. ministarska konferencija trebala pokrenuti vremenski ograničen program rada kako bi se omogućila rasprava o državnoj intervenciji za potporu industrijskim sektorima i pružile preporuke za 14. ministarsku konferenciju;</w:t>
      </w:r>
    </w:p>
    <w:p w:rsidR="00575F71" w:rsidRPr="00D21A76" w:rsidRDefault="00575F71" w:rsidP="00575F71">
      <w:pPr>
        <w:pStyle w:val="NormalHanging12a"/>
      </w:pPr>
      <w:r w:rsidRPr="00D21A76">
        <w:t>9.</w:t>
      </w:r>
      <w:r w:rsidRPr="00D21A76">
        <w:tab/>
        <w:t>naglašava da je potrebno postići napredak u pregovorima o poljoprivredi kako bi se postigli vjerodostojni rezultati u pitanjima kao što su trajno rješenje u pogledu držanja javnih robnih zaliha u svrhu sigurnosti opskrbe hranom, domaća potpora, pristup tržištu, pamuk, ograničenja izvoza i izvozna konkurencija te jačanje poljoprivrednog sektora kako bi se odgovorilo na suvremene izazove, uključujući životne uvjete u ruralnim područjima i okolišnu održivost; naglašava da je potrebno osigurati pošteno tržišno natjecanje i jednake uvjete za poljoprivrednike; poziva na bolju razmjenu informacija i transparentnost u pogledu poljoprivrednih politika i subvencija kako bi se doprinijelo napretku pregovora i na razini WTO-a podržala veća razmjena podataka o trgovini robom i privatnim zalihama s Odborom za svjetsku sigurnost opskrbe hranom; pozdravlja potpisivanje Memoranduma o razumijevanju između WTO-a i FAO-a tijekom Konferencije Ujedinjenih naroda o klimatskim promjenama 2023. (COP 28) kojim će se ojačati suradnja, među ostalim, u području poljoprivredne reforme, sigurnosti opskrbe hranom i klimatskih promjena; ističe da bi se EU trebao zalagati za više kriterije održivosti u skladu s ciljevima zelenog plana;</w:t>
      </w:r>
    </w:p>
    <w:p w:rsidR="00575F71" w:rsidRPr="00D21A76" w:rsidRDefault="00575F71" w:rsidP="00575F71">
      <w:pPr>
        <w:pStyle w:val="NormalHanging12a"/>
      </w:pPr>
      <w:r w:rsidRPr="00D21A76">
        <w:t>10.</w:t>
      </w:r>
      <w:r w:rsidRPr="00D21A76">
        <w:tab/>
        <w:t>ističe potrebu za dogovorom u pogledu sigurnosti opskrbe hranom, uključujući konkretne mjere za povećanje otpornosti najmanje razvijenih zemalja i zemalja u razvoju koje su neto uvoznice hrane kao odgovor na akutnu nestabilnost opskrbe hranom;</w:t>
      </w:r>
    </w:p>
    <w:p w:rsidR="00575F71" w:rsidRPr="00D21A76" w:rsidRDefault="00575F71" w:rsidP="00575F71">
      <w:pPr>
        <w:pStyle w:val="NormalHanging12a"/>
      </w:pPr>
      <w:r w:rsidRPr="00D21A76">
        <w:t>11.</w:t>
      </w:r>
      <w:r w:rsidRPr="00D21A76">
        <w:tab/>
        <w:t xml:space="preserve">očekuje da će reforma WTO-a stvoriti jednostavniji način za integraciju otvorenih </w:t>
      </w:r>
      <w:proofErr w:type="spellStart"/>
      <w:r w:rsidRPr="00D21A76">
        <w:t>plurilateralnih</w:t>
      </w:r>
      <w:proofErr w:type="spellEnd"/>
      <w:r w:rsidRPr="00D21A76">
        <w:t xml:space="preserve"> sporazuma u multilateralnu strukturu kako bi se osigurao napredak u područjima koja nisu dovoljno razvijena za potpuno članstvo; stoga ponavlja svoj poziv svim članicama WTO-a da razmisle o načinu razvoja novog sustava, s jasnim načelima i minimalnim brojem članica koje trebaju sudjelovati u </w:t>
      </w:r>
      <w:proofErr w:type="spellStart"/>
      <w:r w:rsidRPr="00D21A76">
        <w:t>plurilateralnoj</w:t>
      </w:r>
      <w:proofErr w:type="spellEnd"/>
      <w:r w:rsidRPr="00D21A76">
        <w:t xml:space="preserve"> inicijativi, i da na temelju toga razviju jednostavan mehanizam koji bi omogućio integraciju nastalih </w:t>
      </w:r>
      <w:r w:rsidRPr="00D21A76">
        <w:lastRenderedPageBreak/>
        <w:t>sporazuma u strukturu WTO-a;</w:t>
      </w:r>
    </w:p>
    <w:p w:rsidR="00575F71" w:rsidRPr="00D21A76" w:rsidRDefault="00575F71" w:rsidP="00575F71">
      <w:pPr>
        <w:pStyle w:val="NormalHanging12a"/>
      </w:pPr>
      <w:r w:rsidRPr="00D21A76">
        <w:t>12.</w:t>
      </w:r>
      <w:r w:rsidRPr="00D21A76">
        <w:tab/>
        <w:t xml:space="preserve">pozdravlja zaključenje pregovora o Sporazumu o olakšavanju ulaganja u razvoj kako bi se stvorilo pravednije, </w:t>
      </w:r>
      <w:proofErr w:type="spellStart"/>
      <w:r w:rsidRPr="00D21A76">
        <w:t>transparentnije</w:t>
      </w:r>
      <w:proofErr w:type="spellEnd"/>
      <w:r w:rsidRPr="00D21A76">
        <w:t xml:space="preserve">, učinkovitije i predvidljivije okruženje za olakšavanje prekograničnih ulaganja i sudjelovanje zemalja u razvoju u globalnim tokovima ulaganja; podržava uključivanje tog sporazuma u pravilnik WTO-a u okviru Priloga 4. o višestranim trgovinskim sporazumima, kako je utvrđeno u članku X.9. Sporazuma o WTO-u, te smatra da to može poslužiti kao model za buduće </w:t>
      </w:r>
      <w:proofErr w:type="spellStart"/>
      <w:r w:rsidRPr="00D21A76">
        <w:t>plurilateralne</w:t>
      </w:r>
      <w:proofErr w:type="spellEnd"/>
      <w:r w:rsidRPr="00D21A76">
        <w:t xml:space="preserve"> sporazume;</w:t>
      </w:r>
    </w:p>
    <w:p w:rsidR="00575F71" w:rsidRPr="00D21A76" w:rsidRDefault="00575F71" w:rsidP="00575F71">
      <w:pPr>
        <w:pStyle w:val="NormalHanging12a"/>
      </w:pPr>
      <w:r w:rsidRPr="00D21A76">
        <w:t>13.</w:t>
      </w:r>
      <w:r w:rsidRPr="00D21A76">
        <w:tab/>
        <w:t xml:space="preserve">ističe važnost multilateralnih i </w:t>
      </w:r>
      <w:proofErr w:type="spellStart"/>
      <w:r w:rsidRPr="00D21A76">
        <w:t>plurilateralnih</w:t>
      </w:r>
      <w:proofErr w:type="spellEnd"/>
      <w:r w:rsidRPr="00D21A76">
        <w:t xml:space="preserve"> pravila o digitalnoj trgovini jer ona trenutačno čini 25 % ukupne trgovine; snažno potiče napore za pronalaženje pravednog i trajnog rješenja za elektroničke prijenose povezane s moratorijem, posebno imajući na umu negativne učinke </w:t>
      </w:r>
      <w:proofErr w:type="spellStart"/>
      <w:r w:rsidRPr="00D21A76">
        <w:t>neproduljenja</w:t>
      </w:r>
      <w:proofErr w:type="spellEnd"/>
      <w:r w:rsidRPr="00D21A76">
        <w:t xml:space="preserve">, posebno na žene te mala i srednja poduzeća (MSP); pozdravlja i podržava široko članstvo, ambiciozan pregovarački plan i dosadašnji napredak u pogledu </w:t>
      </w:r>
      <w:proofErr w:type="spellStart"/>
      <w:r w:rsidRPr="00D21A76">
        <w:t>plurilateralnih</w:t>
      </w:r>
      <w:proofErr w:type="spellEnd"/>
      <w:r w:rsidRPr="00D21A76">
        <w:t xml:space="preserve"> pregovora WTO-a o pravilima e-trgovine; ističe važnost slobodnog protoka elektroničkih prijenosa, koji su ključni za digitalnu trgovinu i zahvaljujući kojima se smanjuju troškovi trgovanja, povećava dobrobit potrošača i izvozna konkurentnost te koji donose znatne koristi, posebno za mala i srednja poduzeća i zemlje u razvoju; podsjeća na svoje stajalište da se potencijalnim sporazumom treba zajamčiti pravedan pristup tržištu za robu i usluge povezane s e-trgovinom u trećim zemljama, kao i zaštita prava potrošača i radnika, te olakšati poslovne inovacije; naglašava da potencijalni sporazum o e-trgovini mora biti u skladu s postojećim i budućim zakonodavstvom EU-a i omogućiti dostatan politički prostor za digitalnu regulativu, posebno kad je riječ o pitanjima kao što su protok podataka, lokalizacija podataka, zaštita podataka, umjetna inteligencija i izvorni kôd; poziva sve partnere da se u potpunosti uključe u poduzimanje napora za zaključenje pregovora do 13. ministarske konferencije te da ih podupru; naglašava da je potrebno premostiti digitalni jaz razmjenom najboljih praksi i poticanjem izgradnje kapaciteta;</w:t>
      </w:r>
    </w:p>
    <w:p w:rsidR="00575F71" w:rsidRPr="00D21A76" w:rsidRDefault="00575F71" w:rsidP="00575F71">
      <w:pPr>
        <w:pStyle w:val="NormalHanging12a"/>
      </w:pPr>
      <w:r w:rsidRPr="00D21A76">
        <w:t>14.</w:t>
      </w:r>
      <w:r w:rsidRPr="00D21A76">
        <w:tab/>
        <w:t xml:space="preserve">podsjeća na predanost WTO-a </w:t>
      </w:r>
      <w:proofErr w:type="spellStart"/>
      <w:r w:rsidRPr="00D21A76">
        <w:t>mikropoduzećima</w:t>
      </w:r>
      <w:proofErr w:type="spellEnd"/>
      <w:r w:rsidRPr="00D21A76">
        <w:t xml:space="preserve"> te malim i srednjim poduzećima i podsjeća da </w:t>
      </w:r>
      <w:proofErr w:type="spellStart"/>
      <w:r w:rsidRPr="00D21A76">
        <w:t>mikropoduzeća</w:t>
      </w:r>
      <w:proofErr w:type="spellEnd"/>
      <w:r w:rsidRPr="00D21A76">
        <w:t xml:space="preserve"> i MSP-ovi čine znatan dio globalnog gospodarstva i imaju neiskorišteni potencijal u globalnim lancima vrijednosti; potiče članice da nastave utvrđivati rješenja kojima bi se </w:t>
      </w:r>
      <w:proofErr w:type="spellStart"/>
      <w:r w:rsidRPr="00D21A76">
        <w:t>mikropoduzećima</w:t>
      </w:r>
      <w:proofErr w:type="spellEnd"/>
      <w:r w:rsidRPr="00D21A76">
        <w:t xml:space="preserve"> te malim i srednjim poduzećima pomoglo da povećaju svoje sudjelovanje u svjetskoj trgovini, uzimajući pritom u obzir njihove posebne potrebe;</w:t>
      </w:r>
    </w:p>
    <w:p w:rsidR="00575F71" w:rsidRPr="00D21A76" w:rsidRDefault="00575F71" w:rsidP="00575F71">
      <w:pPr>
        <w:pStyle w:val="NormalHanging12a"/>
      </w:pPr>
      <w:r w:rsidRPr="00D21A76">
        <w:t>15.</w:t>
      </w:r>
      <w:r w:rsidRPr="00D21A76">
        <w:tab/>
        <w:t xml:space="preserve">smatra da bi ishod 13. ministarske konferencije trebao polučiti program trgovinske politike utemeljen na djelovanju kojim se podupiru ciljevi održivog razvoja do 2030. i Pariški sporazum; snažno potiče članice WTO-a da razmotre sve moguće mjere za doprinos ograničavanju emisija stakleničkih plinova u skladu s UNFCCC-om i zaključcima COP-a 28, da poboljšaju usklađenost s Pariškim sporazumom i klimatskom neutralnošću te da poboljšaju suradnju u WTO-u u pogledu mjera donesenih na nacionalnoj razini; pozdravlja konstruktivne rasprave održane u okviru </w:t>
      </w:r>
      <w:proofErr w:type="spellStart"/>
      <w:r w:rsidRPr="00D21A76">
        <w:t>plurilateralnih</w:t>
      </w:r>
      <w:proofErr w:type="spellEnd"/>
      <w:r w:rsidRPr="00D21A76">
        <w:t xml:space="preserve"> inicijativa o reformi subvencija za fosilna goriva, dijaloga o onečišćenju plastikom i strukturiranih rasprava o trgovini i okolišnoj održivosti (TESSD); poziva na ponovno pokretanje pregovora o Sporazumu o ekološkim dobrima; potiče WTO da olakša razmjenu informacija i suradnju među svojim članicama u pogledu metodologije određivanja cijena ugljika; naglašava potrebu za unapređenjem rasprave o uslugama i robi, uključujući metode obrade i proizvodnje, koje pomažu u suočavanju s okolišnim i klimatskim izazovima; podsjeća da sve jednostrane mjere koje poduzimaju članice </w:t>
      </w:r>
      <w:r w:rsidRPr="00D21A76">
        <w:lastRenderedPageBreak/>
        <w:t xml:space="preserve">moraju biti u skladu s pravilima WTO-a te da se odluka o primjeni iznimaka GATT-a mora pažljivo razmotriti; potiče EU da podigne razinu osviještenosti o svojem zakonodavstvu o održivosti, kao što su Direktiva o dužnoj pažnji za održivo poslovanje, mehanizam za ugljičnu prilagodbu na granicama (CBAM) i Uredba o krčenju šuma, te da objasni razloge na kojima se to zakonodavstvo temelji kako bi se osiguralo da je prepoznato kao istinski i </w:t>
      </w:r>
      <w:proofErr w:type="spellStart"/>
      <w:r w:rsidRPr="00D21A76">
        <w:t>nediskriminirajući</w:t>
      </w:r>
      <w:proofErr w:type="spellEnd"/>
      <w:r w:rsidRPr="00D21A76">
        <w:t xml:space="preserve"> pokušaj da se doprinese rješavanju globalnih okolišnih ciljeva i da trgovinu učini održivijom, među ostalim pružanjem više praktičnih informacija o tome kako se propisi primjenjuju u praksi; pozdravlja prvi „dan trgovine” u okviru konferencije COP28 i povijesno postignuće COP-a, odnosno odluku za odmak od fosilnih goriva; očekuje da će se odluka COP-a odraziti u radu WTO-a;</w:t>
      </w:r>
    </w:p>
    <w:p w:rsidR="00575F71" w:rsidRPr="00D21A76" w:rsidRDefault="00575F71" w:rsidP="00575F71">
      <w:pPr>
        <w:pStyle w:val="NormalHanging12a"/>
      </w:pPr>
      <w:r w:rsidRPr="00D21A76">
        <w:t>16.</w:t>
      </w:r>
      <w:r w:rsidRPr="00D21A76">
        <w:tab/>
        <w:t xml:space="preserve">potvrđuje poveznicu između rodne jednakosti i </w:t>
      </w:r>
      <w:proofErr w:type="spellStart"/>
      <w:r w:rsidRPr="00D21A76">
        <w:t>uključivog</w:t>
      </w:r>
      <w:proofErr w:type="spellEnd"/>
      <w:r w:rsidRPr="00D21A76">
        <w:t xml:space="preserve"> razvoja te ističe da je osnaživanje žena presudno za iskorjenjivanje siromaštva te da su istovremeno uklanjanje prepreka sudjelovanju žena u trgovini i rješavanje nepovoljnih učinaka trenutnih trgovinskih pravila na žene u njihovim višestrukim ulogama ključan element gospodarskog razvoja; potiče sve članice WTO-a da potpišu Deklaraciju iz Buenos Airesa o trgovini i ekonomskom osnaživanju žena iz 2017., a sve njezine potpisnice snažno potiče da ispune svoje obveze; pozdravlja osnivanje neformalne radne skupine WTO-a za trgovinu i rodna pitanja; čestita WTO-u na organizaciji Svjetskog trgovinskog kongresa o rodu u prosincu 2022., prve međunarodne istraživačke konferencije o trgovini i rodu;</w:t>
      </w:r>
    </w:p>
    <w:p w:rsidR="00575F71" w:rsidRPr="00D21A76" w:rsidRDefault="00575F71" w:rsidP="00575F71">
      <w:pPr>
        <w:pStyle w:val="NormalHanging12a"/>
      </w:pPr>
      <w:r w:rsidRPr="00D21A76">
        <w:t>17.</w:t>
      </w:r>
      <w:r w:rsidRPr="00D21A76">
        <w:tab/>
        <w:t>prima na znanje da su se članice WTO-a složile da će raspraviti o području primjene odluke o TRIPS-u kako bi se obuhvatili dijagnostika i terapeutici u kontekstu bolesti COVID-19; poziva članice WTO-a da donesu odluku na 13. ministarskoj konferenciji, imajući na umu poticaje za inovacije; poziva članice WTO-a da preispitaju svoje nacionalne zakone i politike kako bi se osiguralo potpuno uključivanje svih relevantnih fleksibilnosti intelektualnog vlasništva kojima se štiti pristup medicinskim proizvodima;</w:t>
      </w:r>
    </w:p>
    <w:p w:rsidR="00575F71" w:rsidRPr="00D21A76" w:rsidRDefault="00575F71" w:rsidP="00575F71">
      <w:pPr>
        <w:pStyle w:val="NormalHanging12a"/>
      </w:pPr>
      <w:r w:rsidRPr="00D21A76">
        <w:t>18.</w:t>
      </w:r>
      <w:r w:rsidRPr="00D21A76">
        <w:tab/>
        <w:t>poziva Komisiju i Vijeće da se pobrinu za to da Parlament i dalje bude intenzivno uključen u pripreme za 13. ministarsku konferenciju te da ga tijekom ministarske konferencije 2024. redovno obavještavaju i s njim se savjetuju;</w:t>
      </w:r>
    </w:p>
    <w:p w:rsidR="00575F71" w:rsidRPr="00D21A76" w:rsidRDefault="00575F71" w:rsidP="00575F71">
      <w:pPr>
        <w:pStyle w:val="NormalHanging12a"/>
      </w:pPr>
      <w:r w:rsidRPr="00D21A76">
        <w:t>19.</w:t>
      </w:r>
      <w:r w:rsidRPr="00D21A76">
        <w:tab/>
        <w:t xml:space="preserve">poziva članice WTO-a da zajamče demokratski legitimitet i transparentnost jačanjem parlamentarne dimenzije WTO-a i parlamentarne konferencije; pohvaljuje važan rad zajedničke parlamentarne konferencije Europskog parlamenta i Međuparlamentarne unije (IPU) o WTO-u; naglašava da je potrebno zajamčiti bolji pristup svim trgovinskim pregovorima za parlamentarce i njihovo sudjelovanje u oblikovanju i provedbi odluka WTO-a; potiče čelnike da podrže novi </w:t>
      </w:r>
      <w:proofErr w:type="spellStart"/>
      <w:r w:rsidRPr="00D21A76">
        <w:t>narativ</w:t>
      </w:r>
      <w:proofErr w:type="spellEnd"/>
      <w:r w:rsidRPr="00D21A76">
        <w:t xml:space="preserve"> o trgovini prema kojem se trgovina smatra pokretačem, a ne preprekom postizanju održivosti, sigurnosti i </w:t>
      </w:r>
      <w:proofErr w:type="spellStart"/>
      <w:r w:rsidRPr="00D21A76">
        <w:t>uključivosti</w:t>
      </w:r>
      <w:proofErr w:type="spellEnd"/>
      <w:r w:rsidRPr="00D21A76">
        <w:t>;</w:t>
      </w:r>
    </w:p>
    <w:p w:rsidR="00575F71" w:rsidRPr="00D21A76" w:rsidRDefault="00575F71" w:rsidP="00575F71">
      <w:pPr>
        <w:pStyle w:val="NormalHanging12a"/>
      </w:pPr>
      <w:r w:rsidRPr="00D21A76">
        <w:t>20.</w:t>
      </w:r>
      <w:r w:rsidRPr="00D21A76">
        <w:tab/>
        <w:t>poziva članice WTO-a da poboljšaju komunikaciju sa svim dionicima, uključujući civilno društvo, sindikate i poslovne organizacije, kao i da pojačaju suradnju s drugim međunarodnim organizacijama kao što je Međunarodna organizacija rada i općenito sustav UN-a; očekuje od čelnika da na svim razinama više komuniciraju o prednostima trgovine utemeljene na pravilima;</w:t>
      </w:r>
    </w:p>
    <w:p w:rsidR="00E365E1" w:rsidRPr="00D21A76" w:rsidRDefault="00575F71" w:rsidP="00874E64">
      <w:pPr>
        <w:pStyle w:val="NormalHanging12a"/>
      </w:pPr>
      <w:r w:rsidRPr="00D21A76">
        <w:t>21.</w:t>
      </w:r>
      <w:r w:rsidRPr="00D21A76">
        <w:tab/>
        <w:t>nalaže svojoj predsjednici da ovu Rezoluciju proslijedi Vijeću, Komisiji, vladama i parlamentima država članica, glavnom direktoru WTO-a te Međuparlamentarnoj uniji (IPU).</w:t>
      </w:r>
      <w:bookmarkStart w:id="8" w:name="TextBodyEnd"/>
      <w:bookmarkEnd w:id="8"/>
    </w:p>
    <w:sectPr w:rsidR="00E365E1" w:rsidRPr="00D21A76" w:rsidSect="00BB6F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094C" w:rsidRPr="00BB6FB3" w:rsidRDefault="00FD094C">
      <w:r w:rsidRPr="00BB6FB3">
        <w:separator/>
      </w:r>
    </w:p>
  </w:endnote>
  <w:endnote w:type="continuationSeparator" w:id="0">
    <w:p w:rsidR="00FD094C" w:rsidRPr="00BB6FB3" w:rsidRDefault="00FD094C">
      <w:r w:rsidRPr="00BB6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094C" w:rsidRPr="00BB6FB3" w:rsidRDefault="00FD094C">
      <w:r w:rsidRPr="00BB6FB3">
        <w:separator/>
      </w:r>
    </w:p>
  </w:footnote>
  <w:footnote w:type="continuationSeparator" w:id="0">
    <w:p w:rsidR="00FD094C" w:rsidRPr="00BB6FB3" w:rsidRDefault="00FD094C">
      <w:r w:rsidRPr="00BB6FB3">
        <w:continuationSeparator/>
      </w:r>
    </w:p>
  </w:footnote>
  <w:footnote w:id="1">
    <w:p w:rsidR="00575F71" w:rsidRPr="00E34122" w:rsidRDefault="00575F71" w:rsidP="00BB6FB3">
      <w:pPr>
        <w:pStyle w:val="FootnoteText"/>
        <w:ind w:left="567" w:hanging="567"/>
        <w:rPr>
          <w:rStyle w:val="FootnoteReference"/>
          <w:sz w:val="24"/>
          <w:szCs w:val="24"/>
          <w:vertAlign w:val="baseline"/>
          <w:lang w:val="hr-HR"/>
        </w:rPr>
      </w:pPr>
      <w:r w:rsidRPr="00E34122">
        <w:rPr>
          <w:rStyle w:val="FootnoteReference"/>
          <w:sz w:val="24"/>
          <w:szCs w:val="24"/>
          <w:lang w:val="hr-HR"/>
        </w:rPr>
        <w:footnoteRef/>
      </w:r>
      <w:r w:rsidR="00BB6FB3" w:rsidRPr="00E34122">
        <w:rPr>
          <w:sz w:val="24"/>
          <w:szCs w:val="24"/>
          <w:vertAlign w:val="superscript"/>
          <w:lang w:val="hr-HR"/>
        </w:rPr>
        <w:t xml:space="preserve"> </w:t>
      </w:r>
      <w:r w:rsidR="00BB6FB3" w:rsidRPr="00E34122">
        <w:rPr>
          <w:sz w:val="24"/>
          <w:szCs w:val="24"/>
          <w:lang w:val="hr-HR"/>
        </w:rPr>
        <w:tab/>
      </w:r>
      <w:r w:rsidRPr="00E34122">
        <w:rPr>
          <w:rStyle w:val="FootnoteReference"/>
          <w:sz w:val="24"/>
          <w:szCs w:val="24"/>
          <w:vertAlign w:val="baseline"/>
          <w:lang w:val="hr-HR"/>
        </w:rPr>
        <w:t xml:space="preserve">Ministarska deklaracija iz Dohe (WT/MIN(01)/DEC/1) </w:t>
      </w:r>
      <w:r w:rsidRPr="00E34122">
        <w:rPr>
          <w:sz w:val="24"/>
          <w:szCs w:val="24"/>
          <w:lang w:val="hr-HR"/>
        </w:rPr>
        <w:t xml:space="preserve">od </w:t>
      </w:r>
      <w:r w:rsidRPr="00E34122">
        <w:rPr>
          <w:rStyle w:val="FootnoteReference"/>
          <w:sz w:val="24"/>
          <w:szCs w:val="24"/>
          <w:vertAlign w:val="baseline"/>
          <w:lang w:val="hr-HR"/>
        </w:rPr>
        <w:t>14. studenoga</w:t>
      </w:r>
      <w:r w:rsidRPr="00E34122">
        <w:rPr>
          <w:sz w:val="24"/>
          <w:szCs w:val="24"/>
          <w:lang w:val="hr-HR"/>
        </w:rPr>
        <w:t> </w:t>
      </w:r>
      <w:r w:rsidRPr="00E34122">
        <w:rPr>
          <w:rStyle w:val="FootnoteReference"/>
          <w:sz w:val="24"/>
          <w:szCs w:val="24"/>
          <w:vertAlign w:val="baseline"/>
          <w:lang w:val="hr-HR"/>
        </w:rPr>
        <w:t>2001.</w:t>
      </w:r>
    </w:p>
  </w:footnote>
  <w:footnote w:id="2">
    <w:p w:rsidR="00575F71" w:rsidRPr="00E34122" w:rsidRDefault="00575F71" w:rsidP="00BB6FB3">
      <w:pPr>
        <w:pStyle w:val="FootnoteText"/>
        <w:ind w:left="567" w:hanging="567"/>
        <w:rPr>
          <w:rStyle w:val="FootnoteReference"/>
          <w:sz w:val="24"/>
          <w:szCs w:val="24"/>
          <w:vertAlign w:val="baseline"/>
          <w:lang w:val="hr-HR"/>
        </w:rPr>
      </w:pPr>
      <w:r w:rsidRPr="00E34122">
        <w:rPr>
          <w:rStyle w:val="FootnoteReference"/>
          <w:sz w:val="24"/>
          <w:szCs w:val="24"/>
          <w:lang w:val="hr-HR"/>
        </w:rPr>
        <w:footnoteRef/>
      </w:r>
      <w:r w:rsidR="00BB6FB3" w:rsidRPr="00E34122">
        <w:rPr>
          <w:sz w:val="24"/>
          <w:szCs w:val="24"/>
          <w:lang w:val="hr-HR"/>
        </w:rPr>
        <w:t xml:space="preserve"> </w:t>
      </w:r>
      <w:r w:rsidR="00BB6FB3" w:rsidRPr="00E34122">
        <w:rPr>
          <w:sz w:val="24"/>
          <w:szCs w:val="24"/>
          <w:lang w:val="hr-HR"/>
        </w:rPr>
        <w:tab/>
      </w:r>
      <w:r w:rsidRPr="00E34122">
        <w:rPr>
          <w:rStyle w:val="FootnoteReference"/>
          <w:sz w:val="24"/>
          <w:szCs w:val="24"/>
          <w:vertAlign w:val="baseline"/>
          <w:lang w:val="hr-HR"/>
        </w:rPr>
        <w:t>SL C 224, 8.6.2022., str. 89.</w:t>
      </w:r>
    </w:p>
  </w:footnote>
  <w:footnote w:id="3">
    <w:p w:rsidR="00575F71" w:rsidRPr="00E34122" w:rsidRDefault="00575F71" w:rsidP="00BB6FB3">
      <w:pPr>
        <w:pStyle w:val="FootnoteText"/>
        <w:ind w:left="567" w:hanging="567"/>
        <w:rPr>
          <w:rStyle w:val="FootnoteReference"/>
          <w:sz w:val="24"/>
          <w:szCs w:val="24"/>
          <w:vertAlign w:val="baseline"/>
          <w:lang w:val="hr-HR"/>
        </w:rPr>
      </w:pPr>
      <w:r w:rsidRPr="00E34122">
        <w:rPr>
          <w:rStyle w:val="FootnoteReference"/>
          <w:sz w:val="24"/>
          <w:szCs w:val="24"/>
          <w:lang w:val="hr-HR"/>
        </w:rPr>
        <w:footnoteRef/>
      </w:r>
      <w:r w:rsidR="00BB6FB3" w:rsidRPr="00E34122">
        <w:rPr>
          <w:sz w:val="24"/>
          <w:szCs w:val="24"/>
          <w:vertAlign w:val="superscript"/>
          <w:lang w:val="hr-HR"/>
        </w:rPr>
        <w:t xml:space="preserve"> </w:t>
      </w:r>
      <w:r w:rsidR="00BB6FB3" w:rsidRPr="00E34122">
        <w:rPr>
          <w:sz w:val="24"/>
          <w:szCs w:val="24"/>
          <w:lang w:val="hr-HR"/>
        </w:rPr>
        <w:tab/>
      </w:r>
      <w:r w:rsidRPr="00E34122">
        <w:rPr>
          <w:rStyle w:val="FootnoteReference"/>
          <w:sz w:val="24"/>
          <w:szCs w:val="24"/>
          <w:vertAlign w:val="baseline"/>
          <w:lang w:val="hr-HR"/>
        </w:rPr>
        <w:t>SL C 363, 28.10.2020., str. 113.</w:t>
      </w:r>
    </w:p>
  </w:footnote>
  <w:footnote w:id="4">
    <w:p w:rsidR="00575F71" w:rsidRPr="00E34122" w:rsidRDefault="00575F71" w:rsidP="00BB6FB3">
      <w:pPr>
        <w:pStyle w:val="FootnoteText"/>
        <w:ind w:left="567" w:hanging="567"/>
        <w:rPr>
          <w:rStyle w:val="FootnoteReference"/>
          <w:sz w:val="24"/>
          <w:szCs w:val="24"/>
          <w:vertAlign w:val="baseline"/>
          <w:lang w:val="hr-HR"/>
        </w:rPr>
      </w:pPr>
      <w:r w:rsidRPr="00E34122">
        <w:rPr>
          <w:rStyle w:val="FootnoteReference"/>
          <w:sz w:val="24"/>
          <w:szCs w:val="24"/>
          <w:lang w:val="hr-HR"/>
        </w:rPr>
        <w:footnoteRef/>
      </w:r>
      <w:r w:rsidR="00BB6FB3" w:rsidRPr="00E34122">
        <w:rPr>
          <w:sz w:val="24"/>
          <w:szCs w:val="24"/>
          <w:vertAlign w:val="superscript"/>
          <w:lang w:val="hr-HR"/>
        </w:rPr>
        <w:t xml:space="preserve"> </w:t>
      </w:r>
      <w:r w:rsidR="00BB6FB3" w:rsidRPr="00E34122">
        <w:rPr>
          <w:sz w:val="24"/>
          <w:szCs w:val="24"/>
          <w:lang w:val="hr-HR"/>
        </w:rPr>
        <w:tab/>
      </w:r>
      <w:r w:rsidRPr="00E34122">
        <w:rPr>
          <w:rStyle w:val="FootnoteReference"/>
          <w:sz w:val="24"/>
          <w:szCs w:val="24"/>
          <w:vertAlign w:val="baseline"/>
          <w:lang w:val="hr-HR"/>
        </w:rPr>
        <w:t>SL C 232, 16.6.2021</w:t>
      </w:r>
      <w:r w:rsidR="00E34122">
        <w:rPr>
          <w:sz w:val="24"/>
          <w:szCs w:val="24"/>
          <w:lang w:val="hr-HR"/>
        </w:rPr>
        <w:t>.</w:t>
      </w:r>
      <w:r w:rsidRPr="00E34122">
        <w:rPr>
          <w:rStyle w:val="FootnoteReference"/>
          <w:sz w:val="24"/>
          <w:szCs w:val="24"/>
          <w:vertAlign w:val="baseline"/>
          <w:lang w:val="hr-HR"/>
        </w:rPr>
        <w:t>, str. 62.</w:t>
      </w:r>
    </w:p>
  </w:footnote>
  <w:footnote w:id="5">
    <w:p w:rsidR="00575F71" w:rsidRPr="00E34122" w:rsidRDefault="00575F71" w:rsidP="00BB6FB3">
      <w:pPr>
        <w:pStyle w:val="FootnoteText"/>
        <w:ind w:left="567" w:hanging="567"/>
        <w:rPr>
          <w:rStyle w:val="FootnoteReference"/>
          <w:sz w:val="24"/>
          <w:szCs w:val="24"/>
          <w:vertAlign w:val="baseline"/>
          <w:lang w:val="hr-HR"/>
        </w:rPr>
      </w:pPr>
      <w:r w:rsidRPr="00E34122">
        <w:rPr>
          <w:rStyle w:val="FootnoteReference"/>
          <w:sz w:val="24"/>
          <w:szCs w:val="24"/>
          <w:lang w:val="hr-HR"/>
        </w:rPr>
        <w:footnoteRef/>
      </w:r>
      <w:r w:rsidR="00BB6FB3" w:rsidRPr="00E34122">
        <w:rPr>
          <w:sz w:val="24"/>
          <w:szCs w:val="24"/>
          <w:lang w:val="hr-HR"/>
        </w:rPr>
        <w:t xml:space="preserve"> </w:t>
      </w:r>
      <w:r w:rsidR="00BB6FB3" w:rsidRPr="00E34122">
        <w:rPr>
          <w:sz w:val="24"/>
          <w:szCs w:val="24"/>
          <w:lang w:val="hr-HR"/>
        </w:rPr>
        <w:tab/>
      </w:r>
      <w:hyperlink r:id="rId1" w:history="1">
        <w:r w:rsidRPr="00E34122">
          <w:rPr>
            <w:rStyle w:val="FootnoteReference"/>
            <w:sz w:val="24"/>
            <w:szCs w:val="24"/>
            <w:vertAlign w:val="baseline"/>
            <w:lang w:val="hr-HR"/>
          </w:rPr>
          <w:t>https://www.europarl.europa.eu/cmsdata/158345/outcome_document-final-e.pdf</w:t>
        </w:r>
      </w:hyperlink>
      <w:r w:rsidRPr="00E34122">
        <w:rPr>
          <w:sz w:val="24"/>
          <w:szCs w:val="24"/>
          <w:lang w:val="hr-HR"/>
        </w:rPr>
        <w:t>.</w:t>
      </w:r>
    </w:p>
  </w:footnote>
  <w:footnote w:id="6">
    <w:p w:rsidR="00575F71" w:rsidRPr="00E34122" w:rsidRDefault="00575F71" w:rsidP="00BB6FB3">
      <w:pPr>
        <w:pStyle w:val="FootnoteText"/>
        <w:ind w:left="567" w:hanging="567"/>
        <w:rPr>
          <w:sz w:val="24"/>
          <w:szCs w:val="24"/>
          <w:lang w:val="hr-HR"/>
        </w:rPr>
      </w:pPr>
      <w:r w:rsidRPr="00E34122">
        <w:rPr>
          <w:rStyle w:val="FootnoteReference"/>
          <w:sz w:val="24"/>
          <w:szCs w:val="24"/>
          <w:lang w:val="hr-HR"/>
        </w:rPr>
        <w:footnoteRef/>
      </w:r>
      <w:r w:rsidR="00BB6FB3" w:rsidRPr="00E34122">
        <w:rPr>
          <w:sz w:val="24"/>
          <w:szCs w:val="24"/>
          <w:lang w:val="hr-HR"/>
        </w:rPr>
        <w:t xml:space="preserve"> </w:t>
      </w:r>
      <w:r w:rsidR="00BB6FB3" w:rsidRPr="00E34122">
        <w:rPr>
          <w:sz w:val="24"/>
          <w:szCs w:val="24"/>
          <w:lang w:val="hr-HR"/>
        </w:rPr>
        <w:tab/>
      </w:r>
      <w:r w:rsidRPr="00E34122">
        <w:rPr>
          <w:rStyle w:val="FootnoteReference"/>
          <w:sz w:val="24"/>
          <w:szCs w:val="24"/>
          <w:vertAlign w:val="baseline"/>
          <w:lang w:val="hr-HR"/>
        </w:rPr>
        <w:t>https://www.europarl.europa.eu/cmsdata/231517/2017_PCWTO_outcome_EN.pdf</w:t>
      </w:r>
      <w:r w:rsidRPr="00E34122">
        <w:rPr>
          <w:sz w:val="24"/>
          <w:szCs w:val="24"/>
          <w:lang w:val="hr-H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B6F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0/2024"/>
    <w:docVar w:name="dvlangue" w:val="HR"/>
    <w:docVar w:name="dvnumam" w:val="0"/>
    <w:docVar w:name="dvpe" w:val="753.647"/>
    <w:docVar w:name="dvtitre" w:val="Rezolucija Europskog parlamenta od .... 2024. o multilateralnim pregovorima uoči 13. ministarske konferencije WTO-a koja će se održati u Abu Dhabiju od 26. do 29. veljače 2024.(2023/2868(RSP))"/>
  </w:docVars>
  <w:rsids>
    <w:rsidRoot w:val="00FD094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F71"/>
    <w:rsid w:val="005C2568"/>
    <w:rsid w:val="006037C0"/>
    <w:rsid w:val="006631B6"/>
    <w:rsid w:val="00680577"/>
    <w:rsid w:val="006F74FA"/>
    <w:rsid w:val="00727BF8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4E64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FB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A76"/>
    <w:rsid w:val="00D56C11"/>
    <w:rsid w:val="00D834A0"/>
    <w:rsid w:val="00D872DF"/>
    <w:rsid w:val="00D91E21"/>
    <w:rsid w:val="00DA7FCD"/>
    <w:rsid w:val="00E3412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94C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EFE5A4-D76C-452C-A9F3-8832BCE8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75F71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575F71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575F7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uroparl.europa.eu/cmsdata/158345/outcome_document-final-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E90D9-ED4A-4BB8-AB9F-9D25B399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3161</Words>
  <Characters>19381</Characters>
  <Application>Microsoft Office Word</Application>
  <DocSecurity>0</DocSecurity>
  <Lines>161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2024-02-08T13:59:00Z</dcterms:created>
  <dcterms:modified xsi:type="dcterms:W3CDTF">2024-02-08T13:59:00Z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B9-0090/2024</vt:lpwstr>
  </property>
  <property fmtid="{D5CDD505-2E9C-101B-9397-08002B2CF9AE}" pid="4" name="&lt;Type&gt;">
    <vt:lpwstr>RR</vt:lpwstr>
  </property>
</Properties>
</file>