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0457" w:rsidTr="0010095E">
        <w:trPr>
          <w:trHeight w:hRule="exact" w:val="1418"/>
        </w:trPr>
        <w:tc>
          <w:tcPr>
            <w:tcW w:w="6804" w:type="dxa"/>
            <w:shd w:val="clear" w:color="auto" w:fill="auto"/>
            <w:vAlign w:val="center"/>
          </w:tcPr>
          <w:p w:rsidR="00751A4A" w:rsidRPr="002D0457" w:rsidRDefault="005D6F57" w:rsidP="0010095E">
            <w:pPr>
              <w:pStyle w:val="EPName"/>
            </w:pPr>
            <w:r w:rsidRPr="002D0457">
              <w:t>Europos Parlamentas</w:t>
            </w:r>
          </w:p>
          <w:p w:rsidR="00751A4A" w:rsidRPr="002D0457" w:rsidRDefault="00817416" w:rsidP="00756632">
            <w:pPr>
              <w:pStyle w:val="EPTerm"/>
              <w:rPr>
                <w:rStyle w:val="HideTWBExt"/>
                <w:noProof w:val="0"/>
                <w:vanish w:val="0"/>
                <w:color w:val="auto"/>
              </w:rPr>
            </w:pPr>
            <w:r w:rsidRPr="002D0457">
              <w:t>2019-2024</w:t>
            </w:r>
          </w:p>
        </w:tc>
        <w:tc>
          <w:tcPr>
            <w:tcW w:w="2268" w:type="dxa"/>
            <w:shd w:val="clear" w:color="auto" w:fill="auto"/>
          </w:tcPr>
          <w:p w:rsidR="00751A4A" w:rsidRPr="002D0457" w:rsidRDefault="00187494" w:rsidP="0010095E">
            <w:pPr>
              <w:pStyle w:val="EPLogo"/>
            </w:pPr>
            <w:r w:rsidRPr="002D045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0457" w:rsidRDefault="00D058B8" w:rsidP="004C5D52">
      <w:pPr>
        <w:pStyle w:val="LineTop"/>
      </w:pPr>
    </w:p>
    <w:p w:rsidR="00680577" w:rsidRPr="002D0457" w:rsidRDefault="005D6F57" w:rsidP="00680577">
      <w:pPr>
        <w:pStyle w:val="EPBodyTA1"/>
      </w:pPr>
      <w:r w:rsidRPr="002D0457">
        <w:t>PRIIMTI TEKSTAI</w:t>
      </w:r>
    </w:p>
    <w:p w:rsidR="00D058B8" w:rsidRPr="002D0457" w:rsidRDefault="00D058B8" w:rsidP="00D058B8">
      <w:pPr>
        <w:pStyle w:val="LineBottom"/>
      </w:pPr>
    </w:p>
    <w:p w:rsidR="005D6F57" w:rsidRPr="002D0457" w:rsidRDefault="005D6F57" w:rsidP="005D6F57">
      <w:pPr>
        <w:pStyle w:val="ATHeading1"/>
      </w:pPr>
      <w:bookmarkStart w:id="0" w:name="TANumber"/>
      <w:r w:rsidRPr="002D0457">
        <w:t>P9_TA(2024)00</w:t>
      </w:r>
      <w:r w:rsidR="00700915">
        <w:t>78</w:t>
      </w:r>
      <w:bookmarkEnd w:id="0"/>
    </w:p>
    <w:p w:rsidR="005D6F57" w:rsidRPr="002D0457" w:rsidRDefault="005D6F57" w:rsidP="005D6F57">
      <w:pPr>
        <w:pStyle w:val="ATHeading2"/>
      </w:pPr>
      <w:bookmarkStart w:id="1" w:name="title"/>
      <w:r w:rsidRPr="002D0457">
        <w:t>Daugiašalės derybos rengiantis 13-ajai PPO ministrų konferencijai, kuri vyks 2024 m. vasario 26–29 d. Abu</w:t>
      </w:r>
      <w:r w:rsidR="004F16A9">
        <w:t xml:space="preserve"> </w:t>
      </w:r>
      <w:r w:rsidRPr="002D0457">
        <w:t>Dabyje -</w:t>
      </w:r>
      <w:bookmarkEnd w:id="1"/>
    </w:p>
    <w:p w:rsidR="005D6F57" w:rsidRPr="002D0457" w:rsidRDefault="005D6F57" w:rsidP="005D6F57">
      <w:pPr>
        <w:rPr>
          <w:i/>
          <w:vanish/>
        </w:rPr>
      </w:pPr>
      <w:r w:rsidRPr="002D0457">
        <w:rPr>
          <w:i/>
        </w:rPr>
        <w:fldChar w:fldCharType="begin"/>
      </w:r>
      <w:r w:rsidRPr="002D0457">
        <w:rPr>
          <w:i/>
        </w:rPr>
        <w:instrText xml:space="preserve"> TC"(</w:instrText>
      </w:r>
      <w:bookmarkStart w:id="2" w:name="DocNumber"/>
      <w:r w:rsidRPr="002D0457">
        <w:rPr>
          <w:i/>
        </w:rPr>
        <w:instrText>B9-0090/2024</w:instrText>
      </w:r>
      <w:bookmarkEnd w:id="2"/>
      <w:r w:rsidRPr="002D0457">
        <w:rPr>
          <w:i/>
        </w:rPr>
        <w:instrText xml:space="preserve">)"\l3 \n&gt; \* MERGEFORMAT </w:instrText>
      </w:r>
      <w:r w:rsidRPr="002D0457">
        <w:rPr>
          <w:i/>
        </w:rPr>
        <w:fldChar w:fldCharType="end"/>
      </w:r>
    </w:p>
    <w:p w:rsidR="005D6F57" w:rsidRPr="002D0457" w:rsidRDefault="005D6F57" w:rsidP="005D6F57">
      <w:pPr>
        <w:rPr>
          <w:vanish/>
        </w:rPr>
      </w:pPr>
      <w:bookmarkStart w:id="3" w:name="PE"/>
      <w:r w:rsidRPr="002D0457">
        <w:rPr>
          <w:vanish/>
        </w:rPr>
        <w:t>PE753.647</w:t>
      </w:r>
      <w:bookmarkEnd w:id="3"/>
    </w:p>
    <w:p w:rsidR="005D6F57" w:rsidRPr="002D0457" w:rsidRDefault="004F16A9" w:rsidP="005E4AC3">
      <w:pPr>
        <w:pStyle w:val="ATHeading3"/>
      </w:pPr>
      <w:bookmarkStart w:id="4" w:name="Sujet"/>
      <w:r>
        <w:t xml:space="preserve">2024 m. vasario 8 d. </w:t>
      </w:r>
      <w:r w:rsidR="005D6F57" w:rsidRPr="002D0457">
        <w:t>Europos Parlamento rezoliucija dėl daugiašalių derybų rengiantis 13-ajai PPO ministrų konferencijai, vyksiančiai 2024 m. vasario 26–29 d. Abu Dabyje</w:t>
      </w:r>
      <w:bookmarkEnd w:id="4"/>
      <w:r w:rsidR="005D6F57" w:rsidRPr="002D0457">
        <w:t xml:space="preserve"> </w:t>
      </w:r>
      <w:bookmarkStart w:id="5" w:name="References"/>
      <w:r w:rsidR="005D6F57" w:rsidRPr="002D0457">
        <w:t>(2023/2868(RSP))</w:t>
      </w:r>
      <w:bookmarkEnd w:id="5"/>
    </w:p>
    <w:p w:rsidR="009B353B" w:rsidRPr="002D0457" w:rsidRDefault="009B353B" w:rsidP="009B353B">
      <w:pPr>
        <w:pStyle w:val="EPComma"/>
      </w:pPr>
      <w:bookmarkStart w:id="6" w:name="TextBodyBegin"/>
      <w:bookmarkEnd w:id="6"/>
      <w:r w:rsidRPr="002D0457">
        <w:rPr>
          <w:i/>
        </w:rPr>
        <w:t>Europos Parlamentas</w:t>
      </w:r>
      <w:r w:rsidRPr="002D0457">
        <w:t>,</w:t>
      </w:r>
    </w:p>
    <w:p w:rsidR="009B353B" w:rsidRPr="002D0457" w:rsidRDefault="009B353B" w:rsidP="009B353B">
      <w:pPr>
        <w:pStyle w:val="NormalHanging12a"/>
        <w:widowControl/>
        <w:rPr>
          <w:szCs w:val="24"/>
        </w:rPr>
      </w:pPr>
      <w:r w:rsidRPr="002D0457">
        <w:t>–</w:t>
      </w:r>
      <w:r w:rsidRPr="002D0457">
        <w:tab/>
        <w:t xml:space="preserve">atsižvelgdamas į 1994 m. balandžio 15 d. </w:t>
      </w:r>
      <w:proofErr w:type="spellStart"/>
      <w:r w:rsidRPr="002D0457">
        <w:t>Marakešo</w:t>
      </w:r>
      <w:proofErr w:type="spellEnd"/>
      <w:r w:rsidRPr="002D0457">
        <w:t xml:space="preserve"> sutartį, pagal kurią įsteigiama Pasaulio prekybos organizacija (PPO),</w:t>
      </w:r>
    </w:p>
    <w:p w:rsidR="009B353B" w:rsidRPr="002D0457" w:rsidRDefault="009B353B" w:rsidP="009B353B">
      <w:pPr>
        <w:pStyle w:val="NormalHanging12a"/>
        <w:widowControl/>
        <w:rPr>
          <w:szCs w:val="24"/>
        </w:rPr>
      </w:pPr>
      <w:r w:rsidRPr="002D0457">
        <w:t>–</w:t>
      </w:r>
      <w:r w:rsidRPr="002D0457">
        <w:tab/>
        <w:t xml:space="preserve">atsižvelgdamas į 2001 m. lapkričio 14 d. PPO </w:t>
      </w:r>
      <w:proofErr w:type="spellStart"/>
      <w:r w:rsidRPr="002D0457">
        <w:t>Dohos</w:t>
      </w:r>
      <w:proofErr w:type="spellEnd"/>
      <w:r w:rsidRPr="002D0457">
        <w:t xml:space="preserve"> ministrų deklaraciją</w:t>
      </w:r>
      <w:r w:rsidRPr="002D0457">
        <w:rPr>
          <w:rStyle w:val="FootnoteReference"/>
          <w:color w:val="000000"/>
          <w:szCs w:val="24"/>
        </w:rPr>
        <w:footnoteReference w:id="1"/>
      </w:r>
      <w:r w:rsidRPr="002D0457">
        <w:t>,</w:t>
      </w:r>
    </w:p>
    <w:p w:rsidR="009B353B" w:rsidRPr="002D0457" w:rsidRDefault="009B353B" w:rsidP="009B353B">
      <w:pPr>
        <w:pStyle w:val="NormalHanging12a"/>
        <w:widowControl/>
        <w:rPr>
          <w:szCs w:val="24"/>
        </w:rPr>
      </w:pPr>
      <w:r w:rsidRPr="002D0457">
        <w:t>–</w:t>
      </w:r>
      <w:r w:rsidRPr="002D0457">
        <w:tab/>
        <w:t>atsižvelgdamas į savo ankstesnes rezoliucijas dėl PPO, visų pirma 2021 m. lapkričio 25 d. rezoliuciją dėl daugiašalių derybų rengiantis 12-ajai PPO ministrų konferencijai</w:t>
      </w:r>
      <w:r w:rsidRPr="002D0457">
        <w:rPr>
          <w:rStyle w:val="FootnoteReference"/>
          <w:color w:val="000000"/>
          <w:szCs w:val="24"/>
        </w:rPr>
        <w:footnoteReference w:id="2"/>
      </w:r>
      <w:r w:rsidRPr="002D0457">
        <w:t>, 2018 m. lapkričio 29 d. rezoliuciją „PPO: tolesni veiksmai“</w:t>
      </w:r>
      <w:r w:rsidRPr="002D0457">
        <w:rPr>
          <w:rStyle w:val="FootnoteReference"/>
          <w:color w:val="000000"/>
          <w:szCs w:val="24"/>
        </w:rPr>
        <w:footnoteReference w:id="3"/>
      </w:r>
      <w:r w:rsidRPr="002D0457">
        <w:t xml:space="preserve"> ir 2019 m. lapkričio 28 d. rezoliuciją dėl PPO apeliacinio komiteto krizės</w:t>
      </w:r>
      <w:r w:rsidRPr="002D0457">
        <w:rPr>
          <w:rStyle w:val="FootnoteReference"/>
          <w:color w:val="000000"/>
          <w:szCs w:val="24"/>
        </w:rPr>
        <w:footnoteReference w:id="4"/>
      </w:r>
      <w:r w:rsidRPr="002D0457">
        <w:t>,</w:t>
      </w:r>
    </w:p>
    <w:p w:rsidR="009B353B" w:rsidRPr="002D0457" w:rsidRDefault="009B353B" w:rsidP="009B353B">
      <w:pPr>
        <w:pStyle w:val="NormalHanging12a"/>
        <w:rPr>
          <w:color w:val="000000"/>
        </w:rPr>
      </w:pPr>
      <w:r w:rsidRPr="002D0457">
        <w:t>–</w:t>
      </w:r>
      <w:r w:rsidRPr="002D0457">
        <w:tab/>
        <w:t>atsižvelgdamas į 2018 m. gruodžio 7 d. Ženevoje</w:t>
      </w:r>
      <w:r w:rsidRPr="002D0457">
        <w:rPr>
          <w:rStyle w:val="FootnoteReference"/>
          <w:color w:val="000000"/>
          <w:szCs w:val="24"/>
        </w:rPr>
        <w:footnoteReference w:id="5"/>
      </w:r>
      <w:r w:rsidRPr="002D0457">
        <w:t xml:space="preserve"> ir 2017 m. gruodžio 10 d. Buenos Airėse vykusiose parlamentinės konferencijos PPO klausimais metinėse sesijose bendru sutarimu priimtus baigiamuosius dokumentus</w:t>
      </w:r>
      <w:r w:rsidRPr="002D0457">
        <w:rPr>
          <w:rStyle w:val="FootnoteReference"/>
          <w:color w:val="000000"/>
          <w:szCs w:val="24"/>
        </w:rPr>
        <w:footnoteReference w:id="6"/>
      </w:r>
      <w:r w:rsidRPr="002D0457">
        <w:t>,</w:t>
      </w:r>
    </w:p>
    <w:p w:rsidR="009B353B" w:rsidRPr="002D0457" w:rsidRDefault="009B353B" w:rsidP="009B353B">
      <w:pPr>
        <w:pStyle w:val="NormalHanging12a"/>
        <w:rPr>
          <w:color w:val="000000"/>
        </w:rPr>
      </w:pPr>
      <w:r w:rsidRPr="002D0457">
        <w:rPr>
          <w:color w:val="000000"/>
        </w:rPr>
        <w:t>–</w:t>
      </w:r>
      <w:r w:rsidRPr="002D0457">
        <w:rPr>
          <w:color w:val="000000"/>
        </w:rPr>
        <w:tab/>
        <w:t>atsižvelgdamas į 2022 m. birželio mėn. Ženevoje vykusios 12-osios PPO ministrų konferencijos rezultatus, be kita ko, baigiamąjį dokumentą, ministrų sprendimus ir deklaracijas bei Susitarimą dėl žuvininkystės subsidijų,</w:t>
      </w:r>
    </w:p>
    <w:p w:rsidR="009B353B" w:rsidRPr="002D0457" w:rsidRDefault="009B353B" w:rsidP="009B353B">
      <w:pPr>
        <w:pStyle w:val="NormalHanging12a"/>
        <w:rPr>
          <w:color w:val="000000"/>
        </w:rPr>
      </w:pPr>
      <w:r w:rsidRPr="002D0457">
        <w:rPr>
          <w:color w:val="000000"/>
        </w:rPr>
        <w:t>–</w:t>
      </w:r>
      <w:r w:rsidRPr="002D0457">
        <w:rPr>
          <w:color w:val="000000"/>
        </w:rPr>
        <w:tab/>
        <w:t xml:space="preserve">atsižvelgdamas į 2017 m. gruodžio mėn. Buenos Airėse vykusios 11-osios PPO ministrų konferencijos rezultatus, pavyzdžiui, kelis ministrų sprendimus ir bendrus pareiškimus dėl elektroninės prekybos, palankesnių sąlygų investicijoms sudarymo, vidaus paslaugų </w:t>
      </w:r>
      <w:r w:rsidRPr="002D0457">
        <w:rPr>
          <w:color w:val="000000"/>
        </w:rPr>
        <w:lastRenderedPageBreak/>
        <w:t>reguliavimo ir dėl labai mažų, mažųjų ir vidutinių įmonių (MVĮ),</w:t>
      </w:r>
    </w:p>
    <w:p w:rsidR="009B353B" w:rsidRPr="002D0457" w:rsidRDefault="009B353B" w:rsidP="009B353B">
      <w:pPr>
        <w:pStyle w:val="NormalHanging12a"/>
        <w:rPr>
          <w:color w:val="000000"/>
        </w:rPr>
      </w:pPr>
      <w:r w:rsidRPr="002D0457">
        <w:rPr>
          <w:color w:val="000000"/>
        </w:rPr>
        <w:t>–</w:t>
      </w:r>
      <w:r w:rsidRPr="002D0457">
        <w:rPr>
          <w:color w:val="000000"/>
        </w:rPr>
        <w:tab/>
        <w:t>atsižvelgdamas į 2017 m. gruodžio 12 d. patvirtintą Buenos Airių deklaraciją dėl prekybos ir moterų ekonominio įgalėjimo ir 2020 m. rugsėjo 23 d. įsteigtą neoficialią Prekybos ir lyčių klausimų darbo grupę,</w:t>
      </w:r>
    </w:p>
    <w:p w:rsidR="009B353B" w:rsidRPr="002D0457" w:rsidRDefault="009B353B" w:rsidP="009B353B">
      <w:pPr>
        <w:pStyle w:val="NormalHanging12a"/>
        <w:rPr>
          <w:color w:val="000000"/>
        </w:rPr>
      </w:pPr>
      <w:r w:rsidRPr="002D0457">
        <w:rPr>
          <w:color w:val="000000"/>
        </w:rPr>
        <w:t>–</w:t>
      </w:r>
      <w:r w:rsidRPr="002D0457">
        <w:rPr>
          <w:color w:val="000000"/>
        </w:rPr>
        <w:tab/>
      </w:r>
      <w:r w:rsidRPr="002D0457">
        <w:t>atsižvelgdamas į 2021 m. gruodžio 10 d. ministrų pareiškimus dėl taršos plastiku ir aplinkos atžvilgiu tvarios prekybos plastikais, 2021 m. gruodžio 14 d. ministrų pareiškimus dėl prekybos ir aplinkos tvarumo ir 2021 m. gruodžio 14 d. pareiškimą dėl subsidijų iškastiniam kurui,</w:t>
      </w:r>
    </w:p>
    <w:p w:rsidR="009B353B" w:rsidRPr="002D0457" w:rsidRDefault="009B353B" w:rsidP="009B353B">
      <w:pPr>
        <w:pStyle w:val="NormalHanging12a"/>
        <w:rPr>
          <w:color w:val="000000"/>
        </w:rPr>
      </w:pPr>
      <w:r w:rsidRPr="002D0457">
        <w:rPr>
          <w:color w:val="000000"/>
        </w:rPr>
        <w:t>–</w:t>
      </w:r>
      <w:r w:rsidRPr="002D0457">
        <w:rPr>
          <w:color w:val="000000"/>
        </w:rPr>
        <w:tab/>
        <w:t>atsižvelgdamas į Jungtinių Tautų darnaus vystymosi tikslus (DVT),</w:t>
      </w:r>
    </w:p>
    <w:p w:rsidR="009B353B" w:rsidRPr="002D0457" w:rsidRDefault="009B353B" w:rsidP="009B353B">
      <w:pPr>
        <w:pStyle w:val="NormalHanging12a"/>
        <w:widowControl/>
        <w:rPr>
          <w:szCs w:val="24"/>
        </w:rPr>
      </w:pPr>
      <w:r w:rsidRPr="002D0457">
        <w:t>–</w:t>
      </w:r>
      <w:r w:rsidRPr="002D0457">
        <w:tab/>
        <w:t>atsižvelgdamas į 2016 m. lapkričio mėn. įsigaliojusį Paryžiaus susitarimą, priimtą pagal Jungtinių Tautų bendrąją klimato kaitos konvenciją (UNFCCC),</w:t>
      </w:r>
    </w:p>
    <w:p w:rsidR="009B353B" w:rsidRPr="002D0457" w:rsidRDefault="009B353B" w:rsidP="009B353B">
      <w:pPr>
        <w:pStyle w:val="NormalHanging12a"/>
        <w:widowControl/>
        <w:rPr>
          <w:szCs w:val="24"/>
        </w:rPr>
      </w:pPr>
      <w:r w:rsidRPr="002D0457">
        <w:t>–</w:t>
      </w:r>
      <w:r w:rsidRPr="002D0457">
        <w:tab/>
        <w:t>atsižvelgdamas į 2021 m. vasario 18 d. Komisijos komunikatą „Prekybos politikos peržiūra. Atvira, tvari ir ryžtinga prekybos politika“ ir į jo priedą „PPO pertvarka: tvarios ir veiksmingos daugiašalės prekybos sistemos kūrimas“ (COM(2021)0066),</w:t>
      </w:r>
    </w:p>
    <w:p w:rsidR="009B353B" w:rsidRPr="002D0457" w:rsidRDefault="009B353B" w:rsidP="009B353B">
      <w:pPr>
        <w:pStyle w:val="NormalHanging12a"/>
        <w:widowControl/>
        <w:rPr>
          <w:szCs w:val="24"/>
        </w:rPr>
      </w:pPr>
      <w:r w:rsidRPr="002D0457">
        <w:t>–</w:t>
      </w:r>
      <w:r w:rsidRPr="002D0457">
        <w:tab/>
        <w:t>atsižvelgdamas į Darbo tvarkos taisyklių 132 straipsnio 2 dalį,</w:t>
      </w:r>
    </w:p>
    <w:p w:rsidR="009B353B" w:rsidRPr="002D0457" w:rsidRDefault="009B353B" w:rsidP="009B353B">
      <w:pPr>
        <w:pStyle w:val="NormalHanging12a"/>
        <w:widowControl/>
        <w:rPr>
          <w:szCs w:val="24"/>
        </w:rPr>
      </w:pPr>
      <w:r w:rsidRPr="002D0457">
        <w:t>–</w:t>
      </w:r>
      <w:r w:rsidRPr="002D0457">
        <w:tab/>
        <w:t>atsižvelgdamas į Tarptautinės prekybos komiteto pasiūlymą dėl rezoliucijos,</w:t>
      </w:r>
    </w:p>
    <w:p w:rsidR="009B353B" w:rsidRPr="002D0457" w:rsidRDefault="009B353B" w:rsidP="009B353B">
      <w:pPr>
        <w:pStyle w:val="NormalHanging12a"/>
      </w:pPr>
      <w:r w:rsidRPr="002D0457">
        <w:t>A.</w:t>
      </w:r>
      <w:r w:rsidRPr="002D0457">
        <w:tab/>
        <w:t xml:space="preserve">kadangi PPO buvo įsteigta siekiant toliau liberalizuoti prekybą prekėmis ir paslaugomis, stiprinti </w:t>
      </w:r>
      <w:proofErr w:type="spellStart"/>
      <w:r w:rsidRPr="002D0457">
        <w:t>daugiašališkumą</w:t>
      </w:r>
      <w:proofErr w:type="spellEnd"/>
      <w:r w:rsidRPr="002D0457">
        <w:t xml:space="preserve"> ir skatinti sąžiningą, atvirą, įtraukią, taisyklėmis grindžiamą ir nediskriminacinę daugiašalę prekybos sistemą, siekiant užtikrinti žmonių gerovę visame pasaulyje; kadangi bendras ES prekybos politikos tikslas – prisidėti prie darnaus pasaulio prekybos plėtojimo, laipsniško tarptautinės prekybos ir tiesioginių užsienio investicijų apribojimų panaikinimo bei muitų ir kitų kliūčių mažinimo, taip pat žmonių gerovės užtikrinimo; kadangi prekyba yra nepaprastai svarbi, pagrindinė priemonė siekiant remti ir papildyti pastangas, kuriomis skatinamas tvarus augimas ir gerinamas gyvenimo lygis, užtikrinant visišką ir geresnės kokybės užimtumą ir dideles bei nuolat augančias realias pajamas, atsižvelgiant į darnaus vystymosi tikslą, kartu stengiantis saugoti ir tausoti aplinką bei gerinti tam skirtas priemones, atsižvelgiant į atitinkamus poreikius ir problemas skirtingo ekonominio lygio šalyse;</w:t>
      </w:r>
    </w:p>
    <w:p w:rsidR="009B353B" w:rsidRPr="002D0457" w:rsidRDefault="009B353B" w:rsidP="009B353B">
      <w:pPr>
        <w:pStyle w:val="NormalHanging12a"/>
      </w:pPr>
      <w:r w:rsidRPr="002D0457">
        <w:t>B.</w:t>
      </w:r>
      <w:r w:rsidRPr="002D0457">
        <w:tab/>
        <w:t>kadangi stipri, atvira ir įtrauki daugiašalė prekybos sistema turėtų vaidinti dar svarbesnį vaidmenį  siekiant pasaulinių kovos su klimato kaita tikslų ir siekiant nulinio ŠESD balanso tikslo, pvz., keičiantis prekėmis, paslaugomis ir praktika, kurios yra būtinos švarios energijos technologijoms ir žiedinei ekonomikai;</w:t>
      </w:r>
    </w:p>
    <w:p w:rsidR="009B353B" w:rsidRPr="002D0457" w:rsidRDefault="009B353B" w:rsidP="009B353B">
      <w:pPr>
        <w:pStyle w:val="NormalHanging12a"/>
      </w:pPr>
      <w:r w:rsidRPr="002D0457">
        <w:t>C.</w:t>
      </w:r>
      <w:r w:rsidRPr="002D0457">
        <w:tab/>
        <w:t>kadangi taisyklėmis grindžiamai daugiašalei prekybos sistemai šiuo metu daromas didelis spaudimas, susijęs su geopolitine įtampa, kurią sukėlė kai kurių PPO narių sprendimai ir  jų taikomomis vienašalėmis priemonėmis, be to, kai kurios jos narės nepagrįstai remiasi Bendrojo susitarimo dėl muitų tarifų ir prekybos (GATT) saugumo išimtimi, todėl su prekybos politika susijusios aplinkybės jau dabar yra labiau fragmentiškos ir mažiau nuspėjamos; kadangi 75 proc. prekybos tebevyksta remiantis didžiausio palankumo statuso  režimo muito tarifais, o tai tik patvirtina, kad PPO yra pasaulio ekonomikos pagrindas; kadangi iš 12-osios ministrų konferencijos rezultatų matyti, kad PPO vis dar gali sudaryti daugiašalius susitarimus ir reaguoti į ekstremaliąsias situacijas;</w:t>
      </w:r>
    </w:p>
    <w:p w:rsidR="009B353B" w:rsidRPr="002D0457" w:rsidRDefault="009B353B" w:rsidP="009B353B">
      <w:pPr>
        <w:pStyle w:val="NormalHanging12a"/>
      </w:pPr>
      <w:r w:rsidRPr="002D0457">
        <w:lastRenderedPageBreak/>
        <w:t>D.</w:t>
      </w:r>
      <w:r w:rsidRPr="002D0457">
        <w:tab/>
        <w:t xml:space="preserve">kadangi 12-ojoje ministrų konferencijoje patvirtintas PPO susitarimas dėl žuvininkystės subsidijų yra pirmasis daugiašalis prekybos susitarimas, kurio pagrindas – aplinkos tvarumas ir kuriuo nustatomos visuotinės privalomos taisyklės, siekiant padėti pažaboti maždaug 22 mlrd. JAV dolerių per metus vertės žalingas subsidijas, kurias vyriausybės teikia žvejybos sektoriui, kaip reikalaujama pagal DVT Nr. 14.6; kadangi į susitarimą dar neįtrauktos žuvininkystės subsidijos, kuriomis prisidedama prie perteklinių </w:t>
      </w:r>
      <w:proofErr w:type="spellStart"/>
      <w:r w:rsidRPr="002D0457">
        <w:t>pajėgumų</w:t>
      </w:r>
      <w:proofErr w:type="spellEnd"/>
      <w:r w:rsidRPr="002D0457">
        <w:t xml:space="preserve"> ir peržvejojimo, kurios sudaro daugiau kaip pusę visų žuvininkystės subsidijų, dėl kurių tebevyksta derybos;</w:t>
      </w:r>
    </w:p>
    <w:p w:rsidR="009B353B" w:rsidRPr="002D0457" w:rsidRDefault="009B353B" w:rsidP="009B353B">
      <w:pPr>
        <w:pStyle w:val="NormalHanging12a"/>
      </w:pPr>
      <w:r w:rsidRPr="002D0457">
        <w:t>E.</w:t>
      </w:r>
      <w:r w:rsidRPr="002D0457">
        <w:tab/>
        <w:t>kadangi per 12-ąją PPO ministrų konferenciją 2022 m. birželio 17 d. buvo priimtas sprendimas, kuriuo pagal Susitarimą dėl intelektinės nuosavybės teisių aspektų, susijusių su prekyba (TRIPS), suteikiama lankstumo, kad būtų sudarytos sąlygos COVID-19 vakcinų gamybai ir tiekimui, kartu atidedant sprendimą dėl šių lankstumo priemonių taikymo srities išplėtimo įtraukiant terapinius vaistus nuo COVID-19 ir diagnostiką; kadangi PPO TRIPS taryba veda derybas dėl TRIPS sutarties netaikymo pratęsimo;</w:t>
      </w:r>
    </w:p>
    <w:p w:rsidR="009B353B" w:rsidRPr="002D0457" w:rsidRDefault="009B353B" w:rsidP="009B353B">
      <w:pPr>
        <w:pStyle w:val="NormalHanging12a"/>
      </w:pPr>
      <w:r w:rsidRPr="002D0457">
        <w:t>F.</w:t>
      </w:r>
      <w:r w:rsidRPr="002D0457">
        <w:tab/>
        <w:t>kadangi apsirūpinimo maistu saugumas tebekelia iššūkių, nes 2022 m. 258 mln. žmonių dėl didelio maisto stygiaus gyveno krizinėje ar dar blogesnėje padėtyje, o 2021 m. tokių žmonių buvo 193 mln.; kadangi PPO Urugvajaus raundo susitarime dėl žemės ūkio aiškiai pripažįstama, kad vykstančiose derybose svarbu atsižvelgti į apsirūpinimo maistu saugumą; kadangi prekyba gali pagerinti galimybes gauti maisto regionuose, kuriuose jo trūksta, be to, prekyba gali pagerinti ekonomines galimybes gauti maisto, nes sukuriamos įsidarbinimo galimybės ir didinamos pajamos;</w:t>
      </w:r>
    </w:p>
    <w:p w:rsidR="009B353B" w:rsidRPr="002D0457" w:rsidRDefault="009B353B" w:rsidP="009B353B">
      <w:pPr>
        <w:pStyle w:val="NormalHanging12a"/>
      </w:pPr>
      <w:r w:rsidRPr="002D0457">
        <w:t>G.</w:t>
      </w:r>
      <w:r w:rsidRPr="002D0457">
        <w:tab/>
        <w:t xml:space="preserve">kadangi PPO narės savo įsipareigojimą spręsti maisto trūkumo problemą ir užtikrinti neatidėliotiną pagalbą maistu labiausiai pažeidžiamoms grupėms įrodė tiek Ministrų deklaracijoje dėl reagavimo į ekstremaliąją maisto stygiaus padėtį, tiek Ministrų sprendime dėl eksporto draudimų ar apribojimų netaikymo maisto produktų </w:t>
      </w:r>
      <w:proofErr w:type="spellStart"/>
      <w:r w:rsidRPr="002D0457">
        <w:t>įsigijimams</w:t>
      </w:r>
      <w:proofErr w:type="spellEnd"/>
      <w:r w:rsidRPr="002D0457">
        <w:t xml:space="preserve"> humanitariniais tikslais pagal Pasaulio maisto programą (PMP), dėl kurių buvo susitarta 12-ojoje ministrų konferencijoje;</w:t>
      </w:r>
    </w:p>
    <w:p w:rsidR="009B353B" w:rsidRPr="002D0457" w:rsidRDefault="009B353B" w:rsidP="009B353B">
      <w:pPr>
        <w:pStyle w:val="NormalHanging12a"/>
      </w:pPr>
      <w:r w:rsidRPr="002D0457">
        <w:t>H.</w:t>
      </w:r>
      <w:r w:rsidRPr="002D0457">
        <w:tab/>
        <w:t>kadangi tvari prekyba gali padėti sušvelninti klimato kaitos poveikį ir kovoti su ja;</w:t>
      </w:r>
    </w:p>
    <w:p w:rsidR="009B353B" w:rsidRPr="002D0457" w:rsidRDefault="009B353B" w:rsidP="009B353B">
      <w:pPr>
        <w:pStyle w:val="NormalHanging12a"/>
      </w:pPr>
      <w:r w:rsidRPr="002D0457">
        <w:t>I.</w:t>
      </w:r>
      <w:r w:rsidRPr="002D0457">
        <w:tab/>
        <w:t>kadangi 2019 m. gruodžio 11 d. nustojo veikti PPO apeliacinis komitetas, todėl sustabdyta funkcionali, nepriklausoma ir nešališka apeliacinė veikla; kadangi 12-ojoje ministrų konferencijoje PPO narės įsipareigojo vesti diskusijas, kad iki 2024 m. visos PPO narės galėtų pasinaudoti visapusiškai ir tinkamai veikiančia ginčų sprendimo sistema;</w:t>
      </w:r>
    </w:p>
    <w:p w:rsidR="009B353B" w:rsidRPr="002D0457" w:rsidRDefault="009B353B" w:rsidP="009B353B">
      <w:pPr>
        <w:pStyle w:val="NormalHanging12a"/>
      </w:pPr>
      <w:r w:rsidRPr="002D0457">
        <w:t>J.</w:t>
      </w:r>
      <w:r w:rsidRPr="002D0457">
        <w:tab/>
        <w:t>kadangi Europos Parlamentas ir Tarpparlamentinė sąjunga jau daugiau kaip 20 metų atlieka itin svarbų vaidmenį nustatant parlamentinį PPO aspektą per parlamentinę konferenciją PPO klausimais;</w:t>
      </w:r>
    </w:p>
    <w:p w:rsidR="009B353B" w:rsidRPr="002D0457" w:rsidRDefault="009B353B" w:rsidP="009B353B">
      <w:pPr>
        <w:pStyle w:val="NormalHanging12a"/>
      </w:pPr>
      <w:r w:rsidRPr="002D0457">
        <w:t>K.</w:t>
      </w:r>
      <w:r w:rsidRPr="002D0457">
        <w:tab/>
        <w:t>kadangi 13-oji PPO ministrų konferencija vyks Abu Dabyje (Jungtiniai Arabų Emyratai) 2024 m. vasario 26–29 d.;</w:t>
      </w:r>
    </w:p>
    <w:p w:rsidR="009B353B" w:rsidRPr="002D0457" w:rsidRDefault="009B353B" w:rsidP="009B353B">
      <w:pPr>
        <w:pStyle w:val="NormalHanging12a"/>
      </w:pPr>
      <w:r w:rsidRPr="002D0457">
        <w:t>1.</w:t>
      </w:r>
      <w:r w:rsidRPr="002D0457">
        <w:tab/>
        <w:t xml:space="preserve">pakartoja, kad yra visapusiškai įsipareigojęs propaguoti ilgalaikę </w:t>
      </w:r>
      <w:proofErr w:type="spellStart"/>
      <w:r w:rsidRPr="002D0457">
        <w:t>daugiašališkumo</w:t>
      </w:r>
      <w:proofErr w:type="spellEnd"/>
      <w:r w:rsidRPr="002D0457">
        <w:t xml:space="preserve"> naudą, ir pabrėžia, kad modernizuota daugiašalė sistema yra nepaprastai svarbi reguliuojant prekybą; ragina parengti visiems naudingą prekybos darbotvarkę, grindžiamą sąžininga ir taisyklėmis grindžiama prekyba, kuri prisidėtų prie tvarios </w:t>
      </w:r>
      <w:r w:rsidRPr="002D0457">
        <w:lastRenderedPageBreak/>
        <w:t>ekonomikos plėtros, neapsiribojant tik BVP augimo apibrėžtimi, ir klestėjimo ir taip stiprintų taiką bei saugumą; pabrėžia, jog PPO turėtų skatinti įgyvendinti DVT bei sveikatos, socialines, aplinkos ir žmogaus teises, be to, užtikrinti, kad visi taikytų daugiašaliu lygmeniu sutartas ir suderintas taisykles;</w:t>
      </w:r>
    </w:p>
    <w:p w:rsidR="009B353B" w:rsidRPr="002D0457" w:rsidRDefault="009B353B" w:rsidP="009B353B">
      <w:pPr>
        <w:pStyle w:val="NormalHanging12a"/>
      </w:pPr>
      <w:r w:rsidRPr="002D0457">
        <w:t>2.</w:t>
      </w:r>
      <w:r w:rsidRPr="002D0457">
        <w:tab/>
        <w:t>primygtinai ragina visas PPO nares įsipareigoti siekti sėkmingų 13-osios ministrų konferencijos rezultatų; mano, kad 13-oji ministrų konferencija turėtų būti atspirties taškas siekiant tobulinti ir modernizuoti PPO, norint užtikrinti, kad ji galėtų atlikti tam tikrą vaidmenį sprendžiant XXI a. uždavinius, įskaitant tokius klausimus kaip klimato kaita, apsirūpinimo maistu saugumas, biologinės įvairovės nykimas, sveikata, tvarumas ir skurdo mažinimas; primygtinai ragina visas PPO nares dėti daugiau pastangų ir sutelkti dėmesį į apčiuopiamus rezultatus, kurie parodytų, kad PPO gali spręsti esamas problemas; palankiai vertina 2023 m. spalio 22 ir 23 d. vyresniųjų pareigūnų susitikime pateiktas gaires; visų pirma prašo PPO narių užbaigti antrąjį daugiašalio susitarimo dėl žuvininkystės subsidijų etapą ir įveikti likusias kliūtis, kad ji galėtų galiausiai priimti išsamų institucinių reformų paketą, įskaitant sprendimą, kuris padėtų sukurti visapusiškai veikiančią ginčų sprendimo sistemą; pakartoja, kad reikia toliau stiprinti PPO sekretoriato vaidmenį;</w:t>
      </w:r>
    </w:p>
    <w:p w:rsidR="009B353B" w:rsidRPr="002D0457" w:rsidRDefault="009B353B" w:rsidP="009B353B">
      <w:pPr>
        <w:pStyle w:val="NormalHanging12a"/>
      </w:pPr>
      <w:r w:rsidRPr="002D0457">
        <w:t>3.</w:t>
      </w:r>
      <w:r w:rsidRPr="002D0457">
        <w:tab/>
        <w:t xml:space="preserve">mano, kad dabar būtina skubiai imtis esminės PPO reformos ir kad tai turėtų atsispindėti 13-osios ministrų konferencijos rezultatuose; palankiai vertina visą nuo paskutinės ministrų konferencijos šioje srityje atliktą darbą; ragina PPO nares priimti išsamų dokumentų rinkinį, kuriuo būtų peržiūrėtos PPO stebėsenos, derybų, svarstymo ir ginčų sprendimo funkcijos, taip pat deramą dėmesį skiriant PPO parlamentiniam aspektui, siekiant padidinti PPO veiksmingumą, </w:t>
      </w:r>
      <w:proofErr w:type="spellStart"/>
      <w:r w:rsidRPr="002D0457">
        <w:t>įtraukumą</w:t>
      </w:r>
      <w:proofErr w:type="spellEnd"/>
      <w:r w:rsidRPr="002D0457">
        <w:t xml:space="preserve">, skaidrumą, patikimumą ir </w:t>
      </w:r>
      <w:proofErr w:type="spellStart"/>
      <w:r w:rsidRPr="002D0457">
        <w:t>legitimumą</w:t>
      </w:r>
      <w:proofErr w:type="spellEnd"/>
      <w:r w:rsidRPr="002D0457">
        <w:t>;</w:t>
      </w:r>
    </w:p>
    <w:p w:rsidR="009B353B" w:rsidRPr="002D0457" w:rsidRDefault="009B353B" w:rsidP="009B353B">
      <w:pPr>
        <w:pStyle w:val="NormalHanging12a"/>
        <w:rPr>
          <w:szCs w:val="24"/>
        </w:rPr>
      </w:pPr>
      <w:r w:rsidRPr="002D0457">
        <w:t>4.</w:t>
      </w:r>
      <w:r w:rsidRPr="002D0457">
        <w:tab/>
        <w:t>ragina visas PPO nares aktyviau ir dar konstruktyviau bendradarbiauti siekiant kuo greičiau atkurti visapusiškai veikiančią ginčų sprendimo sistemą, pagal kurią, be kita ko, būtų sprendžiama pernelyg ilgos procedūrų trukmės problema; palankiai vertina tarpininko darbą vadovaujant procesui, kuriam baigiantis turėtų būti parengtas konsoliduotas teksto projektas, kuris turi būti pateiktas 13-ajai ministrų konferencijai; vis dėlto apgailestauja, kad iki šiol nepasiekta jokios esminės pažangos; ragina narius 13-ojoje ministrų konferencijoje surengti konstruktyvias ir skaidrias diskusijas, kad būtų pasiektas susitarimas dėl ginčų sprendimo sistemos; primena, kad privalomas ir nepriklausomas dviejų pakopų procesas ir toliau turėtų būti pagrindinis tikslas;</w:t>
      </w:r>
    </w:p>
    <w:p w:rsidR="009B353B" w:rsidRPr="002D0457" w:rsidRDefault="009B353B" w:rsidP="009B353B">
      <w:pPr>
        <w:pStyle w:val="NormalHanging12a"/>
        <w:rPr>
          <w:szCs w:val="24"/>
        </w:rPr>
      </w:pPr>
      <w:r w:rsidRPr="002D0457">
        <w:t>5.</w:t>
      </w:r>
      <w:r w:rsidRPr="002D0457">
        <w:tab/>
        <w:t>ragina narius apsvarstyti galimybę prisijungti prie daugiašalio laikinojo susitarimo dėl apeliacinio arbitražo (MPIA), kad parodytų savo įsipareigojimą užtikrinti sąžiningą ir veikiančią ginčų sprendimo sistemą;</w:t>
      </w:r>
    </w:p>
    <w:p w:rsidR="009B353B" w:rsidRPr="002D0457" w:rsidRDefault="009B353B" w:rsidP="009B353B">
      <w:pPr>
        <w:pStyle w:val="NormalHanging12a"/>
      </w:pPr>
      <w:r w:rsidRPr="002D0457">
        <w:t>6.</w:t>
      </w:r>
      <w:r w:rsidRPr="002D0457">
        <w:tab/>
        <w:t xml:space="preserve">primygtinai ragina visas PPO nares, kurios dar neratifikavo PPO susitarimo dėl žuvininkystės subsidijų, skubiai tai padaryti, kad susitarimas įsigaliotų kuo greičiau, o tam reikia, kad jį ratifikuotų du trečdaliai narių; pabrėžia, kad taip pat labai svarbu greitai pasiekti susitarimą dėl principų, susijusių su žuvininkystės subsidijomis, kuriomis prisidedama prie perteklinių </w:t>
      </w:r>
      <w:proofErr w:type="spellStart"/>
      <w:r w:rsidRPr="002D0457">
        <w:t>pajėgumų</w:t>
      </w:r>
      <w:proofErr w:type="spellEnd"/>
      <w:r w:rsidRPr="002D0457">
        <w:t xml:space="preserve"> ir peržvejojimo, kad būtų išvengta jūrų biologinių išteklių išeikvojimo ir sudaromos sąlygos tvariam jų valdymui; kartu atsižvelgiant į poreikį taikyti specialų ir diferencijuotą režimą pagal 14.6 DVT;</w:t>
      </w:r>
    </w:p>
    <w:p w:rsidR="009B353B" w:rsidRPr="002D0457" w:rsidRDefault="009B353B" w:rsidP="009B353B">
      <w:pPr>
        <w:pStyle w:val="NormalHanging12a"/>
      </w:pPr>
      <w:r w:rsidRPr="002D0457">
        <w:t>7.</w:t>
      </w:r>
      <w:r w:rsidRPr="002D0457">
        <w:tab/>
        <w:t xml:space="preserve">pabrėžia, kad reikia integruoti PPO vystymosi aspektą, be kita ko, vykdant PPO reformos procesą ir užtikrinant, kad specialaus ir diferencijuoto režimo principas geriau </w:t>
      </w:r>
      <w:r w:rsidRPr="002D0457">
        <w:lastRenderedPageBreak/>
        <w:t xml:space="preserve">atitiktų besivystančių šalių poreikius; apgailestauja, kad PPO dar nevisiškai įgyvendino </w:t>
      </w:r>
      <w:proofErr w:type="spellStart"/>
      <w:r w:rsidRPr="002D0457">
        <w:t>Dohos</w:t>
      </w:r>
      <w:proofErr w:type="spellEnd"/>
      <w:r w:rsidRPr="002D0457">
        <w:t xml:space="preserve"> vystymosi darbotvarkę; palankiai vertina jau priimtą sprendimą pratęsti paramos priemonių taikymą siekiant padėti mažiausiai išsivysčiusioms šalims palaipsniui atsikratyti šio statuso, kad prekybos lengvatų panaikinimui būtų užtikrintas sklandus ir tvarus pereinamasis laikotarpis; pakartoja savo raginimą, kad specialaus ir diferencijuoto režimo mechanizmas turėtų būti iš naujo apsvarstytas ir patikslintas tinkamai dalyvaujant visoms PPO narėms, siekiant geriau atspindėti žmogaus socialinės raidos indeksus, kartu apsaugant politikos erdvę, kad būtų galima spręsti nesąžiningos prekybos problemą, ir todėl ragina PPO nares persvarstyti šią sistemą; vis dėlto pabrėžia, kad taikant išsivystymo statuso </w:t>
      </w:r>
      <w:proofErr w:type="spellStart"/>
      <w:r w:rsidRPr="002D0457">
        <w:t>savideklaraciją</w:t>
      </w:r>
      <w:proofErr w:type="spellEnd"/>
      <w:r w:rsidRPr="002D0457">
        <w:t xml:space="preserve"> kaip vienintelį kriterijų gali būti sudarytos sąlygos nesąžiningai prekybai;</w:t>
      </w:r>
    </w:p>
    <w:p w:rsidR="009B353B" w:rsidRPr="002D0457" w:rsidRDefault="009B353B" w:rsidP="009B353B">
      <w:pPr>
        <w:pStyle w:val="NormalHanging12a"/>
      </w:pPr>
      <w:r w:rsidRPr="002D0457">
        <w:t>8.</w:t>
      </w:r>
      <w:r w:rsidRPr="002D0457">
        <w:tab/>
        <w:t xml:space="preserve">pabrėžia, kad PPO reikia atnaujinti diskusijas dėl valstybės paramos pramonės sektoriams, be kita ko, parengiant naują Sutarties dėl subsidijų ir kompensacinių priemonių (SKP) variantą, siekiant padidinti skaidrumą ir pritaikyti PPO subsidijų taisyklių sąvadą, kad būtų galima reaguoti į šių laikų iššūkius, kaip klimato kaitą ir kovoti su nesąžininga tam tikrų PPO narių praktika bei veiksmingai šalinti neigiamą šalutinį poveikį, pvz., perteklinius </w:t>
      </w:r>
      <w:proofErr w:type="spellStart"/>
      <w:r w:rsidRPr="002D0457">
        <w:t>pajėgumus</w:t>
      </w:r>
      <w:proofErr w:type="spellEnd"/>
      <w:r w:rsidRPr="002D0457">
        <w:t>, ir daug anglies dioksido išskiriančias tiekimo grandines; mano, kad 13-oji ministrų konferencija turėtų pradėti įgyvendinti ribotos trukmės darbo programą, kad būtų galima apsvarstyti valstybės įsikišimą remiant pramonės sektorius, siekiant pateikti rekomendacijas dėl 14-osios ministrų konferencijos;</w:t>
      </w:r>
    </w:p>
    <w:p w:rsidR="009B353B" w:rsidRPr="002D0457" w:rsidRDefault="009B353B" w:rsidP="009B353B">
      <w:pPr>
        <w:pStyle w:val="NormalHanging12a"/>
      </w:pPr>
      <w:r w:rsidRPr="002D0457">
        <w:t>9.</w:t>
      </w:r>
      <w:r w:rsidRPr="002D0457">
        <w:tab/>
        <w:t>pabrėžia, kad derybose dėl žemės ūkio reikia daryti pažangą, kad būtų pasiekta patikimų rezultatų tokiais klausimais kaip nuolatinis sprendimas valstybės atsargų kaupimas apsirūpinimo maistu tikslais, vidaus parama, patekimas į rinką, medvilnė, eksporto apribojimai ir konkurencija eksporto srityje, taip pat žemės ūkio sektoriaus stiprinimas siekiant reaguoti į šių laikų iššūkius, be kita ko, susijusius su pragyvenimo kaimo vietovėse šaltiniais ir aplinkos tvarumu; pabrėžia, kad reikia užtikrinti sąžiningą konkurenciją ir vienodas sąlygas ūkininkams; ragina geriau dalytis informacija apie žemės ūkio politiką ir subsidijas ir užtikrinti didesnį jų skaidrumą, kad būtų galima paspartinti derybas ir PPO lygmeniu remti didesnį keitimąsi duomenimis apie prekybą prekėmis ir privačias atsargas su Aprūpinimo maistu pasaulyje komitetu; palankiai vertina tai, kad 2023 m. Jungtinių Tautų klimato kaitos konferencijoje (COP 28) pasirašytas PPO ir FAO susitarimo memorandumas, kuriuo bus stiprinamas bendradarbiavimas, be kita ko, žemės ūkio reformos, aprūpinimo maistu ir klimato kaitos srityse; pabrėžia, kad ES turėtų remti aukštesnius tvarumo kriterijus, atitinkančius žaliojo kurso tikslus;</w:t>
      </w:r>
    </w:p>
    <w:p w:rsidR="009B353B" w:rsidRPr="002D0457" w:rsidRDefault="009B353B" w:rsidP="009B353B">
      <w:pPr>
        <w:pStyle w:val="NormalHanging12a"/>
      </w:pPr>
      <w:r w:rsidRPr="002D0457">
        <w:t>10.</w:t>
      </w:r>
      <w:r w:rsidRPr="002D0457">
        <w:tab/>
        <w:t>pabrėžia, kad būtina rasti išeitį apsirūpinimo maistu saugumo srityje, įskaitant konkrečius veiksmus, kuriais būtų didinamas mažiausiai išsivysčiusių šalių ir dažniausiai tik maisto produktus importuojančių besivystančių šalių atsparumas reaguojant į ūmų nestabilumą maisto produktų srityje;</w:t>
      </w:r>
    </w:p>
    <w:p w:rsidR="009B353B" w:rsidRPr="002D0457" w:rsidRDefault="009B353B" w:rsidP="009B353B">
      <w:pPr>
        <w:pStyle w:val="NormalHanging12a"/>
      </w:pPr>
      <w:r w:rsidRPr="002D0457">
        <w:t>11.</w:t>
      </w:r>
      <w:r w:rsidRPr="002D0457">
        <w:tab/>
        <w:t xml:space="preserve">tikisi, kad vykdant PPO reformą bus rastas lengvesnis būdas, kaip į daugiašalę struktūrą integruoti atvirus </w:t>
      </w:r>
      <w:proofErr w:type="spellStart"/>
      <w:r w:rsidRPr="002D0457">
        <w:t>keliašalius</w:t>
      </w:r>
      <w:proofErr w:type="spellEnd"/>
      <w:r w:rsidRPr="002D0457">
        <w:t xml:space="preserve"> susitarimus, kad būtų užtikrinta pažanga klausimais, kuriems dar nėra pribrendusios visos narės; todėl pakartoja savo raginimą PPO narėms apsvarstyti, kaip būtų galima sukurti naują sistemą, kurioje būtų nustatyti aiškūs principai ir minimalus narių, kurios turėtų dalyvauti </w:t>
      </w:r>
      <w:proofErr w:type="spellStart"/>
      <w:r w:rsidRPr="002D0457">
        <w:t>keliašalėje</w:t>
      </w:r>
      <w:proofErr w:type="spellEnd"/>
      <w:r w:rsidRPr="002D0457">
        <w:t xml:space="preserve"> iniciatyvoje, skaičius, ir tuo remiantis sukurti nesudėtingą mechanizmą, kuris sudarytų galimybes įtraukti sudarytus susitarimus į PPO struktūrą;</w:t>
      </w:r>
    </w:p>
    <w:p w:rsidR="009B353B" w:rsidRPr="002D0457" w:rsidRDefault="009B353B" w:rsidP="009B353B">
      <w:pPr>
        <w:pStyle w:val="NormalHanging12a"/>
      </w:pPr>
      <w:r w:rsidRPr="002D0457">
        <w:lastRenderedPageBreak/>
        <w:t>12.</w:t>
      </w:r>
      <w:r w:rsidRPr="002D0457">
        <w:tab/>
        <w:t xml:space="preserve">palankiai vertina tai, kad baigtos derybos dėl Susitarimo dėl palankesnių sąlygų investicijoms sudarymo vystymosi tikslais, siekiant sukurti sąžiningesnę, skaidresnę, veiksmingesnę ir labiau nuspėjamą aplinką, kad būtų sudarytos palankesnės sąlygos tarpvalstybinėms investicijoms ir besivystančių šalių dalyvavimui pasauliniuose investicijų srautuose; pritaria tam, kad šis susitarimas būtų įtrauktas į PPO taisyklių sąvadą pagal 4 priedą dėl </w:t>
      </w:r>
      <w:proofErr w:type="spellStart"/>
      <w:r w:rsidRPr="002D0457">
        <w:t>keliašalių</w:t>
      </w:r>
      <w:proofErr w:type="spellEnd"/>
      <w:r w:rsidRPr="002D0457">
        <w:t xml:space="preserve"> prekybos sutarčių, kaip nustatyta PPO steigimo sutarties X.9 straipsnyje, ir mano, kad tai gali būti pavyzdys būsimiems </w:t>
      </w:r>
      <w:proofErr w:type="spellStart"/>
      <w:r w:rsidRPr="002D0457">
        <w:t>keliašaliams</w:t>
      </w:r>
      <w:proofErr w:type="spellEnd"/>
      <w:r w:rsidRPr="002D0457">
        <w:t xml:space="preserve"> susitarimams;</w:t>
      </w:r>
    </w:p>
    <w:p w:rsidR="009B353B" w:rsidRPr="002D0457" w:rsidRDefault="009B353B" w:rsidP="009B353B">
      <w:pPr>
        <w:pStyle w:val="NormalHanging12a"/>
      </w:pPr>
      <w:r w:rsidRPr="002D0457">
        <w:t>13.</w:t>
      </w:r>
      <w:r w:rsidRPr="002D0457">
        <w:tab/>
        <w:t xml:space="preserve">pabrėžia daugiašalių ir </w:t>
      </w:r>
      <w:proofErr w:type="spellStart"/>
      <w:r w:rsidRPr="002D0457">
        <w:t>keliašalių</w:t>
      </w:r>
      <w:proofErr w:type="spellEnd"/>
      <w:r w:rsidRPr="002D0457">
        <w:t xml:space="preserve"> taisyklių svarbą skaitmeninei prekybai, nes ji šiuo metu sudaro 25 proc. visos prekybos; primygtinai ragina dėti pastangas siekiant rasti teisingą ir nuolatinį sprendimą dėl elektroninio perdavimo, susijusio su moratoriumu, ypač atsižvelgiant į neigiamą neatnaujinimo poveikį, ypač moterims ir mažosioms ir vidutinėms įmonėms (MVĮ); palankiai vertina ir palaiko didelį narių skaičių, plataus užmojo derybų darbotvarkę ir iki šiol padarytą pažangą PPO </w:t>
      </w:r>
      <w:proofErr w:type="spellStart"/>
      <w:r w:rsidRPr="002D0457">
        <w:t>keliašalėse</w:t>
      </w:r>
      <w:proofErr w:type="spellEnd"/>
      <w:r w:rsidRPr="002D0457">
        <w:t xml:space="preserve"> derybose dėl elektroninės prekybos; atkreipia dėmesį į laisvo elektroninio perdavimo, kuris yra labai svarbus skaitmeninei prekybai ir mažina prekybos sąnaudas, didina vartotojų gerovę bei eksporto konkurencingumą ir teikia didelę naudą, ypač MVĮ ir besivystančioms šalims, judėjimo svarbą; primena savo poziciją, jog galimu susitarimu turi būti užtikrinta, kad su elektronine prekyba susijusios prekės ir paslaugos sąžiningai patektų į trečiųjų šalių rinką, be to, turi būti užtikrinta vartotojų ir darbuotojų teisių apsauga ir sudarytos palankesnės sąlygos verslo inovacijoms; pabrėžia, kad galimas susitarimas dėl elektroninės prekybos turi atitikti esamus ir būsimus ES teisės aktus ir juo turi būti užtikrinama pakankama politinė erdvė skaitmeninei sričiai reguliuoti, ypač tokiais klausimais kaip duomenų srautai, duomenų lokalizavimas, duomenų apsauga, dirbtinis intelektas ir pirminis kodas; ragina visus partnerius visapusiškai dalyvauti ir remti pastangas užbaigti derybas iki 13-osios ministrų konferencijos; pabrėžia, kad reikia mažinti skaitmeninę atskirtį dalijantis gerąja patirtimi ir stiprinant gebėjimus;</w:t>
      </w:r>
    </w:p>
    <w:p w:rsidR="009B353B" w:rsidRPr="002D0457" w:rsidRDefault="009B353B" w:rsidP="009B353B">
      <w:pPr>
        <w:pStyle w:val="NormalHanging12a"/>
      </w:pPr>
      <w:r w:rsidRPr="002D0457">
        <w:t>14.</w:t>
      </w:r>
      <w:r w:rsidRPr="002D0457">
        <w:tab/>
        <w:t>primena PPO įsipareigojimą labai mažoms, mažosioms ir vidutinėms įmonėms, taip pat primena, kad jos sudaro didelę pasaulio ekonomikos dalį ir nėra išnaudojusios viso savo potencialo pasaulinėse vertės grandinėse; primygtinai ragina narius ir toliau ieškoti sprendimų, kurie padėtų MVĮ aktyviau dalyvauti pasaulio prekyboje, kartu atsižvelgiant į konkrečius jų poreikius;</w:t>
      </w:r>
    </w:p>
    <w:p w:rsidR="009B353B" w:rsidRPr="002D0457" w:rsidRDefault="009B353B" w:rsidP="009B353B">
      <w:pPr>
        <w:pStyle w:val="NormalHanging12a"/>
      </w:pPr>
      <w:r w:rsidRPr="002D0457">
        <w:t>15.</w:t>
      </w:r>
      <w:r w:rsidRPr="002D0457">
        <w:tab/>
        <w:t xml:space="preserve">mano, kad 13-ojoje ministrų konferencijoje turėtų būti numatyta veiksmais grindžiama prekybos politikos darbotvarkė, kuria būtų remiami 2030 m. DVT ir Paryžiaus susitarimas; primygtinai ragina PPO nares apsvarstyti visas galimas priemones, kuriomis būtų prisidedama prie išmetamo šiltnamio efektą sukeliančių dujų kiekio ribojimo pagal UNFCCC ir COP 28 išvadas, kuriomis būtų užtikrinta geresnė atitiktis Paryžiaus susitarimui bei poveikio klimatui neutralumas ir sustiprintas PPO bendradarbiavimas dėl vidaus mastu patvirtintų priemonių; palankiai vertina vykusias konstruktyvias diskusijas, rengiamas atsižvelgiant į </w:t>
      </w:r>
      <w:proofErr w:type="spellStart"/>
      <w:r w:rsidRPr="002D0457">
        <w:t>keliašales</w:t>
      </w:r>
      <w:proofErr w:type="spellEnd"/>
      <w:r w:rsidRPr="002D0457">
        <w:t xml:space="preserve"> iniciatyvas dėl subsidijų iškastiniam kurui reformos, dialogą dėl plastiko atliekų sukeliamos taršos ir prekybos ir aplinkos tvarumo struktūrizuotas diskusijas (angl. TESSD); ragina atnaujinti derybas dėl susitarimo dėl aplinkosaugos prekių; ragina PPO sudaryti palankesnes sąlygas PPO narėms keistis informacija ir bendradarbiauti anglies dioksido apmokestinimo metodikų klausimais; pabrėžia, kad reikia paspartinti diskusijas dėl paslaugų ir prekių, įskaitant procesus ir gamybos metodus, kurie padėtų spręsti aplinkos ir klimato problemas;  primena, kad bet kokios vienašalės priemonės, kurių imasi narės, turi atitikti PPO taisykles ir kad sprendimas taikyti GATT išimtis turi būti atidžiai apsvarstytas; ragina </w:t>
      </w:r>
      <w:r w:rsidRPr="002D0457">
        <w:lastRenderedPageBreak/>
        <w:t>ES didinti informuotumą apie savo tvarumo teisės aktus, pvz., Įmonių tvarumo išsamaus patikrinimo direktyvą, pasienio anglies dioksido korekcinį mechanizmą (PADKM) ir reglamentą dėl miškų naikinimo, ir paaiškinti jo motyvus siekiant užtikrinti, kad jis būtų pripažintas tikru ir nediskriminaciniu bandymu prisidėti prie pasaulinių aplinkos tikslų įgyvendinimo ir padaryti prekybą tvaresnę, be kita ko, teikiant daugiau praktinės informacijos apie tai, kaip reglamentai taikomi praktikoje; palankiai vertina pirmą kartą COP 28 surengtą prekybos dieną ir istorinį COP pasiekimą dėl ketinimo atsisakyti iškastinio kuro; tikisi, kad COP sprendimas atsispindės PPO darbe;</w:t>
      </w:r>
    </w:p>
    <w:p w:rsidR="009B353B" w:rsidRPr="002D0457" w:rsidRDefault="009B353B" w:rsidP="009B353B">
      <w:pPr>
        <w:pStyle w:val="NormalHanging12a"/>
      </w:pPr>
      <w:r w:rsidRPr="002D0457">
        <w:t>16.</w:t>
      </w:r>
      <w:r w:rsidRPr="002D0457">
        <w:tab/>
        <w:t xml:space="preserve">dar karta patvirtina lyčių lygybės ir </w:t>
      </w:r>
      <w:proofErr w:type="spellStart"/>
      <w:r w:rsidRPr="002D0457">
        <w:t>įtraukaus</w:t>
      </w:r>
      <w:proofErr w:type="spellEnd"/>
      <w:r w:rsidRPr="002D0457">
        <w:t xml:space="preserve"> vystymosi ryšį ir pabrėžia, kad moterų įgalėjimas yra nepaprastai svarbus veiksnys norint panaikinti skurdą ir kad siekiant ekonominės plėtros būtina vienu metu šalinti moterų dalyvavimo prekyboje kliūtis ir neigiamą dabartinių prekybos taisyklių poveikį moterims atliekant įvairias užduotis; ragina visas PPO nares pasirašyti 2017 m. Buenos Airių deklaraciją dėl prekybos ir ekonominio moterų įgalėjimo ir primygtinai ragina 123 ją pasirašiusias šalis vykdyti savo įsipareigojimus; palankiai vertina tai, kad įsteigta neoficiali PPO prekybos ir lyčių klausimų darbo grupė; sveikina PPO 2022 m. gruodžio mėn. surengus Pasaulio prekybos kongresą lyčių klausimais – pirmąją tarptautinę mokslinių tyrimų konferenciją prekybos ir lyčių klausimais;</w:t>
      </w:r>
    </w:p>
    <w:p w:rsidR="009B353B" w:rsidRPr="002D0457" w:rsidRDefault="009B353B" w:rsidP="009B353B">
      <w:pPr>
        <w:pStyle w:val="NormalHanging12a"/>
      </w:pPr>
      <w:r w:rsidRPr="002D0457">
        <w:t>17.</w:t>
      </w:r>
      <w:r w:rsidRPr="002D0457">
        <w:tab/>
        <w:t>pripažįsta, kad PPO narės susitarė aptarti TRIPS sprendimo taikymo sritį, kad ji apimtų COVID-19 diagnostiką ir terapinius vaistus; ragina PPO nares priimti 13-osios ministrų konferencijos sprendimą, kartu atsižvelgiant į paskatas diegti inovacijas; ragina PPO nares peržiūrėti savo nacionalinius įstatymus ir politiką, kad į juos būtų visapusiškai įtrauktos visos atitinkamos intelektinės nuosavybės lankstumo priemonės, kuriomis užtikrinama galimybė gauti medicinos produktų;</w:t>
      </w:r>
    </w:p>
    <w:p w:rsidR="009B353B" w:rsidRPr="002D0457" w:rsidRDefault="009B353B" w:rsidP="009B353B">
      <w:pPr>
        <w:pStyle w:val="NormalHanging12a"/>
      </w:pPr>
      <w:r w:rsidRPr="002D0457">
        <w:t>18.</w:t>
      </w:r>
      <w:r w:rsidRPr="002D0457">
        <w:tab/>
        <w:t>ragina Komisiją ir Tarybą užtikrinti, kad Parlamentas ir toliau aktyviai dalyvautų rengiantis 13-ajai ministrų konferencijai ir kad vykstant 2024 m. ministrų konferencijai jam būtų skubiai teikiama naujausia informacija ir su juo būtų konsultuojamasi;</w:t>
      </w:r>
    </w:p>
    <w:p w:rsidR="009B353B" w:rsidRPr="002D0457" w:rsidRDefault="009B353B" w:rsidP="009B353B">
      <w:pPr>
        <w:pStyle w:val="NormalHanging12a"/>
      </w:pPr>
      <w:r w:rsidRPr="002D0457">
        <w:t>19.</w:t>
      </w:r>
      <w:r w:rsidRPr="002D0457">
        <w:tab/>
        <w:t xml:space="preserve">ragina PPO nares užtikrinti demokratinį </w:t>
      </w:r>
      <w:proofErr w:type="spellStart"/>
      <w:r w:rsidRPr="002D0457">
        <w:t>legitimumą</w:t>
      </w:r>
      <w:proofErr w:type="spellEnd"/>
      <w:r w:rsidRPr="002D0457">
        <w:t xml:space="preserve"> ir skaidrumą stiprinant parlamentinį PPO aspektą ir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lyderius remti naują prekybos diskursą, pagal kurį į prekybą būtų žiūrima kaip į įgalinančią priemonę, skatinančią, o ne trukdančią siekti tvarumo, saugumo ir </w:t>
      </w:r>
      <w:proofErr w:type="spellStart"/>
      <w:r w:rsidRPr="002D0457">
        <w:t>įtraukties</w:t>
      </w:r>
      <w:proofErr w:type="spellEnd"/>
      <w:r w:rsidRPr="002D0457">
        <w:t>;</w:t>
      </w:r>
    </w:p>
    <w:p w:rsidR="009B353B" w:rsidRPr="002D0457" w:rsidRDefault="009B353B" w:rsidP="009B353B">
      <w:pPr>
        <w:pStyle w:val="NormalHanging12a"/>
      </w:pPr>
      <w:r w:rsidRPr="002D0457">
        <w:t>20.</w:t>
      </w:r>
      <w:r w:rsidRPr="002D0457">
        <w:tab/>
        <w:t>ragina PPO nares aktyviau keistis informacija su visais suinteresuotaisiais subjektais, įskaitant pilietinę visuomenę, profesines sąjungas bei verslo organizacijas, taip pat stiprinti bendradarbiavimą su kitomis tarptautinėmis organizacijomis, pvz., Tarptautine darbo organizacija, ir apskritai – su JT sistema; tikisi, kad vadovai visais lygmenimis aktyviau informuos apie taisyklėmis grindžiamos prekybos naudą;</w:t>
      </w:r>
    </w:p>
    <w:p w:rsidR="00E365E1" w:rsidRPr="002D0457" w:rsidRDefault="009B353B" w:rsidP="005E4AC3">
      <w:pPr>
        <w:ind w:left="567" w:hanging="567"/>
      </w:pPr>
      <w:r w:rsidRPr="002D0457">
        <w:t>21.</w:t>
      </w:r>
      <w:r w:rsidRPr="002D0457">
        <w:tab/>
        <w:t>paveda Pirmininkei perduoti šią rezoliuciją Tarybai, Komisijai, valstybių narių vyriausybėms bei parlamentams ir Pasaulio prekybos organizacijos generaliniam direktoriui bei Tarpparlamentinei sąjungai.</w:t>
      </w:r>
      <w:bookmarkStart w:id="8" w:name="TextBodyEnd"/>
      <w:bookmarkEnd w:id="8"/>
    </w:p>
    <w:sectPr w:rsidR="00E365E1" w:rsidRPr="002D0457" w:rsidSect="002D04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F57" w:rsidRPr="002D0457" w:rsidRDefault="005D6F57">
      <w:r w:rsidRPr="002D0457">
        <w:separator/>
      </w:r>
    </w:p>
  </w:endnote>
  <w:endnote w:type="continuationSeparator" w:id="0">
    <w:p w:rsidR="005D6F57" w:rsidRPr="002D0457" w:rsidRDefault="005D6F57">
      <w:r w:rsidRPr="002D0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F57" w:rsidRPr="002D0457" w:rsidRDefault="005D6F57">
      <w:r w:rsidRPr="002D0457">
        <w:separator/>
      </w:r>
    </w:p>
  </w:footnote>
  <w:footnote w:type="continuationSeparator" w:id="0">
    <w:p w:rsidR="005D6F57" w:rsidRPr="002D0457" w:rsidRDefault="005D6F57">
      <w:r w:rsidRPr="002D0457">
        <w:continuationSeparator/>
      </w:r>
    </w:p>
  </w:footnote>
  <w:footnote w:id="1">
    <w:p w:rsidR="009B353B" w:rsidRPr="005E4AC3" w:rsidRDefault="009B353B" w:rsidP="002D0457">
      <w:pPr>
        <w:pStyle w:val="FootnoteText"/>
        <w:ind w:left="567" w:hanging="567"/>
        <w:rPr>
          <w:rStyle w:val="FootnoteReference"/>
          <w:sz w:val="24"/>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Pr="005E4AC3">
        <w:rPr>
          <w:rStyle w:val="FootnoteReference"/>
          <w:sz w:val="24"/>
          <w:vertAlign w:val="baseline"/>
          <w:lang w:val="lt-LT"/>
        </w:rPr>
        <w:t>2001 m.</w:t>
      </w:r>
      <w:r w:rsidR="00682372">
        <w:rPr>
          <w:sz w:val="24"/>
          <w:lang w:val="lt-LT"/>
        </w:rPr>
        <w:t xml:space="preserve"> </w:t>
      </w:r>
      <w:bookmarkStart w:id="7" w:name="_GoBack"/>
      <w:bookmarkEnd w:id="7"/>
      <w:r w:rsidRPr="005E4AC3">
        <w:rPr>
          <w:rStyle w:val="FootnoteReference"/>
          <w:sz w:val="24"/>
          <w:vertAlign w:val="baseline"/>
          <w:lang w:val="lt-LT"/>
        </w:rPr>
        <w:t xml:space="preserve">lapkričio14 d. </w:t>
      </w:r>
      <w:proofErr w:type="spellStart"/>
      <w:r w:rsidRPr="005E4AC3">
        <w:rPr>
          <w:rStyle w:val="FootnoteReference"/>
          <w:sz w:val="24"/>
          <w:vertAlign w:val="baseline"/>
          <w:lang w:val="lt-LT"/>
        </w:rPr>
        <w:t>Dohos</w:t>
      </w:r>
      <w:proofErr w:type="spellEnd"/>
      <w:r w:rsidRPr="005E4AC3">
        <w:rPr>
          <w:rStyle w:val="FootnoteReference"/>
          <w:sz w:val="24"/>
          <w:vertAlign w:val="baseline"/>
          <w:lang w:val="lt-LT"/>
        </w:rPr>
        <w:t xml:space="preserve"> ministrų deklaracija (WT/MIN(01)/DEC/1).</w:t>
      </w:r>
    </w:p>
  </w:footnote>
  <w:footnote w:id="2">
    <w:p w:rsidR="009B353B" w:rsidRPr="005E4AC3" w:rsidRDefault="009B353B" w:rsidP="002D0457">
      <w:pPr>
        <w:pStyle w:val="FootnoteText"/>
        <w:ind w:left="567" w:hanging="567"/>
        <w:rPr>
          <w:rStyle w:val="FootnoteReference"/>
          <w:sz w:val="24"/>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Pr="005E4AC3">
        <w:rPr>
          <w:rStyle w:val="FootnoteReference"/>
          <w:sz w:val="24"/>
          <w:vertAlign w:val="baseline"/>
          <w:lang w:val="lt-LT"/>
        </w:rPr>
        <w:t>OL C 224, 2022 6 8, p. 89.</w:t>
      </w:r>
    </w:p>
  </w:footnote>
  <w:footnote w:id="3">
    <w:p w:rsidR="009B353B" w:rsidRPr="005E4AC3" w:rsidRDefault="009B353B" w:rsidP="002D0457">
      <w:pPr>
        <w:pStyle w:val="FootnoteText"/>
        <w:ind w:left="567" w:hanging="567"/>
        <w:rPr>
          <w:rStyle w:val="FootnoteReference"/>
          <w:sz w:val="24"/>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Pr="005E4AC3">
        <w:rPr>
          <w:rStyle w:val="FootnoteReference"/>
          <w:sz w:val="24"/>
          <w:vertAlign w:val="baseline"/>
          <w:lang w:val="lt-LT"/>
        </w:rPr>
        <w:t>OL C 363, 2020 10 28, p. 113.</w:t>
      </w:r>
    </w:p>
  </w:footnote>
  <w:footnote w:id="4">
    <w:p w:rsidR="009B353B" w:rsidRPr="005E4AC3" w:rsidRDefault="009B353B" w:rsidP="002D0457">
      <w:pPr>
        <w:pStyle w:val="FootnoteText"/>
        <w:ind w:left="567" w:hanging="567"/>
        <w:rPr>
          <w:rStyle w:val="FootnoteReference"/>
          <w:sz w:val="24"/>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Pr="005E4AC3">
        <w:rPr>
          <w:rStyle w:val="FootnoteReference"/>
          <w:sz w:val="24"/>
          <w:vertAlign w:val="baseline"/>
          <w:lang w:val="lt-LT"/>
        </w:rPr>
        <w:t>OL C 232, 2021 6 16, p. 62.</w:t>
      </w:r>
    </w:p>
  </w:footnote>
  <w:footnote w:id="5">
    <w:p w:rsidR="009B353B" w:rsidRPr="005E4AC3" w:rsidRDefault="009B353B" w:rsidP="002D0457">
      <w:pPr>
        <w:pStyle w:val="FootnoteText"/>
        <w:ind w:left="567" w:hanging="567"/>
        <w:rPr>
          <w:rStyle w:val="FootnoteReference"/>
          <w:sz w:val="24"/>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00682372">
        <w:fldChar w:fldCharType="begin"/>
      </w:r>
      <w:r w:rsidR="00682372" w:rsidRPr="00682372">
        <w:rPr>
          <w:lang w:val="lt-LT"/>
        </w:rPr>
        <w:instrText xml:space="preserve"> HYPERLINK "https://www.europarl.europa.eu/cmsdata/158345/outcome_document-final-e.pdf" </w:instrText>
      </w:r>
      <w:r w:rsidR="00682372">
        <w:fldChar w:fldCharType="separate"/>
      </w:r>
      <w:r w:rsidRPr="005E4AC3">
        <w:rPr>
          <w:rStyle w:val="FootnoteReference"/>
          <w:sz w:val="24"/>
          <w:vertAlign w:val="baseline"/>
          <w:lang w:val="lt-LT"/>
        </w:rPr>
        <w:t>https://www.europarl.europa.eu/cmsdata/158345/outcome_document-final-e.pdf</w:t>
      </w:r>
      <w:r w:rsidR="00682372">
        <w:rPr>
          <w:rStyle w:val="FootnoteReference"/>
          <w:sz w:val="24"/>
          <w:vertAlign w:val="baseline"/>
          <w:lang w:val="lt-LT"/>
        </w:rPr>
        <w:fldChar w:fldCharType="end"/>
      </w:r>
      <w:r w:rsidRPr="00682372">
        <w:rPr>
          <w:rStyle w:val="FootnoteReference"/>
          <w:vertAlign w:val="baseline"/>
          <w:lang w:val="lt-LT"/>
        </w:rPr>
        <w:t>.</w:t>
      </w:r>
    </w:p>
  </w:footnote>
  <w:footnote w:id="6">
    <w:p w:rsidR="009B353B" w:rsidRPr="00682372" w:rsidRDefault="009B353B" w:rsidP="002D0457">
      <w:pPr>
        <w:pStyle w:val="FootnoteText"/>
        <w:ind w:left="567" w:hanging="567"/>
        <w:rPr>
          <w:rStyle w:val="FootnoteReference"/>
          <w:vertAlign w:val="baseline"/>
          <w:lang w:val="lt-LT"/>
        </w:rPr>
      </w:pPr>
      <w:r w:rsidRPr="002D0457">
        <w:rPr>
          <w:rStyle w:val="FootnoteReference"/>
          <w:sz w:val="24"/>
          <w:lang w:val="lt-LT"/>
        </w:rPr>
        <w:footnoteRef/>
      </w:r>
      <w:r w:rsidR="002D0457" w:rsidRPr="002D0457">
        <w:rPr>
          <w:sz w:val="24"/>
          <w:lang w:val="lt-LT"/>
        </w:rPr>
        <w:t xml:space="preserve"> </w:t>
      </w:r>
      <w:r w:rsidR="002D0457" w:rsidRPr="002D0457">
        <w:rPr>
          <w:sz w:val="24"/>
          <w:lang w:val="lt-LT"/>
        </w:rPr>
        <w:tab/>
      </w:r>
      <w:r w:rsidR="00682372">
        <w:fldChar w:fldCharType="begin"/>
      </w:r>
      <w:r w:rsidR="00682372" w:rsidRPr="00682372">
        <w:rPr>
          <w:lang w:val="lt-LT"/>
        </w:rPr>
        <w:instrText xml:space="preserve"> HYPERLINK "https://www.europarl.europa.eu/cmsdata/231517/2017_PCWTO_outcome_EN.pdf" </w:instrText>
      </w:r>
      <w:r w:rsidR="00682372">
        <w:fldChar w:fldCharType="separate"/>
      </w:r>
      <w:r w:rsidRPr="00682372">
        <w:rPr>
          <w:rStyle w:val="Hyperlink"/>
          <w:lang w:val="lt-LT"/>
        </w:rPr>
        <w:t>https://www.europarl.europa.eu/cmsdata/231517/2017_PCWTO_outcome_EN.pdf</w:t>
      </w:r>
      <w:r w:rsidR="00682372">
        <w:rPr>
          <w:rStyle w:val="Hyperlink"/>
        </w:rPr>
        <w:fldChar w:fldCharType="end"/>
      </w:r>
      <w:r w:rsidRPr="00682372">
        <w:rPr>
          <w:rStyle w:val="FootnoteReference"/>
          <w:vertAlign w:val="baseline"/>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4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LT"/>
    <w:docVar w:name="dvnumam" w:val="0"/>
    <w:docVar w:name="dvpe" w:val="753.647"/>
    <w:docVar w:name="dvtitre" w:val="Europos Parlamento rezoliucija dėl daugiašalių derybų rengiantis 13-ajai PPO ministrų konferencijai, vyksiančiai 2024 m. vasario 26–29 d. Abu Dabyje(2023/2868(RSP))"/>
  </w:docVars>
  <w:rsids>
    <w:rsidRoot w:val="005D6F57"/>
    <w:rsid w:val="00002272"/>
    <w:rsid w:val="00064002"/>
    <w:rsid w:val="000677B9"/>
    <w:rsid w:val="000831BA"/>
    <w:rsid w:val="000A42CC"/>
    <w:rsid w:val="000E7DD9"/>
    <w:rsid w:val="0010095E"/>
    <w:rsid w:val="00125B37"/>
    <w:rsid w:val="00187494"/>
    <w:rsid w:val="001F32AE"/>
    <w:rsid w:val="002767FF"/>
    <w:rsid w:val="002B18FE"/>
    <w:rsid w:val="002B5493"/>
    <w:rsid w:val="002D0457"/>
    <w:rsid w:val="00343214"/>
    <w:rsid w:val="00361C00"/>
    <w:rsid w:val="00395FA1"/>
    <w:rsid w:val="003E15D4"/>
    <w:rsid w:val="00411CCE"/>
    <w:rsid w:val="0041666E"/>
    <w:rsid w:val="00421060"/>
    <w:rsid w:val="00471C19"/>
    <w:rsid w:val="004867E3"/>
    <w:rsid w:val="00494A28"/>
    <w:rsid w:val="004C0004"/>
    <w:rsid w:val="004C5D52"/>
    <w:rsid w:val="004F16A9"/>
    <w:rsid w:val="0050519A"/>
    <w:rsid w:val="005072A1"/>
    <w:rsid w:val="00514517"/>
    <w:rsid w:val="00545827"/>
    <w:rsid w:val="00560270"/>
    <w:rsid w:val="005C2568"/>
    <w:rsid w:val="005D6F57"/>
    <w:rsid w:val="005E4AC3"/>
    <w:rsid w:val="006037C0"/>
    <w:rsid w:val="006631B6"/>
    <w:rsid w:val="00680577"/>
    <w:rsid w:val="00682372"/>
    <w:rsid w:val="006F74FA"/>
    <w:rsid w:val="0070091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53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EC0FF"/>
  <w15:chartTrackingRefBased/>
  <w15:docId w15:val="{01EFAD51-7154-4492-A28A-9D7BA30D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353B"/>
    <w:pPr>
      <w:spacing w:before="480" w:after="240"/>
    </w:pPr>
  </w:style>
  <w:style w:type="paragraph" w:customStyle="1" w:styleId="NormalHanging12a">
    <w:name w:val="NormalHanging12a"/>
    <w:basedOn w:val="Normal"/>
    <w:link w:val="NormalHanging12aChar"/>
    <w:rsid w:val="009B353B"/>
    <w:pPr>
      <w:spacing w:after="240"/>
      <w:ind w:left="567" w:hanging="567"/>
    </w:pPr>
  </w:style>
  <w:style w:type="character" w:customStyle="1" w:styleId="NormalHanging12aChar">
    <w:name w:val="NormalHanging12a Char"/>
    <w:basedOn w:val="DefaultParagraphFont"/>
    <w:link w:val="NormalHanging12a"/>
    <w:locked/>
    <w:rsid w:val="009B353B"/>
    <w:rPr>
      <w:sz w:val="24"/>
      <w:lang w:val="lt-LT"/>
    </w:rPr>
  </w:style>
  <w:style w:type="paragraph" w:styleId="BalloonText">
    <w:name w:val="Balloon Text"/>
    <w:basedOn w:val="Normal"/>
    <w:link w:val="BalloonTextChar"/>
    <w:rsid w:val="004F16A9"/>
    <w:rPr>
      <w:rFonts w:ascii="Segoe UI" w:hAnsi="Segoe UI" w:cs="Segoe UI"/>
      <w:sz w:val="18"/>
      <w:szCs w:val="18"/>
    </w:rPr>
  </w:style>
  <w:style w:type="character" w:customStyle="1" w:styleId="BalloonTextChar">
    <w:name w:val="Balloon Text Char"/>
    <w:basedOn w:val="DefaultParagraphFont"/>
    <w:link w:val="BalloonText"/>
    <w:rsid w:val="004F16A9"/>
    <w:rPr>
      <w:rFonts w:ascii="Segoe UI" w:hAnsi="Segoe UI" w:cs="Segoe UI"/>
      <w:sz w:val="18"/>
      <w:szCs w:val="18"/>
      <w:lang w:val="lt-LT"/>
    </w:rPr>
  </w:style>
  <w:style w:type="character" w:styleId="Hyperlink">
    <w:name w:val="Hyperlink"/>
    <w:basedOn w:val="DefaultParagraphFont"/>
    <w:rsid w:val="004F16A9"/>
    <w:rPr>
      <w:color w:val="0563C1" w:themeColor="hyperlink"/>
      <w:u w:val="single"/>
    </w:rPr>
  </w:style>
  <w:style w:type="character" w:styleId="FollowedHyperlink">
    <w:name w:val="FollowedHyperlink"/>
    <w:basedOn w:val="DefaultParagraphFont"/>
    <w:rsid w:val="004F16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F50CD-19BF-46DD-8EF2-80A1A135C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2911</Words>
  <Characters>19982</Characters>
  <Application>Microsoft Office Word</Application>
  <DocSecurity>4</DocSecurity>
  <Lines>166</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Lukas Lemcke</cp:lastModifiedBy>
  <cp:revision>2</cp:revision>
  <cp:lastPrinted>2004-11-19T15:42:00Z</cp:lastPrinted>
  <dcterms:created xsi:type="dcterms:W3CDTF">2024-06-14T09:20:00Z</dcterms:created>
  <dcterms:modified xsi:type="dcterms:W3CDTF">2024-06-14T09:20:00Z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B9-0090/2024</vt:lpwstr>
  </property>
  <property fmtid="{D5CDD505-2E9C-101B-9397-08002B2CF9AE}" pid="4" name="&lt;Type&gt;">
    <vt:lpwstr>RR</vt:lpwstr>
  </property>
</Properties>
</file>