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16E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16E8" w:rsidRDefault="00205466" w:rsidP="0010095E">
            <w:pPr>
              <w:pStyle w:val="EPName"/>
            </w:pPr>
            <w:r w:rsidRPr="003F16E8">
              <w:t>Parlament Europejski</w:t>
            </w:r>
          </w:p>
          <w:p w:rsidR="00751A4A" w:rsidRPr="003F16E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16E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F16E8" w:rsidRDefault="00187494" w:rsidP="0010095E">
            <w:pPr>
              <w:pStyle w:val="EPLogo"/>
            </w:pPr>
            <w:r w:rsidRPr="003F16E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16E8" w:rsidRDefault="00D058B8" w:rsidP="004C5D52">
      <w:pPr>
        <w:pStyle w:val="LineTop"/>
      </w:pPr>
    </w:p>
    <w:p w:rsidR="00680577" w:rsidRPr="003F16E8" w:rsidRDefault="00205466" w:rsidP="00680577">
      <w:pPr>
        <w:pStyle w:val="EPBodyTA1"/>
      </w:pPr>
      <w:r w:rsidRPr="003F16E8">
        <w:t>TEKSTY PRZYJĘTE</w:t>
      </w:r>
    </w:p>
    <w:p w:rsidR="00D058B8" w:rsidRPr="003F16E8" w:rsidRDefault="00D058B8" w:rsidP="00D058B8">
      <w:pPr>
        <w:pStyle w:val="LineBottom"/>
      </w:pPr>
    </w:p>
    <w:p w:rsidR="00205466" w:rsidRPr="003F16E8" w:rsidRDefault="00205466" w:rsidP="00205466">
      <w:pPr>
        <w:pStyle w:val="ATHeading1"/>
      </w:pPr>
      <w:bookmarkStart w:id="0" w:name="TANumber"/>
      <w:r w:rsidRPr="003F16E8">
        <w:t>P9_TA(2024)00</w:t>
      </w:r>
      <w:bookmarkEnd w:id="0"/>
      <w:r w:rsidR="0088302B">
        <w:t>78</w:t>
      </w:r>
      <w:bookmarkStart w:id="1" w:name="_GoBack"/>
      <w:bookmarkEnd w:id="1"/>
    </w:p>
    <w:p w:rsidR="00205466" w:rsidRPr="003F16E8" w:rsidRDefault="004A73C4" w:rsidP="004A73C4">
      <w:pPr>
        <w:pStyle w:val="ATHeading2"/>
      </w:pPr>
      <w:r w:rsidRPr="004A73C4">
        <w:rPr>
          <w:bCs/>
        </w:rPr>
        <w:t xml:space="preserve">Negocjacje wielostronne w związku z 13. </w:t>
      </w:r>
      <w:proofErr w:type="gramStart"/>
      <w:r w:rsidRPr="004A73C4">
        <w:rPr>
          <w:bCs/>
        </w:rPr>
        <w:t>konferencją</w:t>
      </w:r>
      <w:proofErr w:type="gramEnd"/>
      <w:r w:rsidRPr="004A73C4">
        <w:rPr>
          <w:bCs/>
        </w:rPr>
        <w:t xml:space="preserve"> ministerialną WTO, która</w:t>
      </w:r>
      <w:r>
        <w:rPr>
          <w:bCs/>
        </w:rPr>
        <w:t xml:space="preserve"> </w:t>
      </w:r>
      <w:r w:rsidRPr="004A73C4">
        <w:rPr>
          <w:bCs/>
        </w:rPr>
        <w:t>odbędzie się w Abu Zabi w dniach 26–29 lutego 2024 r.</w:t>
      </w:r>
    </w:p>
    <w:p w:rsidR="00205466" w:rsidRPr="003F16E8" w:rsidRDefault="00205466" w:rsidP="00205466">
      <w:pPr>
        <w:rPr>
          <w:i/>
          <w:vanish/>
        </w:rPr>
      </w:pPr>
      <w:r w:rsidRPr="003F16E8">
        <w:rPr>
          <w:i/>
        </w:rPr>
        <w:fldChar w:fldCharType="begin"/>
      </w:r>
      <w:r w:rsidRPr="003F16E8">
        <w:rPr>
          <w:i/>
        </w:rPr>
        <w:instrText xml:space="preserve"> TC"(</w:instrText>
      </w:r>
      <w:bookmarkStart w:id="2" w:name="DocNumber"/>
      <w:r w:rsidRPr="003F16E8">
        <w:rPr>
          <w:i/>
        </w:rPr>
        <w:instrText>B</w:instrText>
      </w:r>
      <w:proofErr w:type="gramStart"/>
      <w:r w:rsidRPr="003F16E8">
        <w:rPr>
          <w:i/>
        </w:rPr>
        <w:instrText>9-0090/2024</w:instrText>
      </w:r>
      <w:bookmarkEnd w:id="2"/>
      <w:r w:rsidRPr="003F16E8">
        <w:rPr>
          <w:i/>
        </w:rPr>
        <w:instrText>)"\l</w:instrText>
      </w:r>
      <w:proofErr w:type="gramEnd"/>
      <w:r w:rsidRPr="003F16E8">
        <w:rPr>
          <w:i/>
        </w:rPr>
        <w:instrText xml:space="preserve">3 \n&gt; \* MERGEFORMAT </w:instrText>
      </w:r>
      <w:r w:rsidRPr="003F16E8">
        <w:rPr>
          <w:i/>
        </w:rPr>
        <w:fldChar w:fldCharType="end"/>
      </w:r>
    </w:p>
    <w:p w:rsidR="00205466" w:rsidRPr="003F16E8" w:rsidRDefault="00205466" w:rsidP="00205466">
      <w:pPr>
        <w:rPr>
          <w:vanish/>
        </w:rPr>
      </w:pPr>
      <w:bookmarkStart w:id="3" w:name="PE"/>
      <w:r w:rsidRPr="003F16E8">
        <w:rPr>
          <w:vanish/>
        </w:rPr>
        <w:t>PE753.647</w:t>
      </w:r>
      <w:bookmarkEnd w:id="3"/>
    </w:p>
    <w:p w:rsidR="00205466" w:rsidRPr="003F16E8" w:rsidRDefault="00205466" w:rsidP="00205466">
      <w:pPr>
        <w:pStyle w:val="ATHeading3"/>
      </w:pPr>
      <w:bookmarkStart w:id="4" w:name="Sujet"/>
      <w:r w:rsidRPr="003F16E8">
        <w:t xml:space="preserve">Rezolucja Parlamentu Europejskiego z dnia </w:t>
      </w:r>
      <w:r w:rsidR="004A73C4">
        <w:t>8 lutego</w:t>
      </w:r>
      <w:r w:rsidRPr="003F16E8">
        <w:t xml:space="preserve"> 2024 r. w sprawie negocjacji wielostronnych w kontekście 13. </w:t>
      </w:r>
      <w:proofErr w:type="gramStart"/>
      <w:r w:rsidRPr="003F16E8">
        <w:t>konferencji</w:t>
      </w:r>
      <w:proofErr w:type="gramEnd"/>
      <w:r w:rsidRPr="003F16E8">
        <w:t xml:space="preserve"> ministerialnej WTO w Abu Zabi w dniach 26–29 lutego 2024 r.</w:t>
      </w:r>
      <w:bookmarkEnd w:id="4"/>
      <w:r w:rsidRPr="003F16E8">
        <w:t xml:space="preserve"> </w:t>
      </w:r>
      <w:bookmarkStart w:id="5" w:name="References"/>
      <w:r w:rsidRPr="003F16E8">
        <w:t>(2023/2868(RSP))</w:t>
      </w:r>
      <w:bookmarkEnd w:id="5"/>
    </w:p>
    <w:p w:rsidR="00205466" w:rsidRPr="003F16E8" w:rsidRDefault="00205466" w:rsidP="00205466"/>
    <w:p w:rsidR="00FF385F" w:rsidRPr="003F16E8" w:rsidRDefault="00FF385F" w:rsidP="00FF385F">
      <w:pPr>
        <w:pStyle w:val="EPComma"/>
      </w:pPr>
      <w:bookmarkStart w:id="6" w:name="TextBodyBegin"/>
      <w:bookmarkEnd w:id="6"/>
      <w:r w:rsidRPr="003F16E8">
        <w:rPr>
          <w:i/>
          <w:iCs/>
        </w:rPr>
        <w:t>Parlament Europejski</w:t>
      </w:r>
      <w:r w:rsidRPr="003F16E8">
        <w:t>,</w:t>
      </w:r>
    </w:p>
    <w:p w:rsidR="00FF385F" w:rsidRPr="003F16E8" w:rsidRDefault="00FF385F" w:rsidP="00FF385F">
      <w:pPr>
        <w:pStyle w:val="NormalHanging12a"/>
        <w:widowControl/>
        <w:rPr>
          <w:szCs w:val="24"/>
        </w:rPr>
      </w:pPr>
      <w:r w:rsidRPr="003F16E8">
        <w:t>–</w:t>
      </w:r>
      <w:r w:rsidRPr="003F16E8">
        <w:tab/>
        <w:t>uwzględniając porozumienie z Marrakeszu z 15 kwietnia 1994 r. ustanawiające Światową Organizację Handlu (WTO),</w:t>
      </w:r>
    </w:p>
    <w:p w:rsidR="00FF385F" w:rsidRPr="003F16E8" w:rsidRDefault="00FF385F" w:rsidP="00FF385F">
      <w:pPr>
        <w:pStyle w:val="NormalHanging12a"/>
        <w:widowControl/>
        <w:rPr>
          <w:szCs w:val="24"/>
        </w:rPr>
      </w:pPr>
      <w:r w:rsidRPr="003F16E8">
        <w:t>–</w:t>
      </w:r>
      <w:r w:rsidRPr="003F16E8">
        <w:tab/>
        <w:t>uwzględniając deklarację ministerialną z Ad-Dauhy złożoną przez WTO 14 listopada 2001 r.</w:t>
      </w:r>
      <w:r w:rsidRPr="003F16E8">
        <w:rPr>
          <w:rStyle w:val="FootnoteReference"/>
          <w:color w:val="000000"/>
          <w:szCs w:val="24"/>
        </w:rPr>
        <w:footnoteReference w:id="1"/>
      </w:r>
      <w:r w:rsidRPr="003F16E8">
        <w:t>,</w:t>
      </w:r>
    </w:p>
    <w:p w:rsidR="00FF385F" w:rsidRPr="003F16E8" w:rsidRDefault="00FF385F" w:rsidP="00FF385F">
      <w:pPr>
        <w:pStyle w:val="NormalHanging12a"/>
        <w:widowControl/>
        <w:rPr>
          <w:szCs w:val="24"/>
        </w:rPr>
      </w:pPr>
      <w:r w:rsidRPr="003F16E8">
        <w:t>–</w:t>
      </w:r>
      <w:r w:rsidRPr="003F16E8">
        <w:tab/>
        <w:t>uwzględniając swoje poprzednie rezolucje w sprawie WTO, w szczególności rezolucję z dnia 25 listopada 2021 r. w sprawie negocjacji wielostronnych w kontekście 12. </w:t>
      </w:r>
      <w:proofErr w:type="gramStart"/>
      <w:r w:rsidRPr="003F16E8">
        <w:t>konferencji</w:t>
      </w:r>
      <w:proofErr w:type="gramEnd"/>
      <w:r w:rsidRPr="003F16E8">
        <w:t xml:space="preserve"> ministerialnej WTO</w:t>
      </w:r>
      <w:r w:rsidRPr="003F16E8">
        <w:rPr>
          <w:rStyle w:val="FootnoteReference"/>
          <w:color w:val="000000"/>
          <w:szCs w:val="24"/>
        </w:rPr>
        <w:footnoteReference w:id="2"/>
      </w:r>
      <w:r w:rsidRPr="003F16E8">
        <w:t>, rezolucję z dnia 29 listopada 2018 r. pt. „WTO: przyszłe działania”</w:t>
      </w:r>
      <w:r w:rsidRPr="003F16E8">
        <w:rPr>
          <w:rStyle w:val="FootnoteReference"/>
          <w:color w:val="000000"/>
          <w:szCs w:val="24"/>
        </w:rPr>
        <w:footnoteReference w:id="3"/>
      </w:r>
      <w:r w:rsidRPr="003F16E8">
        <w:t xml:space="preserve"> oraz rezolucję z 28 listopada 2019 r. w sprawie kryzysu w Organie Apelacyjnym WTO</w:t>
      </w:r>
      <w:r w:rsidRPr="003F16E8">
        <w:rPr>
          <w:rStyle w:val="FootnoteReference"/>
          <w:color w:val="000000"/>
          <w:szCs w:val="24"/>
        </w:rPr>
        <w:footnoteReference w:id="4"/>
      </w:r>
      <w:r w:rsidRPr="003F16E8">
        <w:t>,</w:t>
      </w:r>
    </w:p>
    <w:p w:rsidR="00FF385F" w:rsidRPr="003F16E8" w:rsidRDefault="00FF385F" w:rsidP="00FF385F">
      <w:pPr>
        <w:pStyle w:val="NormalHanging12a"/>
        <w:rPr>
          <w:color w:val="000000"/>
        </w:rPr>
      </w:pPr>
      <w:r w:rsidRPr="003F16E8">
        <w:t>–</w:t>
      </w:r>
      <w:r w:rsidRPr="003F16E8">
        <w:tab/>
        <w:t>uwzględniając dokumenty końcowe przyjęte w drodze konsensusu podczas dorocznych sesji Konferencji Parlamentarnej ds. WTO w Genewie 7 grudnia 2018 r.</w:t>
      </w:r>
      <w:r w:rsidRPr="003F16E8">
        <w:rPr>
          <w:rStyle w:val="FootnoteReference"/>
          <w:color w:val="000000"/>
          <w:szCs w:val="24"/>
        </w:rPr>
        <w:footnoteReference w:id="5"/>
      </w:r>
      <w:r w:rsidRPr="003F16E8">
        <w:t xml:space="preserve"> i w Buenos Aires 10 grudnia 2017 r.</w:t>
      </w:r>
      <w:r w:rsidRPr="003F16E8">
        <w:rPr>
          <w:rStyle w:val="FootnoteReference"/>
          <w:color w:val="000000"/>
          <w:szCs w:val="24"/>
        </w:rPr>
        <w:footnoteReference w:id="6"/>
      </w:r>
      <w:r w:rsidRPr="003F16E8">
        <w:t>,</w:t>
      </w:r>
    </w:p>
    <w:p w:rsidR="00FF385F" w:rsidRPr="003F16E8" w:rsidRDefault="00FF385F" w:rsidP="00FF385F">
      <w:pPr>
        <w:pStyle w:val="NormalHanging12a"/>
        <w:rPr>
          <w:color w:val="000000"/>
        </w:rPr>
      </w:pPr>
      <w:r w:rsidRPr="003F16E8">
        <w:rPr>
          <w:color w:val="000000"/>
        </w:rPr>
        <w:t>–</w:t>
      </w:r>
      <w:r w:rsidRPr="003F16E8">
        <w:rPr>
          <w:color w:val="000000"/>
        </w:rPr>
        <w:tab/>
        <w:t xml:space="preserve">uwzględniając wyniki 12. </w:t>
      </w:r>
      <w:proofErr w:type="gramStart"/>
      <w:r w:rsidRPr="003F16E8">
        <w:rPr>
          <w:color w:val="000000"/>
        </w:rPr>
        <w:t>konferencji</w:t>
      </w:r>
      <w:proofErr w:type="gramEnd"/>
      <w:r w:rsidRPr="003F16E8">
        <w:rPr>
          <w:color w:val="000000"/>
        </w:rPr>
        <w:t xml:space="preserve"> ministerialnej WTO, która odbyła się w Genewie w czerwcu 2022 r., w tym dokument końcowy, szereg decyzji i deklaracji ministerialnych oraz Porozumienie w sprawie subsydiów dla rybołówstwa,</w:t>
      </w:r>
    </w:p>
    <w:p w:rsidR="00FF385F" w:rsidRPr="003F16E8" w:rsidRDefault="00FF385F" w:rsidP="00FF385F">
      <w:pPr>
        <w:pStyle w:val="NormalHanging12a"/>
        <w:rPr>
          <w:color w:val="000000"/>
        </w:rPr>
      </w:pPr>
      <w:r w:rsidRPr="003F16E8">
        <w:rPr>
          <w:color w:val="000000"/>
        </w:rPr>
        <w:lastRenderedPageBreak/>
        <w:t>–</w:t>
      </w:r>
      <w:r w:rsidRPr="003F16E8">
        <w:rPr>
          <w:color w:val="000000"/>
        </w:rPr>
        <w:tab/>
        <w:t xml:space="preserve">uwzględniając wyniki 11. </w:t>
      </w:r>
      <w:proofErr w:type="gramStart"/>
      <w:r w:rsidRPr="003F16E8">
        <w:rPr>
          <w:color w:val="000000"/>
        </w:rPr>
        <w:t>konferencji</w:t>
      </w:r>
      <w:proofErr w:type="gramEnd"/>
      <w:r w:rsidRPr="003F16E8">
        <w:rPr>
          <w:color w:val="000000"/>
        </w:rPr>
        <w:t xml:space="preserve"> ministerialnej WTO, która odbyła się w Buenos Aires w grudniu 2017 r., w tym szereg decyzji ministerialnych i wspólnych oświadczeń w sprawie handlu elektronicznego, ułatwiania inwestycji, regulacji usług krajowych, mikroprzedsiębiorstw oraz małych i średnich przedsiębiorstw (MMŚP),</w:t>
      </w:r>
    </w:p>
    <w:p w:rsidR="00FF385F" w:rsidRPr="003F16E8" w:rsidRDefault="00FF385F" w:rsidP="00FF385F">
      <w:pPr>
        <w:pStyle w:val="NormalHanging12a"/>
        <w:rPr>
          <w:color w:val="000000"/>
        </w:rPr>
      </w:pPr>
      <w:r w:rsidRPr="003F16E8">
        <w:rPr>
          <w:color w:val="000000"/>
        </w:rPr>
        <w:t>–</w:t>
      </w:r>
      <w:r w:rsidRPr="003F16E8">
        <w:rPr>
          <w:color w:val="000000"/>
        </w:rPr>
        <w:tab/>
        <w:t>uwzględniając deklarację z Buenos Aires w sprawie handlu i upodmiotowienia ekonomicznego kobiet z 12 grudnia 2017 r. oraz działalność nieformalnej grupy roboczej ds. handlu i płci ustanowionej 23 września 2020 r.,</w:t>
      </w:r>
    </w:p>
    <w:p w:rsidR="00FF385F" w:rsidRPr="003F16E8" w:rsidRDefault="00FF385F" w:rsidP="00FF385F">
      <w:pPr>
        <w:pStyle w:val="NormalHanging12a"/>
        <w:rPr>
          <w:color w:val="000000"/>
        </w:rPr>
      </w:pPr>
      <w:r w:rsidRPr="003F16E8">
        <w:rPr>
          <w:color w:val="000000"/>
        </w:rPr>
        <w:t>–</w:t>
      </w:r>
      <w:r w:rsidRPr="003F16E8">
        <w:rPr>
          <w:color w:val="000000"/>
        </w:rPr>
        <w:tab/>
      </w:r>
      <w:r w:rsidRPr="003F16E8">
        <w:t xml:space="preserve">uwzględniając oświadczenia ministrów reprezentujących członków WTO z 10 grudnia 2021 r. w sprawie zanieczyszczeń plastikiem i zrównoważonego </w:t>
      </w:r>
      <w:proofErr w:type="spellStart"/>
      <w:r w:rsidRPr="003F16E8">
        <w:t>środowiskowowo</w:t>
      </w:r>
      <w:proofErr w:type="spellEnd"/>
      <w:r w:rsidRPr="003F16E8">
        <w:t xml:space="preserve"> handlu tworzywami sztucznymi, z 14 grudnia 2021 r. w sprawie handlu i zrównoważenia środowiskowego oraz z 14 grudnia 2021 r. w sprawie dopłat do paliw kopalnych,</w:t>
      </w:r>
    </w:p>
    <w:p w:rsidR="00FF385F" w:rsidRPr="003F16E8" w:rsidRDefault="00FF385F" w:rsidP="00FF385F">
      <w:pPr>
        <w:pStyle w:val="NormalHanging12a"/>
        <w:rPr>
          <w:color w:val="000000"/>
        </w:rPr>
      </w:pPr>
      <w:r w:rsidRPr="003F16E8">
        <w:rPr>
          <w:color w:val="000000"/>
        </w:rPr>
        <w:t>–</w:t>
      </w:r>
      <w:r w:rsidRPr="003F16E8">
        <w:rPr>
          <w:color w:val="000000"/>
        </w:rPr>
        <w:tab/>
        <w:t>uwzględniając cele ONZ w zakresie zrównoważonego rozwoju,</w:t>
      </w:r>
    </w:p>
    <w:p w:rsidR="00FF385F" w:rsidRPr="003F16E8" w:rsidRDefault="00FF385F" w:rsidP="00FF385F">
      <w:pPr>
        <w:pStyle w:val="NormalHanging12a"/>
        <w:widowControl/>
        <w:rPr>
          <w:szCs w:val="24"/>
        </w:rPr>
      </w:pPr>
      <w:r w:rsidRPr="003F16E8">
        <w:t>–</w:t>
      </w:r>
      <w:r w:rsidRPr="003F16E8">
        <w:tab/>
        <w:t>uwzględniając porozumienie paryskie w ramach Ramowej konwencji Narodów Zjednoczonych w sprawie zmian klimatu (UNFCCC), które obowiązuje od listopada 2016 r.,</w:t>
      </w:r>
    </w:p>
    <w:p w:rsidR="00FF385F" w:rsidRPr="003F16E8" w:rsidRDefault="00FF385F" w:rsidP="00FF385F">
      <w:pPr>
        <w:pStyle w:val="NormalHanging12a"/>
        <w:widowControl/>
        <w:rPr>
          <w:szCs w:val="24"/>
        </w:rPr>
      </w:pPr>
      <w:r w:rsidRPr="003F16E8">
        <w:t>–</w:t>
      </w:r>
      <w:r w:rsidRPr="003F16E8">
        <w:tab/>
        <w:t>uwzględniając komunikat Komisji z dnia 18 lutego 2021 r. pt. „Przegląd polityki handlowej</w:t>
      </w:r>
      <w:r w:rsidRPr="003F16E8">
        <w:rPr>
          <w:rFonts w:ascii="Segoe UI" w:hAnsi="Segoe UI"/>
          <w:color w:val="333333"/>
          <w:sz w:val="21"/>
          <w:shd w:val="clear" w:color="auto" w:fill="FFFFFF"/>
        </w:rPr>
        <w:t xml:space="preserve"> </w:t>
      </w:r>
      <w:r w:rsidRPr="003F16E8">
        <w:t>– otwarta, zrównoważona i asertywna polityka handlowa” oraz załącznik do niego pt. „Reforma WTO: w kierunku zrównoważonego i skutecznego wielostronnego systemu handlowego” (COM(2021)0066),</w:t>
      </w:r>
    </w:p>
    <w:p w:rsidR="00FF385F" w:rsidRPr="003F16E8" w:rsidRDefault="00FF385F" w:rsidP="00FF385F">
      <w:pPr>
        <w:pStyle w:val="NormalHanging12a"/>
        <w:widowControl/>
        <w:rPr>
          <w:szCs w:val="24"/>
        </w:rPr>
      </w:pPr>
      <w:r w:rsidRPr="003F16E8">
        <w:t>–</w:t>
      </w:r>
      <w:r w:rsidRPr="003F16E8">
        <w:tab/>
        <w:t>uwzględniając art.132 ust. 2 Regulaminu,</w:t>
      </w:r>
    </w:p>
    <w:p w:rsidR="00FF385F" w:rsidRPr="003F16E8" w:rsidRDefault="00FF385F" w:rsidP="00FF385F">
      <w:pPr>
        <w:pStyle w:val="NormalHanging12a"/>
        <w:widowControl/>
        <w:rPr>
          <w:szCs w:val="24"/>
        </w:rPr>
      </w:pPr>
      <w:r w:rsidRPr="003F16E8">
        <w:t>–</w:t>
      </w:r>
      <w:r w:rsidRPr="003F16E8">
        <w:tab/>
        <w:t>uwzględniając projekt rezolucji Komisji Handlu Międzynarodowego,</w:t>
      </w:r>
    </w:p>
    <w:p w:rsidR="00FF385F" w:rsidRPr="003F16E8" w:rsidRDefault="00FF385F" w:rsidP="00FF385F">
      <w:pPr>
        <w:pStyle w:val="NormalHanging12a"/>
      </w:pPr>
      <w:r w:rsidRPr="003F16E8">
        <w:t>A.</w:t>
      </w:r>
      <w:r w:rsidRPr="003F16E8">
        <w:tab/>
      </w:r>
      <w:proofErr w:type="gramStart"/>
      <w:r w:rsidRPr="003F16E8">
        <w:t>mając</w:t>
      </w:r>
      <w:proofErr w:type="gramEnd"/>
      <w:r w:rsidRPr="003F16E8">
        <w:t xml:space="preserve"> na uwadze, że WTO utworzono, aby dalej liberalizować handel towarami i usługami, wzmacniać multilateralizm i wspierać sprawiedliwy, otwarty, włączający, oparty na zasadach i niedyskryminacyjny wielostronny system handlowy, co ma poprawić dobrobyt ludzi na całym świecie; mając na uwadze, że ogólnym celem unijnej polityki handlowej jest przyczynianie się do harmonijnego rozwoju handlu światowego, stopniowego znoszenia ograniczeń w handlu międzynarodowym i w bezpośrednich inwestycjach zagranicznych oraz do obniżenia barier – celnych i innego rodzaju – jak również zapewnienia ludziom dobrobytu; mając na uwadze, że handel ma zasadnicze znaczenie i jest kluczowym instrumentem wspierania i uzupełniania wysiłków na rzecz trwałego wzrostu gospodarczego i poprawy </w:t>
      </w:r>
      <w:proofErr w:type="gramStart"/>
      <w:r w:rsidRPr="003F16E8">
        <w:t>poziomu</w:t>
      </w:r>
      <w:proofErr w:type="gramEnd"/>
      <w:r w:rsidRPr="003F16E8">
        <w:t xml:space="preserve"> życia, jako że zapewnia on pełne zatrudnienie wysokiej jakości oraz wysoki i stale rosnący dochód realny zgodnie z celem zrównoważonego rozwoju, a jednocześnie pozwala chronić środowisko naturalne oraz zwiększać środki na ten cel zgodnie z potrzebami i obawami państw na różnych poziomach rozwoju gospodarczego;</w:t>
      </w:r>
    </w:p>
    <w:p w:rsidR="00FF385F" w:rsidRPr="003F16E8" w:rsidRDefault="00FF385F" w:rsidP="00FF385F">
      <w:pPr>
        <w:pStyle w:val="NormalHanging12a"/>
      </w:pPr>
      <w:r w:rsidRPr="003F16E8">
        <w:t>B.</w:t>
      </w:r>
      <w:r w:rsidRPr="003F16E8">
        <w:tab/>
        <w:t>mając na uwadze, że silny, otwarty i włączający wielostronny system handlowy powinien odgrywać jeszcze większą rolę w realizacji globalnych celów w zakresie zmiany klimatu i w dążeniu do neutralności emisyjnej, na przykład dzięki wymianie towarów, usług i praktyk niezbędnych dla funkcjonowania czystych technologii energetycznych i gospodarki o obiegu zamkniętym;</w:t>
      </w:r>
    </w:p>
    <w:p w:rsidR="00FF385F" w:rsidRPr="003F16E8" w:rsidRDefault="00FF385F" w:rsidP="00FF385F">
      <w:pPr>
        <w:pStyle w:val="NormalHanging12a"/>
      </w:pPr>
      <w:r w:rsidRPr="003F16E8">
        <w:t>C.</w:t>
      </w:r>
      <w:r w:rsidRPr="003F16E8">
        <w:tab/>
      </w:r>
      <w:proofErr w:type="gramStart"/>
      <w:r w:rsidRPr="003F16E8">
        <w:t>mając</w:t>
      </w:r>
      <w:proofErr w:type="gramEnd"/>
      <w:r w:rsidRPr="003F16E8">
        <w:t xml:space="preserve"> na uwadze, że oparty na zasadach wielostronny system handlowy znajduje się </w:t>
      </w:r>
      <w:r w:rsidRPr="003F16E8">
        <w:lastRenderedPageBreak/>
        <w:t xml:space="preserve">obecnie pod ogromną presją, że wpływają na niego napięcia geopolityczne spowodowane decyzjami niektórych członków WTO i podejmowanymi przez nich jednostronnymi działaniami, a także bezzasadnym poleganiem przez nich na spowodowanych względami bezpieczeństwa wyjątkach, które przewidziano w Układzie ogólnym w sprawie taryf celnych i handlu (GATT), co już teraz prowadzi do większej fragmentaryzacji i mniejszej przewidywalności polityki handlowej; mając na uwadze, że 75 % handlu nadal odbywa się w oparciu o stawki celne stosowane względem kraju najbardziej uprzywilejowanego (stawki KNU), co dowodzi, że WTO jest podstawą światowej gospodarki; mając na uwadze, że </w:t>
      </w:r>
      <w:proofErr w:type="gramStart"/>
      <w:r w:rsidRPr="003F16E8">
        <w:t>wyniki</w:t>
      </w:r>
      <w:proofErr w:type="gramEnd"/>
      <w:r w:rsidRPr="003F16E8">
        <w:t xml:space="preserve"> 12. </w:t>
      </w:r>
      <w:proofErr w:type="gramStart"/>
      <w:r w:rsidRPr="003F16E8">
        <w:t>konferencji</w:t>
      </w:r>
      <w:proofErr w:type="gramEnd"/>
      <w:r w:rsidRPr="003F16E8">
        <w:t xml:space="preserve"> ministerialnej pokazały, że WTO nadal może zawierać wielostronne porozumienia i reagować na sytuacje nadzwyczajne;</w:t>
      </w:r>
    </w:p>
    <w:p w:rsidR="00FF385F" w:rsidRPr="003F16E8" w:rsidRDefault="00FF385F" w:rsidP="00FF385F">
      <w:pPr>
        <w:pStyle w:val="NormalHanging12a"/>
      </w:pPr>
      <w:r w:rsidRPr="003F16E8">
        <w:t>D.</w:t>
      </w:r>
      <w:r w:rsidRPr="003F16E8">
        <w:tab/>
      </w:r>
      <w:proofErr w:type="gramStart"/>
      <w:r w:rsidRPr="003F16E8">
        <w:t>mając</w:t>
      </w:r>
      <w:proofErr w:type="gramEnd"/>
      <w:r w:rsidRPr="003F16E8">
        <w:t xml:space="preserve"> na uwadze, że Porozumienie WTO w sprawie subsydiów dla rybołówstwa uzgodnione na 12. konferencji ministerialnej jest pierwszą w historii wielostronną umową handlową, której centralnym elementem jest zrównoważenie środowiskowe – ustanawia ona wiążący zbiór globalnych zasad, aby zgodnie z celem zrównoważonego rozwoju nr 14.6, pomóc ograniczyć szkodliwe subsydia o szacowanej wartości 22 mld USD rocznie</w:t>
      </w:r>
      <w:proofErr w:type="gramStart"/>
      <w:r w:rsidRPr="003F16E8">
        <w:t>, które</w:t>
      </w:r>
      <w:proofErr w:type="gramEnd"/>
      <w:r w:rsidRPr="003F16E8">
        <w:t xml:space="preserve"> rządy przyznają sektorowi rybołówstwa; mając na uwadze, że porozumienie nie zawiera jeszcze zasad dotyczących subsydiów dla rybołówstwa skutkujących nadmierną zdolnością połowową i przełowieniem, które stanowią ponad połowę wszystkich subsydiów dla rybołówstwa i w sprawie których negocjacje są nadal w toku;</w:t>
      </w:r>
    </w:p>
    <w:p w:rsidR="00FF385F" w:rsidRPr="003F16E8" w:rsidRDefault="00FF385F" w:rsidP="00FF385F">
      <w:pPr>
        <w:pStyle w:val="NormalHanging12a"/>
      </w:pPr>
      <w:r w:rsidRPr="003F16E8">
        <w:t>E.</w:t>
      </w:r>
      <w:r w:rsidRPr="003F16E8">
        <w:tab/>
      </w:r>
      <w:proofErr w:type="gramStart"/>
      <w:r w:rsidRPr="003F16E8">
        <w:t>mając</w:t>
      </w:r>
      <w:proofErr w:type="gramEnd"/>
      <w:r w:rsidRPr="003F16E8">
        <w:t xml:space="preserve"> na uwadze, że 17 czerwca 2022 r. na 12. </w:t>
      </w:r>
      <w:proofErr w:type="gramStart"/>
      <w:r w:rsidRPr="003F16E8">
        <w:t>konferencji</w:t>
      </w:r>
      <w:proofErr w:type="gramEnd"/>
      <w:r w:rsidRPr="003F16E8">
        <w:t xml:space="preserve"> ministerialnej WTO (MC12) przyjęto decyzję zapewniającą elastyczność w ramach Porozumienia w sprawie handlowych aspektów praw własności intelektualnej (porozumienia TRIPS), aby umożliwić produkcję i dostawy szczepionek przeciwko COVID-19, oraz odroczono decyzję o rozszerzenia zakresu tych elastycznych rozwiązań na środki terapeutyczne i diagnostyczne przeciwko COVID-19; mając na uwadze, że Rada Handlowych Aspektów Praw Własności Intelektualnej WTO prowadzi negocjacje w sprawie przedłużenia odstępstwa od porozumienia TRIPS;</w:t>
      </w:r>
    </w:p>
    <w:p w:rsidR="00FF385F" w:rsidRPr="003F16E8" w:rsidRDefault="00FF385F" w:rsidP="00FF385F">
      <w:pPr>
        <w:pStyle w:val="NormalHanging12a"/>
      </w:pPr>
      <w:r w:rsidRPr="003F16E8">
        <w:t>F.</w:t>
      </w:r>
      <w:r w:rsidRPr="003F16E8">
        <w:tab/>
      </w:r>
      <w:proofErr w:type="gramStart"/>
      <w:r w:rsidRPr="003F16E8">
        <w:t>mając</w:t>
      </w:r>
      <w:proofErr w:type="gramEnd"/>
      <w:r w:rsidRPr="003F16E8">
        <w:t xml:space="preserve"> na uwadze, że bezpieczeństwo żywnościowe nadal stanowi wyzwanie, ponieważ w 2022 r. liczba osób dotkniętych poważnym brakiem bezpieczeństwa żywnościowego osiągnęła poziom około 258 milionów – w porównaniu ze 193 mln w 2021 r.; mając na uwadze, że w Porozumieniu w sprawie rolnictwa Rundy Urugwajskiej WTO jednoznacznie podkreślono, że w trwających negocjacjach należy uwzględniać bezpieczeństwo żywnościowe; mając na uwadze, że handel może zwiększać dostępność żywności w regionach, w których jest ona ograniczona, oraz ekonomiczny dostęp do żywności przez tworzenie możliwości zatrudnienia i zwiększenie dochodów;</w:t>
      </w:r>
    </w:p>
    <w:p w:rsidR="00FF385F" w:rsidRPr="003F16E8" w:rsidRDefault="00FF385F" w:rsidP="00FF385F">
      <w:pPr>
        <w:pStyle w:val="NormalHanging12a"/>
      </w:pPr>
      <w:r w:rsidRPr="003F16E8">
        <w:t>G.</w:t>
      </w:r>
      <w:r w:rsidRPr="003F16E8">
        <w:tab/>
        <w:t xml:space="preserve">mając na uwadze, że członkowie WTO dowiedli swojego zaangażowania w rozwiązanie problemu niedoborów żywności i zapewnianie nadzwyczajnej pomocy żywnościowej osobom znajdujących się w najtrudniejszej sytuacji zarówno w deklaracji ministerialnej w sprawie reakcji kryzysowej na brak bezpieczeństwa żywnościowego, jak i w decyzji ministerialnej w sprawie wyłączenia zakupów żywności humanitarnej w ramach Światowego Programu Żywnościowego (WFP) z zakazów lub ograniczeń wywozowych uzgodnionych na 12. </w:t>
      </w:r>
      <w:proofErr w:type="gramStart"/>
      <w:r w:rsidRPr="003F16E8">
        <w:t>konferencji</w:t>
      </w:r>
      <w:proofErr w:type="gramEnd"/>
      <w:r w:rsidRPr="003F16E8">
        <w:t xml:space="preserve"> ministerialnej;</w:t>
      </w:r>
    </w:p>
    <w:p w:rsidR="00FF385F" w:rsidRPr="003F16E8" w:rsidRDefault="00FF385F" w:rsidP="00FF385F">
      <w:pPr>
        <w:pStyle w:val="NormalHanging12a"/>
      </w:pPr>
      <w:r w:rsidRPr="003F16E8">
        <w:t>H.</w:t>
      </w:r>
      <w:r w:rsidRPr="003F16E8">
        <w:tab/>
      </w:r>
      <w:proofErr w:type="gramStart"/>
      <w:r w:rsidRPr="003F16E8">
        <w:t>mając</w:t>
      </w:r>
      <w:proofErr w:type="gramEnd"/>
      <w:r w:rsidRPr="003F16E8">
        <w:t xml:space="preserve"> na uwadze, że zrównoważony handel może pomóc w łagodzeniu zmiany klimatu i w walce z nią;</w:t>
      </w:r>
    </w:p>
    <w:p w:rsidR="00FF385F" w:rsidRPr="003F16E8" w:rsidRDefault="00FF385F" w:rsidP="00FF385F">
      <w:pPr>
        <w:pStyle w:val="NormalHanging12a"/>
      </w:pPr>
      <w:r w:rsidRPr="003F16E8">
        <w:lastRenderedPageBreak/>
        <w:t>I.</w:t>
      </w:r>
      <w:r w:rsidRPr="003F16E8">
        <w:tab/>
      </w:r>
      <w:proofErr w:type="gramStart"/>
      <w:r w:rsidRPr="003F16E8">
        <w:t>mając</w:t>
      </w:r>
      <w:proofErr w:type="gramEnd"/>
      <w:r w:rsidRPr="003F16E8">
        <w:t xml:space="preserve"> na uwadze, że 11 grudnia 2019 r. Organ Apelacyjny WTO przestał działać, co doprowadziło do zastoju na etapie funkcjonalnych, niezależnych i bezstronnych </w:t>
      </w:r>
      <w:proofErr w:type="spellStart"/>
      <w:r w:rsidRPr="003F16E8">
        <w:t>odwołań</w:t>
      </w:r>
      <w:proofErr w:type="spellEnd"/>
      <w:r w:rsidRPr="003F16E8">
        <w:t xml:space="preserve">; mając na uwadze, że na 12. </w:t>
      </w:r>
      <w:proofErr w:type="gramStart"/>
      <w:r w:rsidRPr="003F16E8">
        <w:t>konferencji</w:t>
      </w:r>
      <w:proofErr w:type="gramEnd"/>
      <w:r w:rsidRPr="003F16E8">
        <w:t xml:space="preserve"> ministerialnej członkowie WTO zobowiązali się do prowadzenia dyskusji, aby do 2024 r. zapewnić w pełni i właściwie funkcjonujący system rozstrzygania sporów dostępny dla wszystkich członków WTO;</w:t>
      </w:r>
    </w:p>
    <w:p w:rsidR="00FF385F" w:rsidRPr="003F16E8" w:rsidRDefault="00FF385F" w:rsidP="00FF385F">
      <w:pPr>
        <w:pStyle w:val="NormalHanging12a"/>
      </w:pPr>
      <w:r w:rsidRPr="003F16E8">
        <w:t>J.</w:t>
      </w:r>
      <w:r w:rsidRPr="003F16E8">
        <w:tab/>
        <w:t>mając na uwadze, że Parlament Europejski wraz z Unią Międzyparlamentarną od ponad 20 lat odgrywają zasadniczą rolę w tworzeniu parlamentarnego wymiaru WTO za pośrednictwem Konferencji Parlamentarnej ds. WTO;</w:t>
      </w:r>
    </w:p>
    <w:p w:rsidR="00FF385F" w:rsidRPr="003F16E8" w:rsidRDefault="00FF385F" w:rsidP="00FF385F">
      <w:pPr>
        <w:pStyle w:val="NormalHanging12a"/>
      </w:pPr>
      <w:r w:rsidRPr="003F16E8">
        <w:t>K.</w:t>
      </w:r>
      <w:r w:rsidRPr="003F16E8">
        <w:tab/>
        <w:t xml:space="preserve">mając na uwadze, że 13. </w:t>
      </w:r>
      <w:proofErr w:type="gramStart"/>
      <w:r w:rsidRPr="003F16E8">
        <w:t>konferencja</w:t>
      </w:r>
      <w:proofErr w:type="gramEnd"/>
      <w:r w:rsidRPr="003F16E8">
        <w:t xml:space="preserve"> ministerialna WTO odbędzie się w Abu Zabi (Zjednoczone Emiraty Arabskie) w dniach 26–29 lutego 2024 r.;</w:t>
      </w:r>
    </w:p>
    <w:p w:rsidR="00FF385F" w:rsidRPr="003F16E8" w:rsidRDefault="00FF385F" w:rsidP="00FF385F">
      <w:pPr>
        <w:pStyle w:val="NormalHanging12a"/>
      </w:pPr>
      <w:r w:rsidRPr="003F16E8">
        <w:t>1.</w:t>
      </w:r>
      <w:r w:rsidRPr="003F16E8">
        <w:tab/>
      </w:r>
      <w:proofErr w:type="gramStart"/>
      <w:r w:rsidRPr="003F16E8">
        <w:t>potwierdza</w:t>
      </w:r>
      <w:proofErr w:type="gramEnd"/>
      <w:r w:rsidRPr="003F16E8">
        <w:t xml:space="preserve"> swoje pełne zaangażowanie na rzecz trwałej wartości multilateralizmu oraz podkreśla, że niezbędny jest unowocześniony, wielostronny system zarządzania handlem; wzywa do opracowania programu handlowego opartego na sprawiedliwym i bazującym na zasadach handlu z korzyścią dla wszystkich, który przyczynia się do zrównoważonego rozwoju, wykraczającego poza definicję wzrostu gospodarczego i dobrobytu, a tym samym wzmacnia pokój i bezpieczeństwo; podkreśla, że WTO powinna zachęcać do realizacji celów zrównoważonego rozwoju, prawa do zdrowia, praw społecznych i środowiskowych oraz praw człowieka, a także pilnowania, aby uzgodnione na szczeblu wielostronnym i zharmonizowane przepisy były jednakowo stosowane przez wszystkich;</w:t>
      </w:r>
    </w:p>
    <w:p w:rsidR="00FF385F" w:rsidRPr="003F16E8" w:rsidRDefault="00FF385F" w:rsidP="00FF385F">
      <w:pPr>
        <w:pStyle w:val="NormalHanging12a"/>
      </w:pPr>
      <w:r w:rsidRPr="003F16E8">
        <w:t>2.</w:t>
      </w:r>
      <w:r w:rsidRPr="003F16E8">
        <w:tab/>
      </w:r>
      <w:proofErr w:type="gramStart"/>
      <w:r w:rsidRPr="003F16E8">
        <w:t>wzywa</w:t>
      </w:r>
      <w:proofErr w:type="gramEnd"/>
      <w:r w:rsidRPr="003F16E8">
        <w:t xml:space="preserve"> wszystkich członków WTO, aby dołożyli starań, aby 13. </w:t>
      </w:r>
      <w:proofErr w:type="gramStart"/>
      <w:r w:rsidRPr="003F16E8">
        <w:t>konferencja</w:t>
      </w:r>
      <w:proofErr w:type="gramEnd"/>
      <w:r w:rsidRPr="003F16E8">
        <w:t xml:space="preserve"> ministerialna WTO zakończyła się sukcesem; uważa, że 13. </w:t>
      </w:r>
      <w:proofErr w:type="gramStart"/>
      <w:r w:rsidRPr="003F16E8">
        <w:t>konferencja</w:t>
      </w:r>
      <w:proofErr w:type="gramEnd"/>
      <w:r w:rsidRPr="003F16E8">
        <w:t xml:space="preserve"> ministerialna WTO powinna stanowić oficjalny punkt wyjścia dla rozwoju i modernizacji WTO, tak aby mogła ona pomóc sprostać wyzwaniom XXI wieku, w tym związanym ze zmianą klimatu, bezpieczeństwem żywności, utratą bioróżnorodności, zdrowiem, zrównoważonym rozwojem i ograniczaniem ubóstwa; wzywa wszystkich członków WTO do wzmożenia wysiłków, aby skupić się na konkretnych wynikach, które pokażą, że WTO jest w stanie sprostać obecnym wyzwaniom; z zadowoleniem przyjmuje wytyczne przedstawione na posiedzeniu urzędników wyższego szczebla 22 i 23 października 2023 r.; w szczególności zwraca się do członków WTO o zakończenie drugiego etapu wielostronnego Porozumienia w sprawie subsydiów dla rybołówstwa oraz o przezwyciężenie utrzymujących się trudności, by WTO </w:t>
      </w:r>
      <w:proofErr w:type="gramStart"/>
      <w:r w:rsidRPr="003F16E8">
        <w:t>mogła</w:t>
      </w:r>
      <w:proofErr w:type="gramEnd"/>
      <w:r w:rsidRPr="003F16E8">
        <w:t xml:space="preserve"> w końcu przyjąć kompleksowy pakiet dotyczący reform instytucjonalnych, w tym decyzję, która doprowadzi do w pełni funkcjonującego systemu rozstrzygania sporów; przypomina, że należy jeszcze bardziej zwiększyć rolę Sekretariatu WTO;</w:t>
      </w:r>
    </w:p>
    <w:p w:rsidR="00FF385F" w:rsidRPr="003F16E8" w:rsidRDefault="00FF385F" w:rsidP="00FF385F">
      <w:pPr>
        <w:pStyle w:val="NormalHanging12a"/>
      </w:pPr>
      <w:r w:rsidRPr="003F16E8">
        <w:t>3.</w:t>
      </w:r>
      <w:r w:rsidRPr="003F16E8">
        <w:tab/>
      </w:r>
      <w:proofErr w:type="gramStart"/>
      <w:r w:rsidRPr="003F16E8">
        <w:t>uważa</w:t>
      </w:r>
      <w:proofErr w:type="gramEnd"/>
      <w:r w:rsidRPr="003F16E8">
        <w:t xml:space="preserve">, że należy pilnie przystąpić do gruntownej reformy WTO i że powinno to znaleźć odzwierciedlenie w wyniku 13. </w:t>
      </w:r>
      <w:proofErr w:type="gramStart"/>
      <w:r w:rsidRPr="003F16E8">
        <w:t>konferencji</w:t>
      </w:r>
      <w:proofErr w:type="gramEnd"/>
      <w:r w:rsidRPr="003F16E8">
        <w:t xml:space="preserve"> ministerialnej; z zadowoleniem przyjmuje wszystkie prace w tym zakresie od czasu ostatniej konferencji ministerialnej; wzywa członków WTO do przyjęcia kompleksowego pakietu dotyczącego przeglądu zadań WTO w zakresie monitorowania, negocjacji, deliberacji i rozstrzygania sporów, w którym należy również zwrócić należytą uwagę na parlamentarny wymiar WTO, aby zwiększyć skuteczność, </w:t>
      </w:r>
      <w:proofErr w:type="spellStart"/>
      <w:r w:rsidRPr="003F16E8">
        <w:t>inkluzywność</w:t>
      </w:r>
      <w:proofErr w:type="spellEnd"/>
      <w:r w:rsidRPr="003F16E8">
        <w:t>, przejrzystość, wiarygodność i legitymację WTO;</w:t>
      </w:r>
    </w:p>
    <w:p w:rsidR="00FF385F" w:rsidRPr="003F16E8" w:rsidRDefault="00FF385F" w:rsidP="00FF385F">
      <w:pPr>
        <w:pStyle w:val="NormalHanging12a"/>
        <w:rPr>
          <w:szCs w:val="24"/>
        </w:rPr>
      </w:pPr>
      <w:r w:rsidRPr="003F16E8">
        <w:t>4.</w:t>
      </w:r>
      <w:r w:rsidRPr="003F16E8">
        <w:tab/>
      </w:r>
      <w:proofErr w:type="gramStart"/>
      <w:r w:rsidRPr="003F16E8">
        <w:t>apeluje</w:t>
      </w:r>
      <w:proofErr w:type="gramEnd"/>
      <w:r w:rsidRPr="003F16E8">
        <w:t xml:space="preserve"> o większe i jeszcze bardziej konstruktywne zaangażowanie wszystkich członków WTO w jak najszybsze przywrócenie w pełni funkcjonującego systemu </w:t>
      </w:r>
      <w:r w:rsidRPr="003F16E8">
        <w:lastRenderedPageBreak/>
        <w:t xml:space="preserve">rozstrzygania sporów, który zajmie się m.in. zbyt długim czasem trwania procedur; pochwala pracę pośrednika w kierowaniu procesem, który powinien doprowadzić do przedstawienia skonsolidowanego projektu tekstu na 13. </w:t>
      </w:r>
      <w:proofErr w:type="gramStart"/>
      <w:r w:rsidRPr="003F16E8">
        <w:t>konferencji</w:t>
      </w:r>
      <w:proofErr w:type="gramEnd"/>
      <w:r w:rsidRPr="003F16E8">
        <w:t xml:space="preserve"> ministerialnej; ubolewa jednak, że do tej pory nie osiągnięto znaczących postępów; wzywa członków do zaangażowania się w konstruktywne i przejrzyste dyskusje, aby osiągnąć porozumienie w sprawie systemu rozstrzygania sporów na 13. </w:t>
      </w:r>
      <w:proofErr w:type="gramStart"/>
      <w:r w:rsidRPr="003F16E8">
        <w:t>konferencji</w:t>
      </w:r>
      <w:proofErr w:type="gramEnd"/>
      <w:r w:rsidRPr="003F16E8">
        <w:t xml:space="preserve"> ministerialnej; przypomina, że głównym celem powinien pozostać wiążący, dwustopniowy i niezależny proces;</w:t>
      </w:r>
    </w:p>
    <w:p w:rsidR="00FF385F" w:rsidRPr="003F16E8" w:rsidRDefault="00FF385F" w:rsidP="00FF385F">
      <w:pPr>
        <w:pStyle w:val="NormalHanging12a"/>
        <w:rPr>
          <w:szCs w:val="24"/>
        </w:rPr>
      </w:pPr>
      <w:r w:rsidRPr="003F16E8">
        <w:t>5.</w:t>
      </w:r>
      <w:r w:rsidRPr="003F16E8">
        <w:tab/>
      </w:r>
      <w:proofErr w:type="gramStart"/>
      <w:r w:rsidRPr="003F16E8">
        <w:t>zachęca</w:t>
      </w:r>
      <w:proofErr w:type="gramEnd"/>
      <w:r w:rsidRPr="003F16E8">
        <w:t xml:space="preserve"> członków do rozważenia przyłączenia się do tymczasowego arbitrażu odwoławczego, aby wykazać swojego zaangażowania na rzecz sprawiedliwego i funkcjonującego systemu rozstrzygania sporów, a także wypełnić lukę czasową do chwili ponownego powołania w pełni funkcjonującego organu rozstrzygania sporów;</w:t>
      </w:r>
    </w:p>
    <w:p w:rsidR="00FF385F" w:rsidRPr="003F16E8" w:rsidRDefault="00FF385F" w:rsidP="00FF385F">
      <w:pPr>
        <w:pStyle w:val="NormalHanging12a"/>
      </w:pPr>
      <w:r w:rsidRPr="003F16E8">
        <w:t>6.</w:t>
      </w:r>
      <w:r w:rsidRPr="003F16E8">
        <w:tab/>
      </w:r>
      <w:proofErr w:type="gramStart"/>
      <w:r w:rsidRPr="003F16E8">
        <w:t>wzywa</w:t>
      </w:r>
      <w:proofErr w:type="gramEnd"/>
      <w:r w:rsidRPr="003F16E8">
        <w:t xml:space="preserve"> wszystkich członków WTO, którzy jeszcze tego nie zrobili, do szybkiej ratyfikacji Porozumienia WTO w sprawie subsydiów dla rybołówstwa, tak aby porozumienie weszło w życie jak najszybciej, do czego konieczna jest ratyfikacja przez dwie trzecie członków WTO; podkreśla, jak ważne jest szybkie osiągnięcia porozumienia w sprawie zasad dotyczących subsydiów dla rybołówstwa skutkujących nadmierną zdolnością połowową i przełowieniem, aby uniknąć wyczerpania się morskich zasobów biologicznych i umożliwić bardziej zrównoważone gospodarowanie nimi; należy przy tym uwzględnić potrzebę dotyczących specjalnego i zróżnicowanego traktowania zgodnie z celem zrównoważonego rozwoju nr 14.6;</w:t>
      </w:r>
    </w:p>
    <w:p w:rsidR="00FF385F" w:rsidRPr="003F16E8" w:rsidRDefault="00FF385F" w:rsidP="00FF385F">
      <w:pPr>
        <w:pStyle w:val="NormalHanging12a"/>
      </w:pPr>
      <w:r w:rsidRPr="003F16E8">
        <w:t>7.</w:t>
      </w:r>
      <w:r w:rsidRPr="003F16E8">
        <w:tab/>
      </w:r>
      <w:proofErr w:type="gramStart"/>
      <w:r w:rsidRPr="003F16E8">
        <w:t>podkreśla</w:t>
      </w:r>
      <w:proofErr w:type="gramEnd"/>
      <w:r w:rsidRPr="003F16E8">
        <w:t xml:space="preserve"> potrzebę uwzględnienia wymiaru WTO związanego z rozwojem, w tym poprzez proces reformy WTO oraz taką reformę specjalnego i zróżnicowanego traktowania, aby skuteczniej zaspokajać potrzeby krajów rozwijających się; ubolewa, że WTO nie zrealizowała jeszcze w pełni swojej dauhańskiej agendy rozwoju; z zadowoleniem przyjmuje podjętą już decyzję w sprawie przedłużenia środków wsparcia, które pomagają krajom wyjść z grupy krajów najsłabiej rozwiniętych, aby zagwarantować płynny i zrównoważony okres przejściowy, podczas którego wycofywane będą preferencje handlowe; ponownie apeluje, aby przeanalizować mechanizm specjalnego i zróżnicowanego traktowania oraz poddać go przeglądowi przy należytym zaangażowaniu wszystkich członków WTO, tak by lepiej odzwierciedlić wskaźniki rozwoju społecznego, a </w:t>
      </w:r>
      <w:proofErr w:type="gramStart"/>
      <w:r w:rsidRPr="003F16E8">
        <w:t>zarazem</w:t>
      </w:r>
      <w:proofErr w:type="gramEnd"/>
      <w:r w:rsidRPr="003F16E8">
        <w:t xml:space="preserve"> chronić przestrzeń polityczną służącą zwalczaniu nieuczciwego handlu, i w związku z tym wzywa członków WTO do dokonania przeglądu tego systemu; podkreśla jednocześnie, że stosowanie samodzielnego określania statusu pod względem rozwoju jako jedynego kryterium może prowadzić do niesprawiedliwego handlu;</w:t>
      </w:r>
    </w:p>
    <w:p w:rsidR="00FF385F" w:rsidRPr="003F16E8" w:rsidRDefault="00FF385F" w:rsidP="00FF385F">
      <w:pPr>
        <w:pStyle w:val="NormalHanging12a"/>
      </w:pPr>
      <w:r w:rsidRPr="003F16E8">
        <w:t>8.</w:t>
      </w:r>
      <w:r w:rsidRPr="003F16E8">
        <w:tab/>
      </w:r>
      <w:proofErr w:type="gramStart"/>
      <w:r w:rsidRPr="003F16E8">
        <w:t>podkreśla</w:t>
      </w:r>
      <w:proofErr w:type="gramEnd"/>
      <w:r w:rsidRPr="003F16E8">
        <w:t xml:space="preserve">, że należy ożywić dyskusje na temat pomocy państwa dla sektorów przemysłowych w ramach WTO, w tym aktualizacji Porozumienia w sprawie subsydiów i środków wyrównawczych (porozumienie SCM), w celu zwiększenia przejrzystości i dostosowania zbioru przepisów WTO dotyczących subsydiów tak, aby móc reagować na współczesne wyzwania, na przykład na zmianę klimatu, oraz zwalczać nieuczciwe praktyki niektórych członków WTO i skutecznie przeciwdziałać negatywnym skutkom ubocznym, takim jak nadwyżka mocy produkcyjnych i wysokoemisyjne łańcuchy dostaw; jest zdania, że podczas 13. </w:t>
      </w:r>
      <w:proofErr w:type="gramStart"/>
      <w:r w:rsidRPr="003F16E8">
        <w:t>konferencji</w:t>
      </w:r>
      <w:proofErr w:type="gramEnd"/>
      <w:r w:rsidRPr="003F16E8">
        <w:t xml:space="preserve"> ministerialnej należy zainicjować ograniczony w czasie program prac, który umożliwi dyskusję na temat interwencji państwa w celu wsparcia sektorów przemysłu, tak aby przedstawić zalecenia na 14. </w:t>
      </w:r>
      <w:proofErr w:type="gramStart"/>
      <w:r w:rsidRPr="003F16E8">
        <w:t>konferencję</w:t>
      </w:r>
      <w:proofErr w:type="gramEnd"/>
      <w:r w:rsidRPr="003F16E8">
        <w:t xml:space="preserve"> ministerialną;</w:t>
      </w:r>
    </w:p>
    <w:p w:rsidR="00FF385F" w:rsidRPr="003F16E8" w:rsidRDefault="00FF385F" w:rsidP="00FF385F">
      <w:pPr>
        <w:pStyle w:val="NormalHanging12a"/>
      </w:pPr>
      <w:r w:rsidRPr="003F16E8">
        <w:lastRenderedPageBreak/>
        <w:t>9.</w:t>
      </w:r>
      <w:r w:rsidRPr="003F16E8">
        <w:tab/>
      </w:r>
      <w:proofErr w:type="gramStart"/>
      <w:r w:rsidRPr="003F16E8">
        <w:t>podkreśla</w:t>
      </w:r>
      <w:proofErr w:type="gramEnd"/>
      <w:r w:rsidRPr="003F16E8">
        <w:t xml:space="preserve"> potrzebę poczynienia postępów w negocjacjach w sprawie rolnictwa, aby uzyskać wiarygodne rezultaty w takich obszarach jak trwałe rozwiązanie w zakresie utrzymywania rezerw publicznych na potrzeby bezpieczeństwa żywnościowego, wsparcie krajowe, dostęp do rynku, bawełna, ograniczenia wywozowe i konkurencja eksportowa, a także wzmocnienie sektora rolnego w odpowiedzi na współczesne wyzwania, w tym związane ze źródłami utrzymania na obszarach wiejskich i zrównoważeniem środowiskowym; podkreśla potrzebę zapewnienia uczciwej konkurencji i równych warunków działania dla rolników; apeluje o lepszą wymianę informacji i przejrzystość w dziedzinie polityki rolnej i dopłat dla rolników, co pomoże poczynić postępy w negocjacjach oraz wspierać większą wymianę danych z Komitetem </w:t>
      </w:r>
      <w:proofErr w:type="gramStart"/>
      <w:r w:rsidRPr="003F16E8">
        <w:t>ds</w:t>
      </w:r>
      <w:proofErr w:type="gramEnd"/>
      <w:r w:rsidRPr="003F16E8">
        <w:t>. Światowego Bezpieczeństwa Żywnościowego na temat handlu towarami i zapasów prywatnych na szczeblu WTO; z zadowoleniem przyjmuje podpisanie protokołu ustaleń między WTO a FAO podczas konferencji ONZ w sprawie zmiany klimatu (COP 28) w 2023 r., co wzmocni współpracę m.in. w zakresie reformy rolnej, bezpieczeństwa żywnościowego i zmiany klimatu; podkreśla, że UE powinna opowiadać się za wyższymi kryteriami zrównoważonego rozwoju zgodnie z celami Zielonego Ładu;</w:t>
      </w:r>
    </w:p>
    <w:p w:rsidR="00FF385F" w:rsidRPr="003F16E8" w:rsidRDefault="00FF385F" w:rsidP="00FF385F">
      <w:pPr>
        <w:pStyle w:val="NormalHanging12a"/>
      </w:pPr>
      <w:r w:rsidRPr="003F16E8">
        <w:t>10.</w:t>
      </w:r>
      <w:r w:rsidRPr="003F16E8">
        <w:tab/>
      </w:r>
      <w:proofErr w:type="gramStart"/>
      <w:r w:rsidRPr="003F16E8">
        <w:t>podkreśla</w:t>
      </w:r>
      <w:proofErr w:type="gramEnd"/>
      <w:r w:rsidRPr="003F16E8">
        <w:t xml:space="preserve"> potrzebę osiągnięcia wyników w dziedzinie bezpieczeństwa żywnościowego, w tym konkretnych działań na rzecz zwiększenia odporności krajów najsłabiej rozwiniętych i krajów rozwijających się będących importerami netto żywności w odpowiedzi na wysoką niestabilność w zakresie bezpieczeństwa żywnościowego;</w:t>
      </w:r>
    </w:p>
    <w:p w:rsidR="00FF385F" w:rsidRPr="003F16E8" w:rsidRDefault="00FF385F" w:rsidP="00FF385F">
      <w:pPr>
        <w:pStyle w:val="NormalHanging12a"/>
      </w:pPr>
      <w:r w:rsidRPr="003F16E8">
        <w:t>11.</w:t>
      </w:r>
      <w:r w:rsidRPr="003F16E8">
        <w:tab/>
      </w:r>
      <w:proofErr w:type="gramStart"/>
      <w:r w:rsidRPr="003F16E8">
        <w:t>oczekuje</w:t>
      </w:r>
      <w:proofErr w:type="gramEnd"/>
      <w:r w:rsidRPr="003F16E8">
        <w:t>, że reforma WTO umożliwi łatwiejsze włączanie otwartych porozumień fakultatywnych do struktury wielostronnej, aby zapewnić postęp w obszarach, które nie są wystarczająco zaawansowane dla wszystkich członków; w związku z tym ponawia swój apel do członków WTO, by zastanowili się nad tym, jak opracować nowy system zawierający jasne zasady i określający minimalną liczbę członków, którzy powinni uczestniczyć w inicjatywie wielostronnej, oraz by na tej podstawie ustanowili prosty mechanizm umożliwiający włączenie porozumień wynikających z tego systemu do struktury WTO;</w:t>
      </w:r>
    </w:p>
    <w:p w:rsidR="00FF385F" w:rsidRPr="003F16E8" w:rsidRDefault="00FF385F" w:rsidP="00FF385F">
      <w:pPr>
        <w:pStyle w:val="NormalHanging12a"/>
      </w:pPr>
      <w:r w:rsidRPr="003F16E8">
        <w:t>12.</w:t>
      </w:r>
      <w:r w:rsidRPr="003F16E8">
        <w:tab/>
      </w:r>
      <w:proofErr w:type="gramStart"/>
      <w:r w:rsidRPr="003F16E8">
        <w:t>z</w:t>
      </w:r>
      <w:proofErr w:type="gramEnd"/>
      <w:r w:rsidRPr="003F16E8">
        <w:t xml:space="preserve"> zadowoleniem przyjmuje zakończenie negocjacji w sprawie porozumienia o ułatwieniach inwestycyjnych na rzecz rozwoju, które ma stworzyć bardziej sprawiedliwe, przejrzyste, skuteczne i przewidywalne otoczenie ułatwiające inwestycje transgraniczne i umożliwiające krajom rozwijającym się udział w globalnych przepływach inwestycyjnych; popiera włączenie tego porozumienia do zbioru przepisów WTO na mocy załącznika 4 dotyczącego fakultatywnych porozumień handlowych, zgodnie z art. X ust. 9 Porozumienia WTO, i uważa, że może to służyć za model dla przyszłych porozumień fakultatywnych;</w:t>
      </w:r>
    </w:p>
    <w:p w:rsidR="00FF385F" w:rsidRPr="003F16E8" w:rsidRDefault="00FF385F" w:rsidP="00FF385F">
      <w:pPr>
        <w:pStyle w:val="NormalHanging12a"/>
      </w:pPr>
      <w:r w:rsidRPr="003F16E8">
        <w:t>13.</w:t>
      </w:r>
      <w:r w:rsidRPr="003F16E8">
        <w:tab/>
      </w:r>
      <w:proofErr w:type="gramStart"/>
      <w:r w:rsidRPr="003F16E8">
        <w:t>podkreśla</w:t>
      </w:r>
      <w:proofErr w:type="gramEnd"/>
      <w:r w:rsidRPr="003F16E8">
        <w:t xml:space="preserve"> znaczenie zasad multilateralnych i wielostronnych dotyczących handlu cyfrowego, ponieważ stanowi on obecnie 25 % całego handlu; zdecydowanie zachęca do wysiłków na rzecz znalezienia sprawiedliwego i trwałego rozwiązania w zakresie transmisji elektronicznych związanych z moratorium, zwłaszcza z uwagi na negatywny wpływ nieprzedłużenia moratorium, w szczególności na kobiety oraz na małe i średnie przedsiębiorstwa (MŚP); z zadowoleniem przyjmuje i popiera szerokie członkostwo, ambitny program negocjacyjny oraz dotychczasowe postępy w wielostronnych negocjacjach WTO w sprawie handlu elektronicznego; podkreśla znaczenie swobodnego przepływu transmisji elektronicznych, które mają zasadnicze znaczenie dla handlu elektronicznego i zmniejszają koszty handlu, zwiększają dobrobyt konsumentów i konkurencyjność eksportu oraz przynoszą znaczne korzyści, </w:t>
      </w:r>
      <w:proofErr w:type="gramStart"/>
      <w:r w:rsidRPr="003F16E8">
        <w:t>zwłaszcza</w:t>
      </w:r>
      <w:proofErr w:type="gramEnd"/>
      <w:r w:rsidRPr="003F16E8">
        <w:t xml:space="preserve"> MŚP i krajom </w:t>
      </w:r>
      <w:r w:rsidRPr="003F16E8">
        <w:lastRenderedPageBreak/>
        <w:t xml:space="preserve">rozwijającym się; przypomina swoje stanowisko, zgodnie z którym potencjalne porozumienie musi gwarantować sprawiedliwy dostęp do rynku towarów i usług związanych z handlem elektronicznym w państwach trzecich oraz ochronę praw konsumentów i praw pracowniczych, a także ułatwiać innowacje biznesowe; podkreśla, że potencjalne porozumienie w sprawie handlu elektronicznego musi być zgodne z obowiązującymi i przyszłymi przepisami UE oraz zapewniać wystarczającą swobodę polityczną dla regulacji cyfrowych, w szczególności w kwestiach takich jak przepływ danych, lokalizacja danych, ochrona danych, sztuczna inteligencja i kod źródłowy; wzywa wszystkich partnerów do pełnego zaangażowania się i wspierania działań na rzecz zakończenia negocjacji w ramach 13. </w:t>
      </w:r>
      <w:proofErr w:type="gramStart"/>
      <w:r w:rsidRPr="003F16E8">
        <w:t>konferencji</w:t>
      </w:r>
      <w:proofErr w:type="gramEnd"/>
      <w:r w:rsidRPr="003F16E8">
        <w:t xml:space="preserve"> ministerialnej; podkreśla potrzebę zniwelowania przepaści cyfrowej poprzez wymianę najlepszych praktyk i poprawę budowania zdolności;</w:t>
      </w:r>
    </w:p>
    <w:p w:rsidR="00FF385F" w:rsidRPr="003F16E8" w:rsidRDefault="00FF385F" w:rsidP="00FF385F">
      <w:pPr>
        <w:pStyle w:val="NormalHanging12a"/>
      </w:pPr>
      <w:r w:rsidRPr="003F16E8">
        <w:t>14.</w:t>
      </w:r>
      <w:r w:rsidRPr="003F16E8">
        <w:tab/>
      </w:r>
      <w:proofErr w:type="gramStart"/>
      <w:r w:rsidRPr="003F16E8">
        <w:t>przypomina</w:t>
      </w:r>
      <w:proofErr w:type="gramEnd"/>
      <w:r w:rsidRPr="003F16E8">
        <w:t xml:space="preserve"> o zobowiązaniu WTO na rzecz MMŚP i przypomina, że MMŚP stanowią znaczną część światowej gospodarki i że można by jeszcze lepiej wykorzystać ich potencjał w globalnych łańcuchach wartości; wzywa członków WTO do dalszego poszukiwania rozwiązań, które pomogłyby MMŚP zwiększyć ich udział w handlu światowym, przy jednoczesnym uwzględnieniu ich szczególnych potrzeb;</w:t>
      </w:r>
    </w:p>
    <w:p w:rsidR="00FF385F" w:rsidRPr="003F16E8" w:rsidRDefault="00FF385F" w:rsidP="00FF385F">
      <w:pPr>
        <w:pStyle w:val="NormalHanging12a"/>
      </w:pPr>
      <w:r w:rsidRPr="003F16E8">
        <w:t>15.</w:t>
      </w:r>
      <w:r w:rsidRPr="003F16E8">
        <w:tab/>
      </w:r>
      <w:proofErr w:type="gramStart"/>
      <w:r w:rsidRPr="003F16E8">
        <w:t>uważa</w:t>
      </w:r>
      <w:proofErr w:type="gramEnd"/>
      <w:r w:rsidRPr="003F16E8">
        <w:t xml:space="preserve">, że wynikiem 13. </w:t>
      </w:r>
      <w:proofErr w:type="gramStart"/>
      <w:r w:rsidRPr="003F16E8">
        <w:t>konferencji</w:t>
      </w:r>
      <w:proofErr w:type="gramEnd"/>
      <w:r w:rsidRPr="003F16E8">
        <w:t xml:space="preserve"> ministerialnej WTO powinien być program działań w obszarze polityki handlowej wspierający cele zrównoważonego rozwoju do 2030 r. i porozumienie paryskie; zdecydowanie zachęca członków WTO do rozważenia wszelkich możliwych środków, które pomogą ograniczyć emisje gazów cieplarnianych zgodnie z UNFCCC i konkluzjami COP 28, zwiększyć zgodność z porozumieniem paryskim i neutralność klimatyczną oraz zacieśnić współpracę w ramach WTO w zakresie środków przyjętych na szczeblu krajowym; z zadowoleniem przyjmuje konstruktywne dyskusje prowadzone w ramach wielostronnych inicjatyw dotyczących reformy dopłat do paliw kopalnych, dialogu na temat zanieczyszczenia tworzywami sztucznymi oraz zorganizowanych dyskusji dotyczących handlu i </w:t>
      </w:r>
      <w:proofErr w:type="spellStart"/>
      <w:r w:rsidRPr="003F16E8">
        <w:t>zrównoważoności</w:t>
      </w:r>
      <w:proofErr w:type="spellEnd"/>
      <w:r w:rsidRPr="003F16E8">
        <w:t xml:space="preserve"> środowiskowej (TESSD); wzywa do wznowienia negocjacji w sprawie umowy </w:t>
      </w:r>
      <w:proofErr w:type="gramStart"/>
      <w:r w:rsidRPr="003F16E8">
        <w:t>w</w:t>
      </w:r>
      <w:proofErr w:type="gramEnd"/>
      <w:r w:rsidRPr="003F16E8">
        <w:t xml:space="preserve"> sprawie towarów środowiskowych; zachęca WTO do ułatwiania wymiany informacji i współpracy między członkami WTO w zakresie metod ustalania opłat za emisję gazów cieplarnianych; podkreśla potrzebę przyspieszenia rozmów w sprawie towarów i usług, w tym procesów i metod produkcji, pomagających w uporaniu się z wyzwaniami środowiskowymi i klimatycznymi; przypomina, że wszelkie jednostronne środki podejmowane przez członków WTO muszą być zgodne z zasadami WTO, a decyzję o zastosowaniu zwolnień GATT należy dokładnie rozważyć; wzywa UE do podnoszenia świadomości na temat swoich przepisów dotyczących zrównoważonego rozwoju, takich jak dyrektywa w sprawie należytej staranności przedsiębiorstw w zakresie zrównoważonego rozwoju, mechanizm dostosowywania cen na </w:t>
      </w:r>
      <w:proofErr w:type="gramStart"/>
      <w:r w:rsidRPr="003F16E8">
        <w:t>granicach</w:t>
      </w:r>
      <w:proofErr w:type="gramEnd"/>
      <w:r w:rsidRPr="003F16E8">
        <w:t xml:space="preserve"> z uwzględnieniem emisji CO</w:t>
      </w:r>
      <w:r w:rsidRPr="003F16E8">
        <w:rPr>
          <w:vertAlign w:val="subscript"/>
        </w:rPr>
        <w:t>2</w:t>
      </w:r>
      <w:r w:rsidRPr="003F16E8">
        <w:t xml:space="preserve"> (CBAM) i rozporządzenie dotyczące wylesiania, oraz do wyjaśnienia powodów, które leżą u podstaw tych regulacji, aby upewnić się, że będą one postrzegane jako rzeczywista i niedyskryminacyjna próba przyczynienia się do realizacji globalnych celów środowiskowych i uczynienia handlu bardziej zrównoważonym, w tym poprzez dostarczanie bardziej praktycznych informacji na temat stosowania przepisów w praktyce; z zadowoleniem przyjmuje pierwszy w historii „dzień poświęcony handlowi” podczas COP 28 oraz historyczne osiągnięcie COP dotyczące uniezależnienia się od paliw kopalnych; oczekuje, że decyzja COP znajdzie odzwierciedlenie w pracach WTO;</w:t>
      </w:r>
    </w:p>
    <w:p w:rsidR="00FF385F" w:rsidRPr="003F16E8" w:rsidRDefault="00FF385F" w:rsidP="00FF385F">
      <w:pPr>
        <w:pStyle w:val="NormalHanging12a"/>
      </w:pPr>
      <w:r w:rsidRPr="003F16E8">
        <w:t>16.</w:t>
      </w:r>
      <w:r w:rsidRPr="003F16E8">
        <w:tab/>
      </w:r>
      <w:proofErr w:type="gramStart"/>
      <w:r w:rsidRPr="003F16E8">
        <w:t>potwierdza</w:t>
      </w:r>
      <w:proofErr w:type="gramEnd"/>
      <w:r w:rsidRPr="003F16E8">
        <w:t>, że istnieje związek między równością płci a </w:t>
      </w:r>
      <w:proofErr w:type="spellStart"/>
      <w:r w:rsidRPr="003F16E8">
        <w:t>inkluzywnym</w:t>
      </w:r>
      <w:proofErr w:type="spellEnd"/>
      <w:r w:rsidRPr="003F16E8">
        <w:t xml:space="preserve"> rozwojem, a </w:t>
      </w:r>
      <w:r w:rsidRPr="003F16E8">
        <w:lastRenderedPageBreak/>
        <w:t xml:space="preserve">także podkreśla, że wzmocnienie pozycji kobiet jest kluczem do likwidacji ubóstwa oraz że jednoczesne zniesienie barier utrudniających uczestnictwo kobiet w handlu oraz przeciwdziałanie niekorzystnemu wpływowi obecnych zasad handlu na kobiety w ich rozmaitych rolach ma zasadnicze znaczenie dla rozwoju gospodarczego; zachęca wszystkich członków WTO do podpisania deklaracji z Buenos Aires z 2017 r. w sprawie handlu i upodmiotowienia ekonomicznego kobiet, a jej sygnatariuszy – do wywiązania się ze swoich zobowiązań; z zadowoleniem przyjmuje utworzenie nieformalnej grupy roboczej WTO ds. handlu i płci; gratuluje WTO zorganizowania w grudniu 2022 r. Światowego Kongresu Handlu </w:t>
      </w:r>
      <w:proofErr w:type="gramStart"/>
      <w:r w:rsidRPr="003F16E8">
        <w:t>poświęconego</w:t>
      </w:r>
      <w:proofErr w:type="gramEnd"/>
      <w:r w:rsidRPr="003F16E8">
        <w:t xml:space="preserve"> kwestiom płci – pierwszej międzynarodowej konferencji badawczej na temat handlu i płci;</w:t>
      </w:r>
    </w:p>
    <w:p w:rsidR="00FF385F" w:rsidRPr="003F16E8" w:rsidRDefault="00FF385F" w:rsidP="00FF385F">
      <w:pPr>
        <w:pStyle w:val="NormalHanging12a"/>
      </w:pPr>
      <w:r w:rsidRPr="003F16E8">
        <w:t>17.</w:t>
      </w:r>
      <w:r w:rsidRPr="003F16E8">
        <w:tab/>
      </w:r>
      <w:proofErr w:type="gramStart"/>
      <w:r w:rsidRPr="003F16E8">
        <w:t>przyjmuje</w:t>
      </w:r>
      <w:proofErr w:type="gramEnd"/>
      <w:r w:rsidRPr="003F16E8">
        <w:t xml:space="preserve"> do wiadomości, że członkowie WTO zgodzili się podjąć dyskusję, czy należy rozszerzyć zakres decyzji w sprawie TRIPS, tak aby uwzględnić w niej diagnostykę i terapię COVID-19; wzywa członków WTO, aby podjęli decyzję w tej sprawie na 13. </w:t>
      </w:r>
      <w:proofErr w:type="gramStart"/>
      <w:r w:rsidRPr="003F16E8">
        <w:t>konferencji</w:t>
      </w:r>
      <w:proofErr w:type="gramEnd"/>
      <w:r w:rsidRPr="003F16E8">
        <w:t xml:space="preserve"> ministerialnej, przy czym powinni pamiętać o zachętach do wprowadzania innowacji; wzywa członków WTO do dokonania przeglądu krajowych przepisów i strategii politycznych w celu zapewnienia pełnego uwzględnienia wszystkich odpowiednich mechanizmów elastyczności w zakresie własności intelektualnej chroniących dostęp do produktów medycznych;</w:t>
      </w:r>
    </w:p>
    <w:p w:rsidR="00FF385F" w:rsidRPr="003F16E8" w:rsidRDefault="00FF385F" w:rsidP="00FF385F">
      <w:pPr>
        <w:pStyle w:val="NormalHanging12a"/>
      </w:pPr>
      <w:r w:rsidRPr="003F16E8">
        <w:t>18.</w:t>
      </w:r>
      <w:r w:rsidRPr="003F16E8">
        <w:tab/>
      </w:r>
      <w:proofErr w:type="gramStart"/>
      <w:r w:rsidRPr="003F16E8">
        <w:t>wzywa</w:t>
      </w:r>
      <w:proofErr w:type="gramEnd"/>
      <w:r w:rsidRPr="003F16E8">
        <w:t xml:space="preserve"> Komisję i Radę, aby zagwarantowały, że Parlament będzie ściśle zaangażowany w prace nad przygotowaniem 13. </w:t>
      </w:r>
      <w:proofErr w:type="gramStart"/>
      <w:r w:rsidRPr="003F16E8">
        <w:t>konferencji</w:t>
      </w:r>
      <w:proofErr w:type="gramEnd"/>
      <w:r w:rsidRPr="003F16E8">
        <w:t xml:space="preserve"> ministerialnej oraz że będzie niezwłocznie otrzymywał aktualne informacje i będzie konsultowany podczas konferencji ministerialnej w 2024 r.;</w:t>
      </w:r>
    </w:p>
    <w:p w:rsidR="00FF385F" w:rsidRPr="003F16E8" w:rsidRDefault="00FF385F" w:rsidP="00FF385F">
      <w:pPr>
        <w:pStyle w:val="NormalHanging12a"/>
      </w:pPr>
      <w:r w:rsidRPr="003F16E8">
        <w:t>19.</w:t>
      </w:r>
      <w:r w:rsidRPr="003F16E8">
        <w:tab/>
      </w:r>
      <w:proofErr w:type="gramStart"/>
      <w:r w:rsidRPr="003F16E8">
        <w:t>wzywa</w:t>
      </w:r>
      <w:proofErr w:type="gramEnd"/>
      <w:r w:rsidRPr="003F16E8">
        <w:t xml:space="preserve"> członków WTO do zapewnienia legitymacji demokratycznej i przejrzystości poprzez wzmocnienie parlamentarnego wymiaru WTO i konferencji parlamentarnej; pochwala ważne prace wspólnej konferencji parlamentarnej Parlamentu Europejskiego i Unii Międzyparlamentarnej dotyczące WTO; podkreśla, że należy zadbać o to, aby parlamentarzyści mieli łatwiejszy dostęp do wszystkich negocjacji handlowych oraz byli zaangażowani w formułowanie i wdrażanie decyzji WTO; zachęca przywódców do wspierania nowej narracji na temat handlu, zgodnie z którą handel jest postrzegany jako czynnik ułatwiający osiągnięcie zrównoważonego rozwoju, bezpieczeństwa i </w:t>
      </w:r>
      <w:proofErr w:type="spellStart"/>
      <w:r w:rsidRPr="003F16E8">
        <w:t>inkluzywności</w:t>
      </w:r>
      <w:proofErr w:type="spellEnd"/>
      <w:r w:rsidRPr="003F16E8">
        <w:t>, a nie jako przeszkoda w ich osiąganiu;</w:t>
      </w:r>
    </w:p>
    <w:p w:rsidR="00FF385F" w:rsidRPr="003F16E8" w:rsidRDefault="00FF385F" w:rsidP="00FF385F">
      <w:pPr>
        <w:pStyle w:val="NormalHanging12a"/>
      </w:pPr>
      <w:r w:rsidRPr="003F16E8">
        <w:t>20.</w:t>
      </w:r>
      <w:r w:rsidRPr="003F16E8">
        <w:tab/>
      </w:r>
      <w:proofErr w:type="gramStart"/>
      <w:r w:rsidRPr="003F16E8">
        <w:t>wzywa</w:t>
      </w:r>
      <w:proofErr w:type="gramEnd"/>
      <w:r w:rsidRPr="003F16E8">
        <w:t xml:space="preserve"> członków WTO do zintensyfikowania wymiany informacji ze wszystkimi zainteresowanymi stronami, w tym ze społeczeństwem obywatelskim, związkami zawodowymi i organizacjami przedsiębiorców, a także do zacieśnienia współpracy z innymi organizacjami międzynarodowymi, takimi jak Międzynarodowa Organizacja Pracy oraz, w szerszym ujęciu, system ONZ; oczekuje, że przywódcy będą lepiej informować na wszystkich szczeblach o korzyściach wynikających z handlu opartego na zasadach;</w:t>
      </w:r>
    </w:p>
    <w:p w:rsidR="00FF385F" w:rsidRPr="003F16E8" w:rsidRDefault="00FF385F" w:rsidP="00FF385F">
      <w:pPr>
        <w:pStyle w:val="NormalHanging12a"/>
      </w:pPr>
      <w:r w:rsidRPr="003F16E8">
        <w:t>21.</w:t>
      </w:r>
      <w:r w:rsidRPr="003F16E8">
        <w:tab/>
      </w:r>
      <w:proofErr w:type="gramStart"/>
      <w:r w:rsidRPr="003F16E8">
        <w:t>zobowiązuje</w:t>
      </w:r>
      <w:proofErr w:type="gramEnd"/>
      <w:r w:rsidRPr="003F16E8">
        <w:t xml:space="preserve"> swoją przewodniczącą do przekazania niniejszej rezolucji Radzie, Komisji, rządom i parlamentom państw członkowskich, dyrektor generalnej Światowej Organizacji Handlu oraz Unii Międzyparlamentarnej.</w:t>
      </w:r>
    </w:p>
    <w:p w:rsidR="00E365E1" w:rsidRPr="003F16E8" w:rsidRDefault="00E365E1" w:rsidP="00205466">
      <w:bookmarkStart w:id="7" w:name="TextBodyEnd"/>
      <w:bookmarkEnd w:id="7"/>
    </w:p>
    <w:sectPr w:rsidR="00E365E1" w:rsidRPr="003F16E8" w:rsidSect="003F16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466" w:rsidRPr="003F16E8" w:rsidRDefault="00205466">
      <w:r w:rsidRPr="003F16E8">
        <w:separator/>
      </w:r>
    </w:p>
  </w:endnote>
  <w:endnote w:type="continuationSeparator" w:id="0">
    <w:p w:rsidR="00205466" w:rsidRPr="003F16E8" w:rsidRDefault="00205466">
      <w:r w:rsidRPr="003F16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6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6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6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466" w:rsidRPr="003F16E8" w:rsidRDefault="00205466">
      <w:r w:rsidRPr="003F16E8">
        <w:separator/>
      </w:r>
    </w:p>
  </w:footnote>
  <w:footnote w:type="continuationSeparator" w:id="0">
    <w:p w:rsidR="00205466" w:rsidRPr="003F16E8" w:rsidRDefault="00205466">
      <w:r w:rsidRPr="003F16E8">
        <w:continuationSeparator/>
      </w:r>
    </w:p>
  </w:footnote>
  <w:footnote w:id="1">
    <w:p w:rsidR="00FF385F" w:rsidRPr="004A73C4" w:rsidRDefault="00FF385F" w:rsidP="003F16E8">
      <w:pPr>
        <w:pStyle w:val="FootnoteText"/>
        <w:ind w:left="567" w:hanging="567"/>
        <w:rPr>
          <w:rStyle w:val="FootnoteReference"/>
          <w:sz w:val="24"/>
          <w:vertAlign w:val="baseline"/>
          <w:lang w:val="pl-PL"/>
        </w:rPr>
      </w:pPr>
      <w:r w:rsidRPr="004A73C4">
        <w:rPr>
          <w:rStyle w:val="FootnoteReference"/>
          <w:sz w:val="24"/>
          <w:vertAlign w:val="baseline"/>
          <w:lang w:val="pl-PL"/>
        </w:rPr>
        <w:footnoteRef/>
      </w:r>
      <w:r w:rsidR="003F16E8" w:rsidRPr="004A73C4">
        <w:rPr>
          <w:sz w:val="24"/>
          <w:lang w:val="pl-PL"/>
        </w:rPr>
        <w:t xml:space="preserve"> </w:t>
      </w:r>
      <w:r w:rsidR="003F16E8" w:rsidRPr="004A73C4">
        <w:rPr>
          <w:sz w:val="24"/>
          <w:lang w:val="pl-PL"/>
        </w:rPr>
        <w:tab/>
      </w:r>
      <w:r w:rsidRPr="004A73C4">
        <w:rPr>
          <w:rStyle w:val="FootnoteReference"/>
          <w:sz w:val="24"/>
          <w:vertAlign w:val="baseline"/>
          <w:lang w:val="pl-PL"/>
        </w:rPr>
        <w:t>Deklaracja ministerialna z Ad-Dauhy (WT/MIN(01)/DEC/1) z 14</w:t>
      </w:r>
      <w:r w:rsidRPr="004A73C4">
        <w:rPr>
          <w:sz w:val="24"/>
          <w:lang w:val="pl-PL"/>
        </w:rPr>
        <w:t xml:space="preserve"> </w:t>
      </w:r>
      <w:r w:rsidRPr="004A73C4">
        <w:rPr>
          <w:rStyle w:val="FootnoteReference"/>
          <w:sz w:val="24"/>
          <w:vertAlign w:val="baseline"/>
          <w:lang w:val="pl-PL"/>
        </w:rPr>
        <w:t>listopada</w:t>
      </w:r>
      <w:r w:rsidRPr="004A73C4">
        <w:rPr>
          <w:sz w:val="24"/>
          <w:lang w:val="pl-PL"/>
        </w:rPr>
        <w:t xml:space="preserve"> </w:t>
      </w:r>
      <w:r w:rsidRPr="004A73C4">
        <w:rPr>
          <w:rStyle w:val="FootnoteReference"/>
          <w:sz w:val="24"/>
          <w:vertAlign w:val="baseline"/>
          <w:lang w:val="pl-PL"/>
        </w:rPr>
        <w:t>2001 r.</w:t>
      </w:r>
    </w:p>
  </w:footnote>
  <w:footnote w:id="2">
    <w:p w:rsidR="00FF385F" w:rsidRPr="004A73C4" w:rsidRDefault="00FF385F" w:rsidP="003F16E8">
      <w:pPr>
        <w:pStyle w:val="FootnoteText"/>
        <w:ind w:left="567" w:hanging="567"/>
        <w:rPr>
          <w:rStyle w:val="FootnoteReference"/>
          <w:sz w:val="24"/>
          <w:vertAlign w:val="baseline"/>
          <w:lang w:val="pl-PL"/>
        </w:rPr>
      </w:pPr>
      <w:r w:rsidRPr="004A73C4">
        <w:rPr>
          <w:rStyle w:val="FootnoteReference"/>
          <w:sz w:val="24"/>
          <w:vertAlign w:val="baseline"/>
          <w:lang w:val="pl-PL"/>
        </w:rPr>
        <w:footnoteRef/>
      </w:r>
      <w:r w:rsidR="003F16E8" w:rsidRPr="004A73C4">
        <w:rPr>
          <w:sz w:val="24"/>
          <w:lang w:val="pl-PL"/>
        </w:rPr>
        <w:t xml:space="preserve"> </w:t>
      </w:r>
      <w:r w:rsidR="003F16E8" w:rsidRPr="004A73C4">
        <w:rPr>
          <w:sz w:val="24"/>
          <w:lang w:val="pl-PL"/>
        </w:rPr>
        <w:tab/>
      </w:r>
      <w:r w:rsidRPr="004A73C4">
        <w:rPr>
          <w:rStyle w:val="FootnoteReference"/>
          <w:sz w:val="24"/>
          <w:vertAlign w:val="baseline"/>
          <w:lang w:val="pl-PL"/>
        </w:rPr>
        <w:t>Dz.U. C 224 z 8.6.2022, s. 89.</w:t>
      </w:r>
    </w:p>
  </w:footnote>
  <w:footnote w:id="3">
    <w:p w:rsidR="00FF385F" w:rsidRPr="004A73C4" w:rsidRDefault="00FF385F" w:rsidP="003F16E8">
      <w:pPr>
        <w:pStyle w:val="FootnoteText"/>
        <w:ind w:left="567" w:hanging="567"/>
        <w:rPr>
          <w:rStyle w:val="FootnoteReference"/>
          <w:sz w:val="24"/>
          <w:vertAlign w:val="baseline"/>
          <w:lang w:val="pl-PL"/>
        </w:rPr>
      </w:pPr>
      <w:r w:rsidRPr="004A73C4">
        <w:rPr>
          <w:rStyle w:val="FootnoteReference"/>
          <w:sz w:val="24"/>
          <w:vertAlign w:val="baseline"/>
          <w:lang w:val="pl-PL"/>
        </w:rPr>
        <w:footnoteRef/>
      </w:r>
      <w:r w:rsidR="003F16E8" w:rsidRPr="004A73C4">
        <w:rPr>
          <w:sz w:val="24"/>
          <w:lang w:val="pl-PL"/>
        </w:rPr>
        <w:t xml:space="preserve"> </w:t>
      </w:r>
      <w:r w:rsidR="003F16E8" w:rsidRPr="004A73C4">
        <w:rPr>
          <w:sz w:val="24"/>
          <w:lang w:val="pl-PL"/>
        </w:rPr>
        <w:tab/>
      </w:r>
      <w:r w:rsidRPr="004A73C4">
        <w:rPr>
          <w:rStyle w:val="FootnoteReference"/>
          <w:sz w:val="24"/>
          <w:vertAlign w:val="baseline"/>
          <w:lang w:val="pl-PL"/>
        </w:rPr>
        <w:t>Dz.U. C 363 z 28.10.2020, s. 113.</w:t>
      </w:r>
    </w:p>
  </w:footnote>
  <w:footnote w:id="4">
    <w:p w:rsidR="00FF385F" w:rsidRPr="004A73C4" w:rsidRDefault="00FF385F" w:rsidP="003F16E8">
      <w:pPr>
        <w:pStyle w:val="FootnoteText"/>
        <w:ind w:left="567" w:hanging="567"/>
        <w:rPr>
          <w:rStyle w:val="FootnoteReference"/>
          <w:sz w:val="24"/>
          <w:vertAlign w:val="baseline"/>
          <w:lang w:val="pl-PL"/>
        </w:rPr>
      </w:pPr>
      <w:r w:rsidRPr="004A73C4">
        <w:rPr>
          <w:rStyle w:val="FootnoteReference"/>
          <w:sz w:val="24"/>
          <w:vertAlign w:val="baseline"/>
          <w:lang w:val="pl-PL"/>
        </w:rPr>
        <w:footnoteRef/>
      </w:r>
      <w:r w:rsidR="003F16E8" w:rsidRPr="004A73C4">
        <w:rPr>
          <w:sz w:val="24"/>
          <w:lang w:val="pl-PL"/>
        </w:rPr>
        <w:t xml:space="preserve"> </w:t>
      </w:r>
      <w:r w:rsidR="003F16E8" w:rsidRPr="004A73C4">
        <w:rPr>
          <w:sz w:val="24"/>
          <w:lang w:val="pl-PL"/>
        </w:rPr>
        <w:tab/>
      </w:r>
      <w:r w:rsidRPr="004A73C4">
        <w:rPr>
          <w:rStyle w:val="FootnoteReference"/>
          <w:sz w:val="24"/>
          <w:vertAlign w:val="baseline"/>
          <w:lang w:val="pl-PL"/>
        </w:rPr>
        <w:t>Dz.U. C 232 z 16.6.2021, s. 62.</w:t>
      </w:r>
    </w:p>
  </w:footnote>
  <w:footnote w:id="5">
    <w:p w:rsidR="00FF385F" w:rsidRPr="004A73C4" w:rsidRDefault="00FF385F" w:rsidP="003F16E8">
      <w:pPr>
        <w:pStyle w:val="FootnoteText"/>
        <w:ind w:left="567" w:hanging="567"/>
        <w:rPr>
          <w:rStyle w:val="FootnoteReference"/>
          <w:sz w:val="24"/>
          <w:vertAlign w:val="baseline"/>
          <w:lang w:val="pl-PL"/>
        </w:rPr>
      </w:pPr>
      <w:r w:rsidRPr="004A73C4">
        <w:rPr>
          <w:rStyle w:val="FootnoteReference"/>
          <w:sz w:val="24"/>
          <w:vertAlign w:val="baseline"/>
          <w:lang w:val="pl-PL"/>
        </w:rPr>
        <w:footnoteRef/>
      </w:r>
      <w:r w:rsidR="003F16E8" w:rsidRPr="004A73C4">
        <w:rPr>
          <w:sz w:val="24"/>
          <w:lang w:val="pl-PL"/>
        </w:rPr>
        <w:t xml:space="preserve"> </w:t>
      </w:r>
      <w:r w:rsidR="003F16E8" w:rsidRPr="004A73C4">
        <w:rPr>
          <w:sz w:val="24"/>
          <w:lang w:val="pl-PL"/>
        </w:rPr>
        <w:tab/>
      </w:r>
      <w:hyperlink r:id="rId1" w:history="1">
        <w:r w:rsidRPr="004A73C4">
          <w:rPr>
            <w:rStyle w:val="FootnoteReference"/>
            <w:sz w:val="24"/>
            <w:vertAlign w:val="baseline"/>
            <w:lang w:val="pl-PL"/>
          </w:rPr>
          <w:t>https://www.europarl.europa.eu/cmsdata/158345/outcome_document-final-e.pdf</w:t>
        </w:r>
      </w:hyperlink>
      <w:r w:rsidRPr="004A73C4">
        <w:rPr>
          <w:sz w:val="24"/>
          <w:lang w:val="pl-PL"/>
        </w:rPr>
        <w:t>.</w:t>
      </w:r>
    </w:p>
  </w:footnote>
  <w:footnote w:id="6">
    <w:p w:rsidR="00FF385F" w:rsidRPr="004A73C4" w:rsidRDefault="00FF385F" w:rsidP="003F16E8">
      <w:pPr>
        <w:pStyle w:val="FootnoteText"/>
        <w:ind w:left="567" w:hanging="567"/>
        <w:rPr>
          <w:sz w:val="24"/>
          <w:lang w:val="pl-PL"/>
        </w:rPr>
      </w:pPr>
      <w:r w:rsidRPr="004A73C4">
        <w:rPr>
          <w:rStyle w:val="FootnoteReference"/>
          <w:sz w:val="24"/>
          <w:vertAlign w:val="baseline"/>
          <w:lang w:val="pl-PL"/>
        </w:rPr>
        <w:footnoteRef/>
      </w:r>
      <w:r w:rsidR="003F16E8" w:rsidRPr="004A73C4">
        <w:rPr>
          <w:sz w:val="24"/>
          <w:lang w:val="pl-PL"/>
        </w:rPr>
        <w:t xml:space="preserve"> </w:t>
      </w:r>
      <w:r w:rsidR="003F16E8" w:rsidRPr="004A73C4">
        <w:rPr>
          <w:sz w:val="24"/>
          <w:lang w:val="pl-PL"/>
        </w:rPr>
        <w:tab/>
      </w:r>
      <w:r w:rsidRPr="004A73C4">
        <w:rPr>
          <w:rStyle w:val="FootnoteReference"/>
          <w:sz w:val="24"/>
          <w:vertAlign w:val="baseline"/>
          <w:lang w:val="pl-PL"/>
        </w:rPr>
        <w:t>https://www.europarl.europa.eu/cmsdata/231517/2017_PCWTO_outcome_EN.pdf</w:t>
      </w:r>
      <w:r w:rsidRPr="004A73C4">
        <w:rPr>
          <w:sz w:val="24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6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6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6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0/2024"/>
    <w:docVar w:name="dvlangue" w:val="PL"/>
    <w:docVar w:name="dvnumam" w:val="0"/>
    <w:docVar w:name="dvpe" w:val="753.647"/>
    <w:docVar w:name="dvtitre" w:val="Rezolucja Parlamentu Europejskiego z dnia  2024 r. w sprawie negocjacji wielostronnych w kontekście 13. konferencji ministerialnej WTO w Abu Zabi w dniach 26–29 lutego 2024 r.(2023/2868(RSP))"/>
  </w:docVars>
  <w:rsids>
    <w:rsidRoot w:val="002054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5466"/>
    <w:rsid w:val="002767FF"/>
    <w:rsid w:val="002B18FE"/>
    <w:rsid w:val="002B5493"/>
    <w:rsid w:val="00343214"/>
    <w:rsid w:val="00361C00"/>
    <w:rsid w:val="00395FA1"/>
    <w:rsid w:val="003E15D4"/>
    <w:rsid w:val="003F16E8"/>
    <w:rsid w:val="00411CCE"/>
    <w:rsid w:val="0041666E"/>
    <w:rsid w:val="00421060"/>
    <w:rsid w:val="00471C19"/>
    <w:rsid w:val="004867E3"/>
    <w:rsid w:val="00494A28"/>
    <w:rsid w:val="004A73C4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02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A2060"/>
  <w15:chartTrackingRefBased/>
  <w15:docId w15:val="{F638FF61-B543-47AE-B5DE-83BE4961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F385F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FF385F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FF385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parl.europa.eu/cmsdata/158345/outcome_document-final-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E2F24-5274-4C99-8952-EE67E26C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3254</Words>
  <Characters>21819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2024-02-08T12:02:00Z</dcterms:created>
  <dcterms:modified xsi:type="dcterms:W3CDTF">2024-02-08T12:02:00Z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B9-0090/2024</vt:lpwstr>
  </property>
  <property fmtid="{D5CDD505-2E9C-101B-9397-08002B2CF9AE}" pid="4" name="&lt;Type&gt;">
    <vt:lpwstr>RR</vt:lpwstr>
  </property>
</Properties>
</file>