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00D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A00DC" w:rsidRDefault="00B36447" w:rsidP="0010095E">
            <w:pPr>
              <w:pStyle w:val="EPName"/>
            </w:pPr>
            <w:bookmarkStart w:id="0" w:name="_GoBack"/>
            <w:bookmarkEnd w:id="0"/>
            <w:r w:rsidRPr="00CA00DC">
              <w:t>Európsky parlament</w:t>
            </w:r>
          </w:p>
          <w:p w:rsidR="00751A4A" w:rsidRPr="00CA00D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00D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A00DC" w:rsidRDefault="00187494" w:rsidP="0010095E">
            <w:pPr>
              <w:pStyle w:val="EPLogo"/>
            </w:pPr>
            <w:r w:rsidRPr="00CA00D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A00DC" w:rsidRDefault="00D058B8" w:rsidP="004C5D52">
      <w:pPr>
        <w:pStyle w:val="LineTop"/>
      </w:pPr>
    </w:p>
    <w:p w:rsidR="00680577" w:rsidRPr="00CA00DC" w:rsidRDefault="00B36447" w:rsidP="00680577">
      <w:pPr>
        <w:pStyle w:val="EPBodyTA1"/>
      </w:pPr>
      <w:r w:rsidRPr="00CA00DC">
        <w:t>PRIJATÉ TEXTY</w:t>
      </w:r>
    </w:p>
    <w:p w:rsidR="00D058B8" w:rsidRPr="00CA00DC" w:rsidRDefault="00D058B8" w:rsidP="00D058B8">
      <w:pPr>
        <w:pStyle w:val="LineBottom"/>
      </w:pPr>
    </w:p>
    <w:p w:rsidR="00B36447" w:rsidRPr="00CA00DC" w:rsidRDefault="00B36447" w:rsidP="00B36447">
      <w:pPr>
        <w:pStyle w:val="ATHeading1"/>
      </w:pPr>
      <w:bookmarkStart w:id="1" w:name="TANumber"/>
      <w:r w:rsidRPr="00CA00DC">
        <w:t>P9_TA(2024)00</w:t>
      </w:r>
      <w:r w:rsidR="00CA00DC" w:rsidRPr="00CA00DC">
        <w:t>78</w:t>
      </w:r>
      <w:bookmarkEnd w:id="1"/>
    </w:p>
    <w:p w:rsidR="00B36447" w:rsidRPr="00CA00DC" w:rsidRDefault="000D0667" w:rsidP="00B36447">
      <w:pPr>
        <w:pStyle w:val="ATHeading2"/>
      </w:pPr>
      <w:bookmarkStart w:id="2" w:name="title"/>
      <w:r w:rsidRPr="00CA00DC">
        <w:t>Multilaterálne rokovania pred blížiacou sa 13. Konferenciou ministrov WTO v Abú Zabí v dňoch 26. – 29. februára 2024</w:t>
      </w:r>
      <w:bookmarkEnd w:id="2"/>
    </w:p>
    <w:p w:rsidR="00B36447" w:rsidRPr="00CA00DC" w:rsidRDefault="00B36447" w:rsidP="00B36447">
      <w:pPr>
        <w:rPr>
          <w:i/>
          <w:vanish/>
        </w:rPr>
      </w:pPr>
      <w:r w:rsidRPr="00CA00DC">
        <w:rPr>
          <w:i/>
        </w:rPr>
        <w:fldChar w:fldCharType="begin"/>
      </w:r>
      <w:r w:rsidRPr="00CA00DC">
        <w:rPr>
          <w:i/>
        </w:rPr>
        <w:instrText xml:space="preserve"> TC"(</w:instrText>
      </w:r>
      <w:bookmarkStart w:id="3" w:name="DocNumber"/>
      <w:r w:rsidRPr="00CA00DC">
        <w:rPr>
          <w:i/>
        </w:rPr>
        <w:instrText>B9-0090/2024</w:instrText>
      </w:r>
      <w:bookmarkEnd w:id="3"/>
      <w:r w:rsidRPr="00CA00DC">
        <w:rPr>
          <w:i/>
        </w:rPr>
        <w:instrText xml:space="preserve">)"\l3 \n&gt; \* MERGEFORMAT </w:instrText>
      </w:r>
      <w:r w:rsidRPr="00CA00DC">
        <w:rPr>
          <w:i/>
        </w:rPr>
        <w:fldChar w:fldCharType="end"/>
      </w:r>
    </w:p>
    <w:p w:rsidR="00B36447" w:rsidRPr="00CA00DC" w:rsidRDefault="00B36447" w:rsidP="00B36447">
      <w:pPr>
        <w:rPr>
          <w:vanish/>
        </w:rPr>
      </w:pPr>
      <w:bookmarkStart w:id="4" w:name="PE"/>
      <w:r w:rsidRPr="00CA00DC">
        <w:rPr>
          <w:vanish/>
        </w:rPr>
        <w:t>PE753.647</w:t>
      </w:r>
      <w:bookmarkEnd w:id="4"/>
    </w:p>
    <w:p w:rsidR="00B36447" w:rsidRPr="00CA00DC" w:rsidRDefault="00B36447" w:rsidP="00B36447">
      <w:pPr>
        <w:pStyle w:val="ATHeading3"/>
      </w:pPr>
      <w:bookmarkStart w:id="5" w:name="Sujet"/>
      <w:r w:rsidRPr="00CA00DC">
        <w:t>Uznesenie Európskeho parlamentu z</w:t>
      </w:r>
      <w:r w:rsidR="00677EBB" w:rsidRPr="00CA00DC">
        <w:t> 8</w:t>
      </w:r>
      <w:r w:rsidRPr="00CA00DC">
        <w:t xml:space="preserve">. februára 2024 o multilaterálnych rokovaniach pred blížiacou sa 13. Konferenciou ministrov WTO v Abú Zabí v dňoch 26. </w:t>
      </w:r>
      <w:r w:rsidR="000D0667" w:rsidRPr="00CA00DC">
        <w:t xml:space="preserve">– 29. </w:t>
      </w:r>
      <w:r w:rsidRPr="00CA00DC">
        <w:t>februára 2024</w:t>
      </w:r>
      <w:bookmarkEnd w:id="5"/>
      <w:r w:rsidRPr="00CA00DC">
        <w:t xml:space="preserve"> </w:t>
      </w:r>
      <w:bookmarkStart w:id="6" w:name="References"/>
      <w:r w:rsidRPr="00CA00DC">
        <w:t>(2023/2868(RSP))</w:t>
      </w:r>
      <w:bookmarkEnd w:id="6"/>
    </w:p>
    <w:p w:rsidR="00E6661C" w:rsidRPr="00CA00DC" w:rsidRDefault="00E6661C" w:rsidP="00E6661C">
      <w:pPr>
        <w:pStyle w:val="EPComma"/>
      </w:pPr>
      <w:bookmarkStart w:id="7" w:name="TextBodyBegin"/>
      <w:bookmarkEnd w:id="7"/>
      <w:r w:rsidRPr="00CA00DC">
        <w:rPr>
          <w:i/>
          <w:iCs/>
        </w:rPr>
        <w:t>Európsky parlament</w:t>
      </w:r>
      <w:r w:rsidRPr="00CA00DC">
        <w:t>,</w:t>
      </w:r>
    </w:p>
    <w:p w:rsidR="00E6661C" w:rsidRPr="00CA00DC" w:rsidRDefault="00E6661C" w:rsidP="00E6661C">
      <w:pPr>
        <w:pStyle w:val="NormalHanging12a"/>
        <w:widowControl/>
        <w:rPr>
          <w:szCs w:val="24"/>
        </w:rPr>
      </w:pPr>
      <w:r w:rsidRPr="00CA00DC">
        <w:t>–</w:t>
      </w:r>
      <w:r w:rsidRPr="00CA00DC">
        <w:tab/>
        <w:t>so zreteľom na Dohodu z Marrákešu z 15. apríla 1994 o založení Svetovej obchodnej organizácie (ďalej len „WTO“),</w:t>
      </w:r>
    </w:p>
    <w:p w:rsidR="00E6661C" w:rsidRPr="00CA00DC" w:rsidRDefault="00E6661C" w:rsidP="00E6661C">
      <w:pPr>
        <w:pStyle w:val="NormalHanging12a"/>
        <w:widowControl/>
        <w:rPr>
          <w:szCs w:val="24"/>
        </w:rPr>
      </w:pPr>
      <w:r w:rsidRPr="00CA00DC">
        <w:t>–</w:t>
      </w:r>
      <w:r w:rsidRPr="00CA00DC">
        <w:tab/>
        <w:t>so zreteľom na ministerské vyhlásenie WTO z Dauhy zo 14. novembra 2001</w:t>
      </w:r>
      <w:r w:rsidRPr="00CA00DC">
        <w:rPr>
          <w:rStyle w:val="FootnoteReference"/>
          <w:color w:val="000000"/>
          <w:szCs w:val="24"/>
        </w:rPr>
        <w:footnoteReference w:id="1"/>
      </w:r>
      <w:r w:rsidRPr="00CA00DC">
        <w:t>,</w:t>
      </w:r>
    </w:p>
    <w:p w:rsidR="00E6661C" w:rsidRPr="00CA00DC" w:rsidRDefault="00E6661C" w:rsidP="00E6661C">
      <w:pPr>
        <w:pStyle w:val="NormalHanging12a"/>
        <w:widowControl/>
        <w:rPr>
          <w:szCs w:val="24"/>
        </w:rPr>
      </w:pPr>
      <w:r w:rsidRPr="00CA00DC">
        <w:t>–</w:t>
      </w:r>
      <w:r w:rsidRPr="00CA00DC">
        <w:tab/>
        <w:t>so zreteľom na svoje predchádzajúce uznesenia o WTO, najmä na uznesenia z 25. novembra 2021 o multilaterálnych rokovaniach pred blížiacou sa 12. Konferenciou ministrov WTO</w:t>
      </w:r>
      <w:r w:rsidRPr="00CA00DC">
        <w:rPr>
          <w:rStyle w:val="FootnoteReference"/>
          <w:color w:val="000000"/>
          <w:szCs w:val="24"/>
        </w:rPr>
        <w:footnoteReference w:id="2"/>
      </w:r>
      <w:r w:rsidRPr="00CA00DC">
        <w:t>, z 29. novembra 2018 o Svetovej obchodnej organizácii: ďalší postup</w:t>
      </w:r>
      <w:r w:rsidRPr="00CA00DC">
        <w:rPr>
          <w:rStyle w:val="FootnoteReference"/>
          <w:color w:val="000000"/>
          <w:szCs w:val="24"/>
        </w:rPr>
        <w:footnoteReference w:id="3"/>
      </w:r>
      <w:r w:rsidRPr="00CA00DC">
        <w:t xml:space="preserve"> a z 28. novembra 2019 o kríze odvolacieho orgánu WTO</w:t>
      </w:r>
      <w:r w:rsidRPr="00CA00DC">
        <w:rPr>
          <w:rStyle w:val="FootnoteReference"/>
          <w:color w:val="000000"/>
          <w:szCs w:val="24"/>
        </w:rPr>
        <w:footnoteReference w:id="4"/>
      </w:r>
      <w:r w:rsidRPr="00CA00DC">
        <w:t>,</w:t>
      </w:r>
    </w:p>
    <w:p w:rsidR="00E6661C" w:rsidRPr="00CA00DC" w:rsidRDefault="00E6661C" w:rsidP="00E6661C">
      <w:pPr>
        <w:pStyle w:val="NormalHanging12a"/>
        <w:rPr>
          <w:color w:val="000000"/>
        </w:rPr>
      </w:pPr>
      <w:r w:rsidRPr="00CA00DC">
        <w:t>–</w:t>
      </w:r>
      <w:r w:rsidRPr="00CA00DC">
        <w:tab/>
        <w:t>so zreteľom na výsledné dokumenty prijaté konsenzom na výročných zasadnutiach Parlamentnej konferencie o WTO 7. decembra 2018 v Ženeve</w:t>
      </w:r>
      <w:r w:rsidRPr="00CA00DC">
        <w:rPr>
          <w:rStyle w:val="FootnoteReference"/>
          <w:color w:val="000000"/>
          <w:szCs w:val="24"/>
        </w:rPr>
        <w:footnoteReference w:id="5"/>
      </w:r>
      <w:r w:rsidRPr="00CA00DC">
        <w:t xml:space="preserve"> a 10. decembra 2017 v Buenos Aires</w:t>
      </w:r>
      <w:r w:rsidRPr="00CA00DC">
        <w:rPr>
          <w:rStyle w:val="FootnoteReference"/>
          <w:color w:val="000000"/>
          <w:szCs w:val="24"/>
        </w:rPr>
        <w:footnoteReference w:id="6"/>
      </w:r>
      <w:r w:rsidRPr="00CA00DC">
        <w:t>,</w:t>
      </w:r>
    </w:p>
    <w:p w:rsidR="00E6661C" w:rsidRPr="00CA00DC" w:rsidRDefault="00E6661C" w:rsidP="00E6661C">
      <w:pPr>
        <w:pStyle w:val="NormalHanging12a"/>
        <w:rPr>
          <w:color w:val="000000"/>
        </w:rPr>
      </w:pPr>
      <w:r w:rsidRPr="00CA00DC">
        <w:rPr>
          <w:color w:val="000000"/>
        </w:rPr>
        <w:t>–</w:t>
      </w:r>
      <w:r w:rsidRPr="00CA00DC">
        <w:rPr>
          <w:color w:val="000000"/>
        </w:rPr>
        <w:tab/>
        <w:t>so zreteľom na výsledky 12. Konferencie ministrov WTO, ktorá sa konala v júni 2022 v Ženeve (MC12), ktoré zahŕňajú výsledný dokument, súbor ministerských rozhodnutí a vyhlásení a Dohodu o rybolovných dotáciách,</w:t>
      </w:r>
    </w:p>
    <w:p w:rsidR="00E6661C" w:rsidRPr="00CA00DC" w:rsidRDefault="00E6661C" w:rsidP="00E6661C">
      <w:pPr>
        <w:pStyle w:val="NormalHanging12a"/>
        <w:rPr>
          <w:color w:val="000000"/>
        </w:rPr>
      </w:pPr>
      <w:r w:rsidRPr="00CA00DC">
        <w:rPr>
          <w:color w:val="000000"/>
        </w:rPr>
        <w:t>–</w:t>
      </w:r>
      <w:r w:rsidRPr="00CA00DC">
        <w:rPr>
          <w:color w:val="000000"/>
        </w:rPr>
        <w:tab/>
        <w:t xml:space="preserve">so zreteľom na výsledky 11. Konferencie ministrov WTO, ktorá sa konala v decembri 2017 v Buenos Aires (MC11), ktoré zahŕňajú súbor ministerských rozhodnutí a spoločných vyhlásení o elektronickom obchode, uľahčení investícií, regulácii </w:t>
      </w:r>
      <w:r w:rsidRPr="00CA00DC">
        <w:rPr>
          <w:color w:val="000000"/>
        </w:rPr>
        <w:lastRenderedPageBreak/>
        <w:t xml:space="preserve">vnútroštátnych služieb a </w:t>
      </w:r>
      <w:proofErr w:type="spellStart"/>
      <w:r w:rsidRPr="00CA00DC">
        <w:rPr>
          <w:color w:val="000000"/>
        </w:rPr>
        <w:t>mikropodnikoch</w:t>
      </w:r>
      <w:proofErr w:type="spellEnd"/>
      <w:r w:rsidRPr="00CA00DC">
        <w:rPr>
          <w:color w:val="000000"/>
        </w:rPr>
        <w:t xml:space="preserve"> a malých a stredných podnikoch (MMSP),</w:t>
      </w:r>
    </w:p>
    <w:p w:rsidR="00E6661C" w:rsidRPr="00CA00DC" w:rsidRDefault="00E6661C" w:rsidP="00E6661C">
      <w:pPr>
        <w:pStyle w:val="NormalHanging12a"/>
        <w:rPr>
          <w:color w:val="000000"/>
        </w:rPr>
      </w:pPr>
      <w:r w:rsidRPr="00CA00DC">
        <w:rPr>
          <w:color w:val="000000"/>
        </w:rPr>
        <w:t>–</w:t>
      </w:r>
      <w:r w:rsidRPr="00CA00DC">
        <w:rPr>
          <w:color w:val="000000"/>
        </w:rPr>
        <w:tab/>
        <w:t>so zreteľom na vyhlásenie z Buenos Aires o obchode a posilnení ekonomického postavenia žien, ktoré bolo schválené 12. decembra 2017, a na neformálnu pracovnú skupinu pre obchod a rodovú rovnosť zriadenú 23. septembra 2020,</w:t>
      </w:r>
    </w:p>
    <w:p w:rsidR="00E6661C" w:rsidRPr="00CA00DC" w:rsidRDefault="00E6661C" w:rsidP="00E6661C">
      <w:pPr>
        <w:pStyle w:val="NormalHanging12a"/>
        <w:rPr>
          <w:color w:val="000000"/>
        </w:rPr>
      </w:pPr>
      <w:r w:rsidRPr="00CA00DC">
        <w:rPr>
          <w:color w:val="000000"/>
        </w:rPr>
        <w:t>–</w:t>
      </w:r>
      <w:r w:rsidRPr="00CA00DC">
        <w:rPr>
          <w:color w:val="000000"/>
        </w:rPr>
        <w:tab/>
      </w:r>
      <w:r w:rsidRPr="00CA00DC">
        <w:t>so zreteľom na ministerské vyhlásenia ministrov zastupujúcich členov WTO z 10. decembra 2021 o znečistení plastmi a environmentálne udržateľnom obchode s plastmi, zo 14. decembra 2021 o obchode a environmentálnej udržateľnosti a zo 14. decembra 2021 o dotáciách na fosílne palivá,</w:t>
      </w:r>
    </w:p>
    <w:p w:rsidR="00E6661C" w:rsidRPr="00CA00DC" w:rsidRDefault="00E6661C" w:rsidP="00E6661C">
      <w:pPr>
        <w:pStyle w:val="NormalHanging12a"/>
        <w:rPr>
          <w:color w:val="000000"/>
        </w:rPr>
      </w:pPr>
      <w:r w:rsidRPr="00CA00DC">
        <w:rPr>
          <w:color w:val="000000"/>
        </w:rPr>
        <w:t>–</w:t>
      </w:r>
      <w:r w:rsidRPr="00CA00DC">
        <w:rPr>
          <w:color w:val="000000"/>
        </w:rPr>
        <w:tab/>
        <w:t>so zreteľom na ciele OSN v oblasti udržateľného rozvoja,</w:t>
      </w:r>
    </w:p>
    <w:p w:rsidR="00E6661C" w:rsidRPr="00CA00DC" w:rsidRDefault="00E6661C" w:rsidP="00E6661C">
      <w:pPr>
        <w:pStyle w:val="NormalHanging12a"/>
        <w:widowControl/>
        <w:rPr>
          <w:szCs w:val="24"/>
        </w:rPr>
      </w:pPr>
      <w:r w:rsidRPr="00CA00DC">
        <w:t>–</w:t>
      </w:r>
      <w:r w:rsidRPr="00CA00DC">
        <w:tab/>
        <w:t>so zreteľom na Parížsku dohodu prijatú na základe Rámcového dohovoru Organizácie Spojených národov o zmene klímy (ďalej len „UNFCCC“), ktorá je v platnosti od novembra 2016,</w:t>
      </w:r>
    </w:p>
    <w:p w:rsidR="00E6661C" w:rsidRPr="00CA00DC" w:rsidRDefault="00E6661C" w:rsidP="00E6661C">
      <w:pPr>
        <w:pStyle w:val="NormalHanging12a"/>
        <w:widowControl/>
        <w:rPr>
          <w:szCs w:val="24"/>
        </w:rPr>
      </w:pPr>
      <w:r w:rsidRPr="00CA00DC">
        <w:t>–</w:t>
      </w:r>
      <w:r w:rsidRPr="00CA00DC">
        <w:tab/>
        <w:t>so zreteľom na oznámenie Komisie z 18. februára 2021 s názvom Preskúmanie obchodnej politiky – otvorená, udržateľná a asertívna obchodná politika a na jeho prílohu s názvom Reformovanie WTO: smerom k udržateľnému a účinnému multilaterálnemu obchodnému systému (COM(2021)0066),</w:t>
      </w:r>
    </w:p>
    <w:p w:rsidR="00E6661C" w:rsidRPr="00CA00DC" w:rsidRDefault="00E6661C" w:rsidP="00E6661C">
      <w:pPr>
        <w:pStyle w:val="NormalHanging12a"/>
        <w:widowControl/>
        <w:rPr>
          <w:szCs w:val="24"/>
        </w:rPr>
      </w:pPr>
      <w:r w:rsidRPr="00CA00DC">
        <w:t>–</w:t>
      </w:r>
      <w:r w:rsidRPr="00CA00DC">
        <w:tab/>
        <w:t>so zreteľom na článok 132 ods. 2 rokovacieho poriadku,</w:t>
      </w:r>
    </w:p>
    <w:p w:rsidR="00E6661C" w:rsidRPr="00CA00DC" w:rsidRDefault="00E6661C" w:rsidP="00E6661C">
      <w:pPr>
        <w:pStyle w:val="NormalHanging12a"/>
        <w:widowControl/>
        <w:rPr>
          <w:szCs w:val="24"/>
        </w:rPr>
      </w:pPr>
      <w:r w:rsidRPr="00CA00DC">
        <w:t>–</w:t>
      </w:r>
      <w:r w:rsidRPr="00CA00DC">
        <w:tab/>
        <w:t>so zreteľom na návrh uznesenia Výboru pre medzinárodný obchod,</w:t>
      </w:r>
    </w:p>
    <w:p w:rsidR="00E6661C" w:rsidRPr="00CA00DC" w:rsidRDefault="00E6661C" w:rsidP="00E6661C">
      <w:pPr>
        <w:pStyle w:val="NormalHanging12a"/>
      </w:pPr>
      <w:r w:rsidRPr="00CA00DC">
        <w:t>A.</w:t>
      </w:r>
      <w:r w:rsidRPr="00CA00DC">
        <w:tab/>
        <w:t xml:space="preserve">keďže WTO bola vytvorená s cieľom ďalej liberalizovať obchod s tovarom a službami, posilniť </w:t>
      </w:r>
      <w:proofErr w:type="spellStart"/>
      <w:r w:rsidRPr="00CA00DC">
        <w:t>multilateralizmus</w:t>
      </w:r>
      <w:proofErr w:type="spellEnd"/>
      <w:r w:rsidRPr="00CA00DC">
        <w:t xml:space="preserve"> a podporiť spravodlivý, otvorený, </w:t>
      </w:r>
      <w:proofErr w:type="spellStart"/>
      <w:r w:rsidRPr="00CA00DC">
        <w:t>inkluzívny</w:t>
      </w:r>
      <w:proofErr w:type="spellEnd"/>
      <w:r w:rsidRPr="00CA00DC">
        <w:t>, nediskriminačný multilaterálny obchodný systém založený na pravidlách s cieľom zlepšiť blahobyt ľudí na celom svete; keďže celkovým cieľom obchodnej politiky EÚ je prispievať k harmonickému rozvoju svetového obchodu, k postupnému odstraňovaniu obmedzení v medzinárodnom obchode a v oblasti priamych zahraničných investícií, ako aj k znižovaniu colných a iných prekážok, ako aj k zabezpečeniu blahobytu ľudí; keďže obchod je životne dôležitý a kľúčový nástroj na podporu a doplnenie úsilia o presadzovanie udržateľného rastu a zlepšovanie životnej úrovne, pričom zabezpečuje plnú a kvalitnejšiu zamestnanosť a veľký a neprestajne rastúci objem reálneho príjmu v súlade s cieľom udržateľného rozvoja, pričom sa usiluje chrániť a zachovávať životné prostredie, ako aj zlepšovať prostriedky na tento účel spôsobom, ktorý je v súlade s ich príslušnými potrebami a záujmami na rôznych úrovniach hospodárskeho rozvoja;</w:t>
      </w:r>
    </w:p>
    <w:p w:rsidR="00E6661C" w:rsidRPr="00CA00DC" w:rsidRDefault="00E6661C" w:rsidP="00E6661C">
      <w:pPr>
        <w:pStyle w:val="NormalHanging12a"/>
      </w:pPr>
      <w:r w:rsidRPr="00CA00DC">
        <w:t>B.</w:t>
      </w:r>
      <w:r w:rsidRPr="00CA00DC">
        <w:tab/>
        <w:t xml:space="preserve">keďže silný, otvorený a </w:t>
      </w:r>
      <w:proofErr w:type="spellStart"/>
      <w:r w:rsidRPr="00CA00DC">
        <w:t>inkluzívny</w:t>
      </w:r>
      <w:proofErr w:type="spellEnd"/>
      <w:r w:rsidRPr="00CA00DC">
        <w:t xml:space="preserve"> multilaterálny obchodný systém by mal zohrávať ešte významnejšiu úlohu pri dosahovaní globálnych cieľov v oblasti zmeny klímy a dosiahnutia nulových čistých emisií, napríklad prostredníctvom výmeny tovaru, služieb a postupov nevyhnutných pre technológie čistej energie a obehové hospodárstvo;</w:t>
      </w:r>
    </w:p>
    <w:p w:rsidR="00E6661C" w:rsidRPr="00CA00DC" w:rsidRDefault="00E6661C" w:rsidP="00E6661C">
      <w:pPr>
        <w:pStyle w:val="NormalHanging12a"/>
      </w:pPr>
      <w:r w:rsidRPr="00CA00DC">
        <w:t>C.</w:t>
      </w:r>
      <w:r w:rsidRPr="00CA00DC">
        <w:tab/>
        <w:t xml:space="preserve">keďže multilaterálny obchodný systém založený na pravidlách je v súčasnosti pod veľkým tlakom, podlieha geopolitickému napätiu spôsobenému niektorými členmi WTO a nimi prijatými jednostrannými opatreniami, ako aj neodôvodnenému spoliehaniu sa na bezpečnostnú výnimku zo Všeobecnej dohody o clách a obchode (GATT) zo strany niektorých jej členov, čo už vedie k roztrieštenejšiemu a menej predvídateľnému kontextu obchodnej politiky; keďže 75 % obchodu sa stále uskutočňuje na základe sadzby podľa doložky najvyšších výhod, čo potvrdzuje, že </w:t>
      </w:r>
      <w:r w:rsidRPr="00CA00DC">
        <w:lastRenderedPageBreak/>
        <w:t>WTO je základom svetového hospodárstva; keďže výsledok 12. Konferencie ministrov ukázal, že WTO môže stále uzatvárať multilaterálne dohody a reagovať na núdzové situácie;</w:t>
      </w:r>
    </w:p>
    <w:p w:rsidR="00E6661C" w:rsidRPr="00CA00DC" w:rsidRDefault="00E6661C" w:rsidP="00E6661C">
      <w:pPr>
        <w:pStyle w:val="NormalHanging12a"/>
      </w:pPr>
      <w:r w:rsidRPr="00CA00DC">
        <w:t>D.</w:t>
      </w:r>
      <w:r w:rsidRPr="00CA00DC">
        <w:tab/>
        <w:t>keďže Dohoda WTO o rybolovných dotáciách dohodnutá na 12. Konferencii ministrov je vôbec prvou multilaterálnou obchodnou dohodou, ktorej jadrom je environmentálna udržateľnosť, ktorou sa stanovuje záväzný súbor globálnych pravidiel, ktoré pomôžu obmedziť škodlivé dotácie v odhadovanej výške 22 miliárd USD ročne, ktoré vlády poskytujú odvetviu rybolovu, ako sa stanovuje v cieli udržateľného rozvoja č. 14.6; keďže táto dohoda zatiaľ neobsahuje pravidlá týkajúce sa rybolovných dotácií, ktoré prispievajú k nadmernej kapacite a nadmernému rybolovu, ktoré predstavujú viac než polovicu všetkých rybolovných dotácií, o ktorých stále prebiehajú rokovania;</w:t>
      </w:r>
    </w:p>
    <w:p w:rsidR="00E6661C" w:rsidRPr="00CA00DC" w:rsidRDefault="00E6661C" w:rsidP="00E6661C">
      <w:pPr>
        <w:pStyle w:val="NormalHanging12a"/>
      </w:pPr>
      <w:r w:rsidRPr="00CA00DC">
        <w:t>E.</w:t>
      </w:r>
      <w:r w:rsidRPr="00CA00DC">
        <w:tab/>
        <w:t xml:space="preserve">keďže na 12. Konferencii ministrov WTO bolo 17. júna 2022 prijaté rozhodnutie, ktorým sa v rámci Dohody WTO o obchodných aspektoch práv duševného vlastníctva (TRIPS) poskytuje flexibilita s cieľom umožniť výrobu a dodávky vakcín na COVID-19, pričom sa odložilo rozhodnutie o rozšírení rozsahu týchto možností flexibility na </w:t>
      </w:r>
      <w:proofErr w:type="spellStart"/>
      <w:r w:rsidRPr="00CA00DC">
        <w:t>terapeutiká</w:t>
      </w:r>
      <w:proofErr w:type="spellEnd"/>
      <w:r w:rsidRPr="00CA00DC">
        <w:t xml:space="preserve"> a </w:t>
      </w:r>
      <w:proofErr w:type="spellStart"/>
      <w:r w:rsidRPr="00CA00DC">
        <w:t>diagnostiká</w:t>
      </w:r>
      <w:proofErr w:type="spellEnd"/>
      <w:r w:rsidRPr="00CA00DC">
        <w:t xml:space="preserve"> na ochorenie COVID-19; keďže Rada WTO pre TRIPS vedie rokovania o predĺžení výnimky z dohody TRIPS;</w:t>
      </w:r>
    </w:p>
    <w:p w:rsidR="00E6661C" w:rsidRPr="00CA00DC" w:rsidRDefault="00E6661C" w:rsidP="00E6661C">
      <w:pPr>
        <w:pStyle w:val="NormalHanging12a"/>
      </w:pPr>
      <w:r w:rsidRPr="00CA00DC">
        <w:t>F.</w:t>
      </w:r>
      <w:r w:rsidRPr="00CA00DC">
        <w:tab/>
        <w:t>keďže potravinová bezpečnosť je naďalej výzvou, keďže v roku 2022 bolo 258 miliónov ľudí v krízovej alebo horšej miere akútnej potravinovej neistoty, pričom v roku 2021 ich bolo 193 miliónov; keďže v Dohode WTO o poľnohospodárstve v rámci Uruguajského kola sa výslovne uznáva dôležitosť zohľadnenia potravinovej bezpečnosti v prebiehajúcich rokovaniach; keďže obchod má potenciál zlepšiť dostupnosť potravín v regiónoch, kde je obmedzená, a môže tiež prispieť k zlepšeniu ekonomického prístupu k potravinám vytvorením pracovných príležitostí a zvýšením príjmov;</w:t>
      </w:r>
    </w:p>
    <w:p w:rsidR="00E6661C" w:rsidRPr="00CA00DC" w:rsidRDefault="00E6661C" w:rsidP="00E6661C">
      <w:pPr>
        <w:pStyle w:val="NormalHanging12a"/>
      </w:pPr>
      <w:r w:rsidRPr="00CA00DC">
        <w:t>G.</w:t>
      </w:r>
      <w:r w:rsidRPr="00CA00DC">
        <w:tab/>
        <w:t>keďže členovia WTO preukázali svoj záväzok riešiť nedostatok potravín a zabezpečiť núdzovú potravinovú pomoc pre najzraniteľnejšie skupiny, a to v ministerskom vyhlásení o núdzovej reakcii na potravinovú neistotu, ako aj v ministerskom rozhodnutí o vyňatí humanitárnych nákupov potravín v rámci Svetového potravinového programu (WFP) zo zákazov alebo z obmedzení vývozu, ktoré boli schválené na 12. Konferencii ministrov;</w:t>
      </w:r>
    </w:p>
    <w:p w:rsidR="00E6661C" w:rsidRPr="00CA00DC" w:rsidRDefault="00E6661C" w:rsidP="00E6661C">
      <w:pPr>
        <w:pStyle w:val="NormalHanging12a"/>
      </w:pPr>
      <w:r w:rsidRPr="00CA00DC">
        <w:t>H.</w:t>
      </w:r>
      <w:r w:rsidRPr="00CA00DC">
        <w:tab/>
        <w:t>keďže udržateľný obchod môže pomôcť zmierniť zmenu klímy a bojovať proti nej;</w:t>
      </w:r>
    </w:p>
    <w:p w:rsidR="00E6661C" w:rsidRPr="00CA00DC" w:rsidRDefault="00E6661C" w:rsidP="00E6661C">
      <w:pPr>
        <w:pStyle w:val="NormalHanging12a"/>
      </w:pPr>
      <w:r w:rsidRPr="00CA00DC">
        <w:t>I.</w:t>
      </w:r>
      <w:r w:rsidRPr="00CA00DC">
        <w:tab/>
        <w:t>keďže od 11. decembra 2019 už Odvolací orgán WTO nie je funkčný, čo prinieslo zastavenie funkčnej, nezávislej a nestrannej fázy odvolania; keďže na 12. Konferencii ministrov sa členovia WTO zaviazali viesť diskusie s cieľom zabezpečiť, aby bol do roku 2024 prístupný pre všetkých členov WTO plne a riadne fungujúci systém urovnávania sporov;</w:t>
      </w:r>
    </w:p>
    <w:p w:rsidR="00E6661C" w:rsidRPr="00CA00DC" w:rsidRDefault="00E6661C" w:rsidP="00E6661C">
      <w:pPr>
        <w:pStyle w:val="NormalHanging12a"/>
      </w:pPr>
      <w:r w:rsidRPr="00CA00DC">
        <w:t>J.</w:t>
      </w:r>
      <w:r w:rsidRPr="00CA00DC">
        <w:tab/>
        <w:t xml:space="preserve">keďže Európsky parlament spolu s </w:t>
      </w:r>
      <w:proofErr w:type="spellStart"/>
      <w:r w:rsidRPr="00CA00DC">
        <w:t>Medziparlamentnou</w:t>
      </w:r>
      <w:proofErr w:type="spellEnd"/>
      <w:r w:rsidRPr="00CA00DC">
        <w:t xml:space="preserve"> úniou zohráva už viac ako 20 rokov kľúčovú úlohu pri vytváraní parlamentného rozmeru WTO prostredníctvom Parlamentnej konferencie o WTO;</w:t>
      </w:r>
    </w:p>
    <w:p w:rsidR="00E6661C" w:rsidRPr="00CA00DC" w:rsidRDefault="00E6661C" w:rsidP="00E6661C">
      <w:pPr>
        <w:pStyle w:val="NormalHanging12a"/>
      </w:pPr>
      <w:r w:rsidRPr="00CA00DC">
        <w:t>K.</w:t>
      </w:r>
      <w:r w:rsidRPr="00CA00DC">
        <w:tab/>
        <w:t>keďže 13. Konferencia ministrov WTO (MC13) sa uskutoční 26. až 29. februára 2024 v Abú Zabí v Spojených arabských emirátoch;</w:t>
      </w:r>
    </w:p>
    <w:p w:rsidR="00E6661C" w:rsidRPr="00CA00DC" w:rsidRDefault="00E6661C" w:rsidP="00E6661C">
      <w:pPr>
        <w:pStyle w:val="NormalHanging12a"/>
      </w:pPr>
      <w:r w:rsidRPr="00CA00DC">
        <w:t>1.</w:t>
      </w:r>
      <w:r w:rsidRPr="00CA00DC">
        <w:tab/>
        <w:t xml:space="preserve">opakuje svoje plné odhodlanie presadzovať trvalú hodnotu </w:t>
      </w:r>
      <w:proofErr w:type="spellStart"/>
      <w:r w:rsidRPr="00CA00DC">
        <w:t>multilateralizmu</w:t>
      </w:r>
      <w:proofErr w:type="spellEnd"/>
      <w:r w:rsidRPr="00CA00DC">
        <w:t xml:space="preserve"> a </w:t>
      </w:r>
      <w:r w:rsidRPr="00CA00DC">
        <w:lastRenderedPageBreak/>
        <w:t>zdôrazňuje, že je nevyhnutný modernizovaný multilaterálny systém na riadenie obchodu; požaduje obchodnú agendu, ktorej základom bude spravodlivý obchod založený na pravidlách v prospech všetkých a ktorá prispeje k udržateľnému hospodárskemu rozvoju, nad rámec vymedzenia rastu DPH, a prosperite, čo povedie k posilneniu mieru a bezpečnosti; zdôrazňuje, že WTO by mala podporovať plnenie cieľov udržateľného rozvoja, zdravotných, sociálnych, environmentálnych a ľudských práv a zabezpečenia toho, aby multilaterálne dohodnuté a harmonizované pravidlá uplatňovali všetci;</w:t>
      </w:r>
    </w:p>
    <w:p w:rsidR="00E6661C" w:rsidRPr="00CA00DC" w:rsidRDefault="00E6661C" w:rsidP="00E6661C">
      <w:pPr>
        <w:pStyle w:val="NormalHanging12a"/>
      </w:pPr>
      <w:r w:rsidRPr="00CA00DC">
        <w:t>2.</w:t>
      </w:r>
      <w:r w:rsidRPr="00CA00DC">
        <w:tab/>
        <w:t>naliehavo vyzýva všetkých členov WTO, aby sa zaviazali k úspešnému výsledku 13. Konferencie ministrov; domnieva sa, že 13. Konferencia ministrov by mala byť východiskovým bodom na napredovanie a modernizáciu WTO, aby sa zabezpečilo, že môže zohrávať úlohu pri riešení výziev 21. storočia vrátane problémov, akými sú zmena klímy, potravinová bezpečnosť, strata biodiverzity, zdravie, udržateľnosť a odstránenie chudoby; naliehavo vyzýva všetkých členov WTO, aby zintenzívnili svoje úsilie zamerať sa na konkrétne výsledky, ktoré preukážu, že WTO dokáže riešiť súčasné výzvy; víta usmernenia zo samitu vyšších úradníkov, ktorý sa konal 22. a 23. októbra 2023; žiada najmä členov WTO, aby uzavreli druhú fázu multilaterálnej Dohody o rybolovných dotáciách a prekonali zostávajúce prekážky, aby bolo možné konečne prijať balík inštitucionálnych reforiem vrátane rozhodnutia, ktoré by viedlo k plne funkčnému systému urovnávania sporov; opakuje, že je potrebné ďalej posilňovať úlohu sekretariátu WTO;</w:t>
      </w:r>
    </w:p>
    <w:p w:rsidR="00E6661C" w:rsidRPr="00CA00DC" w:rsidRDefault="00E6661C" w:rsidP="00E6661C">
      <w:pPr>
        <w:pStyle w:val="NormalHanging12a"/>
      </w:pPr>
      <w:r w:rsidRPr="00CA00DC">
        <w:t>3.</w:t>
      </w:r>
      <w:r w:rsidRPr="00CA00DC">
        <w:tab/>
        <w:t xml:space="preserve">domnieva sa, že teraz je naliehavo potrebné pristúpiť k zásadnej reforme WTO a že by sa to malo odraziť vo výsledku 13. Konferencie ministrov; víta všetku prácu, ktorá bola v tejto súvislosti vykonaná od poslednej Konferencie ministrov; vyzýva členov WTO, aby prijali komplexný balík, v ktorom sa preskúmajú funkcie WTO v oblasti monitorovania, vyjednávania, </w:t>
      </w:r>
      <w:proofErr w:type="spellStart"/>
      <w:r w:rsidRPr="00CA00DC">
        <w:t>prejednávania</w:t>
      </w:r>
      <w:proofErr w:type="spellEnd"/>
      <w:r w:rsidRPr="00CA00DC">
        <w:t xml:space="preserve"> a urovnávania sporov, v ktorom by sa náležitá pozornosť mala venovať aj parlamentnému rozmeru WTO s cieľom zvýšiť účinnosť, </w:t>
      </w:r>
      <w:proofErr w:type="spellStart"/>
      <w:r w:rsidRPr="00CA00DC">
        <w:t>inkluzívnosť</w:t>
      </w:r>
      <w:proofErr w:type="spellEnd"/>
      <w:r w:rsidRPr="00CA00DC">
        <w:t>, transparentnosť, dôveryhodnosť a legitimitu WTO;</w:t>
      </w:r>
    </w:p>
    <w:p w:rsidR="00E6661C" w:rsidRPr="00CA00DC" w:rsidRDefault="00E6661C" w:rsidP="00E6661C">
      <w:pPr>
        <w:pStyle w:val="NormalHanging12a"/>
        <w:rPr>
          <w:szCs w:val="24"/>
        </w:rPr>
      </w:pPr>
      <w:r w:rsidRPr="00CA00DC">
        <w:t>4.</w:t>
      </w:r>
      <w:r w:rsidRPr="00CA00DC">
        <w:tab/>
        <w:t xml:space="preserve">vyzýva na silnejšiu a ešte </w:t>
      </w:r>
      <w:proofErr w:type="spellStart"/>
      <w:r w:rsidRPr="00CA00DC">
        <w:t>konštruktívnejšiu</w:t>
      </w:r>
      <w:proofErr w:type="spellEnd"/>
      <w:r w:rsidRPr="00CA00DC">
        <w:t xml:space="preserve"> angažovanosť všetkých členov WTO s cieľom čo najrýchlejšie obnoviť plne funkčný systém urovnávania sporov, ktorý okrem iného rieši nadmernú dĺžku postupov; oceňuje prácu sprostredkovateľa pri riadení procesu, ktorý by mal viesť ku konsolidovanému návrhu textu, ktorý sa má predložiť na 13. Konferencii ministrov; vyjadruje však poľutovanie nad tým, že doteraz nebol dosiahnutý žiadny významný pokrok; vyzýva členov, aby sa zapojili do konštruktívnych a transparentných diskusií, aby na 13. Konferencii ministrov dosiahli dohodu o systéme urovnávania sporov; pripomína, že záväzný, dvojstupňový a nezávislý proces by mal zostať hlavným cieľom;</w:t>
      </w:r>
    </w:p>
    <w:p w:rsidR="00E6661C" w:rsidRPr="00CA00DC" w:rsidRDefault="00E6661C" w:rsidP="00E6661C">
      <w:pPr>
        <w:pStyle w:val="NormalHanging12a"/>
        <w:rPr>
          <w:szCs w:val="24"/>
        </w:rPr>
      </w:pPr>
      <w:r w:rsidRPr="00CA00DC">
        <w:t>5.</w:t>
      </w:r>
      <w:r w:rsidRPr="00CA00DC">
        <w:tab/>
        <w:t>s cieľom preklenúť čas, kým nebude opäť fungovať plne funkčný orgán na urovnávanie sporov na úrovni WTO, vyzýva členov, aby zvážili pristúpenie k viacstrannej dočasnej dohode o rozhodcovskom konaní o odvolaní (MPIA) s cieľom preukázať svoj záväzok k spravodlivému a fungujúcemu systému urovnávania sporov;</w:t>
      </w:r>
    </w:p>
    <w:p w:rsidR="00E6661C" w:rsidRPr="00CA00DC" w:rsidRDefault="00E6661C" w:rsidP="00E6661C">
      <w:pPr>
        <w:pStyle w:val="NormalHanging12a"/>
      </w:pPr>
      <w:r w:rsidRPr="00CA00DC">
        <w:t>6.</w:t>
      </w:r>
      <w:r w:rsidRPr="00CA00DC">
        <w:tab/>
        <w:t xml:space="preserve">naliehavo vyzýva všetkých členov WTO, ktorí ešte neratifikovali Dohodu WTO o rybolovných dotáciách, aby ju urýchlene ratifikovali, aby tak dohoda nadobudla platnosť čo najskôr, čo si vyžaduje ratifikáciu dvoma tretinami členov; zdôrazňuje zásadný význam rýchleho dosiahnutia dohody aj o pravidlách týkajúcich sa rybolovných dotácií, ktoré prispievajú k nadmernej kapacite a nadmernému rybolovu, s </w:t>
      </w:r>
      <w:r w:rsidRPr="00CA00DC">
        <w:lastRenderedPageBreak/>
        <w:t>cieľom zabrániť vyčerpaniu morských biologických zdrojov a umožniť ich udržateľné riadenie; pri rešpektovaní potrieb osobitného a rozdielneho zaobchádzania v súlade s cieľom udržateľného rozvoja č. 14.6;</w:t>
      </w:r>
    </w:p>
    <w:p w:rsidR="00E6661C" w:rsidRPr="00CA00DC" w:rsidRDefault="00E6661C" w:rsidP="00E6661C">
      <w:pPr>
        <w:pStyle w:val="NormalHanging12a"/>
      </w:pPr>
      <w:r w:rsidRPr="00CA00DC">
        <w:t>7.</w:t>
      </w:r>
      <w:r w:rsidRPr="00CA00DC">
        <w:tab/>
        <w:t xml:space="preserve">zdôrazňuje, že je potrebné začleniť rozvojový rozmer WTO, a to aj prostredníctvom reformného procesu WTO a prostredníctvom lepšieho prispôsobenia zásady osobitného a diferencovaného zaobchádzania plneniu potrieb rozvojových krajín; vyjadruje poľutovanie nad tým, že WTO ešte v plnej miere nesplnila svoj rozvojový program z Dauhy; víta už prijaté rozhodnutie o rozšírení podporných opatrení na pomoc najmenej rozvinutým krajinám na ceste k ukončeniu štatútu najmenej rozvinutých krajín s cieľom poskytnúť bezproblémové a udržateľné prechodné obdobie na zrušenie obchodných preferencií; opakuje výzvu na prehodnotenie a revíziu mechanizmu osobitného a diferencovaného zaobchádzania s náležitým zapojením všetkých členov WTO, aby lepšie odrážal ukazovatele ľudského rozvoja a zároveň chránil politický priestor na riešenie nekalého obchodu, a preto vyzýva členov WTO, aby tento systém zrevidovali; zdôrazňuje však, že </w:t>
      </w:r>
      <w:proofErr w:type="spellStart"/>
      <w:r w:rsidRPr="00CA00DC">
        <w:t>sebapresadzovanie</w:t>
      </w:r>
      <w:proofErr w:type="spellEnd"/>
      <w:r w:rsidRPr="00CA00DC">
        <w:t xml:space="preserve"> statusu rozvoja ako jediného kritéria by mohlo viesť k nekalému obchodu;</w:t>
      </w:r>
    </w:p>
    <w:p w:rsidR="00E6661C" w:rsidRPr="00CA00DC" w:rsidRDefault="00E6661C" w:rsidP="00E6661C">
      <w:pPr>
        <w:pStyle w:val="NormalHanging12a"/>
      </w:pPr>
      <w:r w:rsidRPr="00CA00DC">
        <w:t>8.</w:t>
      </w:r>
      <w:r w:rsidRPr="00CA00DC">
        <w:tab/>
        <w:t xml:space="preserve">zdôrazňuje potrebu oživiť diskusie o štátnej podpore priemyselných odvetví v rámci WTO vrátane aktualizácie Dohody o subvenciách a vyrovnávacích </w:t>
      </w:r>
      <w:proofErr w:type="spellStart"/>
      <w:r w:rsidRPr="00CA00DC">
        <w:t>opatreniachs</w:t>
      </w:r>
      <w:proofErr w:type="spellEnd"/>
      <w:r w:rsidRPr="00CA00DC">
        <w:t xml:space="preserve"> cieľom zvýšiť transparentnosť a prispôsobiť súbor pravidiel WTO o subvenciách, a tak reagovať na súčasné výzvy, ako napríklad zmenu klímy a riešenie nekalých praktík určitých členov WTO, a účinne riešiť negatívne účinky presahovania, ako je nadmerná kapacita a uhlíkovo náročné dodávateľské reťazce; zastáva názor, že 13. Konferencia ministrov by mala začať časovo obmedzený pracovný program, aby sa umožnilo rokovanie o štátnej intervencii na podporu priemyselných odvetví s cieľom poskytnúť odporúčania pre 14. Konferenciu ministrov;</w:t>
      </w:r>
    </w:p>
    <w:p w:rsidR="00E6661C" w:rsidRPr="00CA00DC" w:rsidRDefault="00E6661C" w:rsidP="00E6661C">
      <w:pPr>
        <w:pStyle w:val="NormalHanging12a"/>
      </w:pPr>
      <w:r w:rsidRPr="00CA00DC">
        <w:t>9.</w:t>
      </w:r>
      <w:r w:rsidRPr="00CA00DC">
        <w:tab/>
        <w:t>zdôrazňuje potrebu dosiahnuť pokrok v rokovaniach o poľnohospodárstve s cieľom dosiahnuť dôveryhodné výsledky v otázkach, ako je trvalé riešenie verejného skladového hospodárstva na účely potravinovej bezpečnosti, domáca podpora, prístup na trh, bavlna, vývozné obmedzenia a hospodárska súťaž v oblasti vývozu a posilnenie poľnohospodárskeho odvetvia s cieľom reagovať na súčasné výzvy vrátane živobytia na vidieku a environmentálnej udržateľnosti; zdôrazňuje, že je potrebné zabezpečiť spravodlivú hospodársku súťaž a rovnaké podmienky pre poľnohospodárov; vyzýva na lepšie zdieľanie informácií a transparentnosť poľnohospodárskych politík a aby sa na úrovni WTO podporila rozsiahlejšia výmena údajov o obchodovaní s komoditami a súkromných zásobách s Výborom pre svetovú potravinovú bezpečnosť; víta podpísanie memoranda o porozumení medzi WTO a FAO počas konferencie Organizácie Spojených národov o zmene klímy (COP 28) v roku 2023, ktorým sa posilní spolupráca okrem iného v oblasti poľnohospodárskej reformy, potravinovej bezpečnosti a zmeny klímy; zdôrazňuje, že EÚ by sa mala zasadzovať za prísnejšie kritériá udržateľnosti v súlade s cieľmi zelenej dohody;</w:t>
      </w:r>
    </w:p>
    <w:p w:rsidR="00E6661C" w:rsidRPr="00CA00DC" w:rsidRDefault="00E6661C" w:rsidP="00E6661C">
      <w:pPr>
        <w:pStyle w:val="NormalHanging12a"/>
      </w:pPr>
      <w:r w:rsidRPr="00CA00DC">
        <w:t>10.</w:t>
      </w:r>
      <w:r w:rsidRPr="00CA00DC">
        <w:tab/>
        <w:t>zdôrazňuje, že je potrebné dosiahnuť výsledok v oblasti potravinovej bezpečnosti vrátane konkrétnych opatrení na zvýšenie odolnosti najmenej rozvinutých krajín a rozvojových krajín, ktoré sú čistými dovozcami potravín, pri ich reakcii na akútnu potravinovú nestabilitu;</w:t>
      </w:r>
    </w:p>
    <w:p w:rsidR="00E6661C" w:rsidRPr="00CA00DC" w:rsidRDefault="00E6661C" w:rsidP="00E6661C">
      <w:pPr>
        <w:pStyle w:val="NormalHanging12a"/>
      </w:pPr>
      <w:r w:rsidRPr="00CA00DC">
        <w:t>11.</w:t>
      </w:r>
      <w:r w:rsidRPr="00CA00DC">
        <w:tab/>
        <w:t xml:space="preserve">očakáva, že v rámci reformy WTO sa vytvorí jednoduchšia cesta pre začlenenie otvorených viacstranných dohôd do multilaterálnej štruktúry s cieľom zabezpečiť </w:t>
      </w:r>
      <w:r w:rsidRPr="00CA00DC">
        <w:lastRenderedPageBreak/>
        <w:t>pokrok v oblastiach, ktoré nie sú dostatočne rozvinuté pre všetkých členov; opakovane preto zdôrazňuje svoju výzvu všetkým členom WTO, aby zvážili spôsob vytvorenia nového systému, s jasnými zásadami a minimálnym počtom členov, ktorí by sa mali podieľať na viacstrannej iniciatíve, a na tomto základe vytvorili jednoduchý mechanizmus, ktorý umožní začlenenie výsledných dohôd do štruktúry WTO;</w:t>
      </w:r>
    </w:p>
    <w:p w:rsidR="00E6661C" w:rsidRPr="00CA00DC" w:rsidRDefault="00E6661C" w:rsidP="00E6661C">
      <w:pPr>
        <w:pStyle w:val="NormalHanging12a"/>
      </w:pPr>
      <w:r w:rsidRPr="00CA00DC">
        <w:t>12.</w:t>
      </w:r>
      <w:r w:rsidRPr="00CA00DC">
        <w:tab/>
        <w:t>víta ukončenie rokovaní o dohode o uľahčení investovania pre rozvoj s cieľom vytvoriť spravodlivejšie, transparentnejšie, efektívnejšie a predvídateľnejšie prostredie na uľahčenie cezhraničných investícií a účasti rozvojových krajín na globálnych investičných tokoch; podporuje začlenenie tejto dohody do súboru pravidiel WTO podľa prílohy 4 o viacstranných obchodných dohodách, ako sa stanovuje v článku X.9 Dohody o založení WTO, a domnieva sa, že to môže slúžiť ako vzor pre budúce viacstranné dohody;</w:t>
      </w:r>
    </w:p>
    <w:p w:rsidR="00E6661C" w:rsidRPr="00CA00DC" w:rsidRDefault="00E6661C" w:rsidP="00E6661C">
      <w:pPr>
        <w:pStyle w:val="NormalHanging12a"/>
      </w:pPr>
      <w:r w:rsidRPr="00CA00DC">
        <w:t>13.</w:t>
      </w:r>
      <w:r w:rsidRPr="00CA00DC">
        <w:tab/>
        <w:t>zdôrazňuje význam multilaterálnych a viacstranných pravidiel digitálneho obchodu, keďže v súčasnosti predstavuje 25 % celkového obchodu; dôrazne podporuje úsilie o nájdenie spravodlivého a trvalého riešenia pre elektronické prenosy v súvislosti s moratóriom, najmä s ohľadom na negatívne účinky neobnovenia moratória, najmä na ženy a na malé a stredné podniky; víta a podporuje širokú členskú základňu, ambiciózny program rokovaní a pokrok, ktorý sa doteraz dosiahol v rámci viacstranných rokovaní WTO o elektronickom obchode; zdôrazňuje význam voľného toku elektronických prenosov, ktoré majú zásadný význam pre digitálny obchod a znižujú obchodné náklady, zvyšujú blahobyt spotrebiteľov, ako aj konkurencieschopnosť vývozu a prinášajú významné výhody, najmä pre MSP a rozvojové krajiny; pripomína svoju pozíciu, že potenciálna dohoda musí zaručiť spravodlivý prístup na trh pre tovar a služby súvisiace s elektronickým obchodom v tretích krajinách, ako aj ochranu práv spotrebiteľov a pracovných práv a uľahčiť inováciu podnikov; zdôrazňuje, že potenciálna dohoda o elektronickom obchode musí byť v súlade s existujúcimi aj budúcimi právnymi predpismi EÚ a musí poskytovať dostatočný politický priestor na digitálnu reguláciu, najmä pokiaľ ide o otázky, ako sú toky údajov, lokalizácia údajov ochrana údajov, umelá inteligencia a zdrojový kód; vyzýva všetkých partnerov, aby sa v plnej miere zapojili do úsilia o ukončenie rokovaní do konania 13. Konferencie ministrov a toto úsilie podporovali; zdôrazňuje potrebu preklenúť digitálnu priepasť prostredníctvom výmeny najlepších postupov a posilnenia budovania kapacít;</w:t>
      </w:r>
    </w:p>
    <w:p w:rsidR="00E6661C" w:rsidRPr="00CA00DC" w:rsidRDefault="00E6661C" w:rsidP="00E6661C">
      <w:pPr>
        <w:pStyle w:val="NormalHanging12a"/>
      </w:pPr>
      <w:r w:rsidRPr="00CA00DC">
        <w:t>14.</w:t>
      </w:r>
      <w:r w:rsidRPr="00CA00DC">
        <w:tab/>
        <w:t xml:space="preserve">pripomína záväzok WTO voči </w:t>
      </w:r>
      <w:proofErr w:type="spellStart"/>
      <w:r w:rsidRPr="00CA00DC">
        <w:t>mikropodnikom</w:t>
      </w:r>
      <w:proofErr w:type="spellEnd"/>
      <w:r w:rsidRPr="00CA00DC">
        <w:t xml:space="preserve"> a MSP a pripomína, že </w:t>
      </w:r>
      <w:proofErr w:type="spellStart"/>
      <w:r w:rsidRPr="00CA00DC">
        <w:t>mikropodniky</w:t>
      </w:r>
      <w:proofErr w:type="spellEnd"/>
      <w:r w:rsidRPr="00CA00DC">
        <w:t xml:space="preserve"> a MSP tvoria podstatnú časť svetového hospodárstva a majú nevyužitý potenciál v globálnych hodnotových reťazcoch; naliehavo vyzýva členov, aby naďalej hľadali riešenia, ktoré by </w:t>
      </w:r>
      <w:proofErr w:type="spellStart"/>
      <w:r w:rsidRPr="00CA00DC">
        <w:t>mikropodnikom</w:t>
      </w:r>
      <w:proofErr w:type="spellEnd"/>
      <w:r w:rsidRPr="00CA00DC">
        <w:t xml:space="preserve"> a MSP pomohli zvýšiť svoju účasť na svetovom obchode, pričom sa zohľadnia ich osobitné potreby;</w:t>
      </w:r>
    </w:p>
    <w:p w:rsidR="00E6661C" w:rsidRPr="00CA00DC" w:rsidRDefault="00E6661C" w:rsidP="00E6661C">
      <w:pPr>
        <w:pStyle w:val="NormalHanging12a"/>
      </w:pPr>
      <w:r w:rsidRPr="00CA00DC">
        <w:t>15.</w:t>
      </w:r>
      <w:r w:rsidRPr="00CA00DC">
        <w:tab/>
        <w:t xml:space="preserve">domnieva sa, že výsledkom 13. Konferencie ministrov by mal byť akčný program pre obchodnú politiku podporujúci ciele udržateľného rozvoja do roku 2030 a Parížsku dohodu; dôrazne nabáda členov WTO, aby zvážili všetky možné opatrenia s cieľom prispieť k obmedzeniu emisií skleníkových plynov v súlade s UNFCCC a so závermi 28. zasadnutia konferencie zmluvných strán, zlepšiť s Parížskou dohodou a klimatickú neutralitu a posilniť spoluprácu v rámci WTO, pokiaľ ide o opatrenia prijaté na vnútroštátnej úrovni; víta konštruktívne diskusie v rámci viacstranných iniciatív o reforme dotácií na fosílne palivá, dialógu o znečistení plastmi a štruktúrovaných diskusií o obchode a environmentálnej udržateľnosti (TESSD); vyzýva na obnovenie </w:t>
      </w:r>
      <w:r w:rsidRPr="00CA00DC">
        <w:lastRenderedPageBreak/>
        <w:t>rokovaní o dohode o environmentálnych tovaroch (EGA); vyzýva WTO, aby uľahčila výmenu informácií a spoluprácu medzi členmi WTO v oblasti metodík stanovovania cien uhlíka; zdôrazňuje potrebu napredovať v diskusii o službách a tovaroch, a to aj o procesoch a výrobných metódach, ktoré pomáhajú riešiť výzvy v oblasti životného prostredia a klímy; pripomína, že akékoľvek jednostranné opatrenia prijaté členmi musia byť v súlade s pravidlami WTO a rozhodnutie uplatniť výnimky GATT sa musí starostlivo zvážiť; naliehavo vyzýva EÚ, aby zvýšila informovanosť o svojich právnych predpisoch v oblasti udržateľnosti, ako je smernica o náležitej starostlivosti podnikov v oblasti udržateľnosti, mechanizmus uhlíkovej kompenzácie na hraniciach (CBAM), a</w:t>
      </w:r>
      <w:r w:rsidR="000F4BB1" w:rsidRPr="00CA00DC">
        <w:t> </w:t>
      </w:r>
      <w:r w:rsidRPr="00CA00DC">
        <w:t>nariadenie</w:t>
      </w:r>
      <w:r w:rsidR="000F4BB1" w:rsidRPr="00CA00DC">
        <w:t xml:space="preserve"> </w:t>
      </w:r>
      <w:r w:rsidRPr="00CA00DC">
        <w:t>o odlesňovaní a vysvetlila ich motiváciu s cieľom zabezpečiť, aby boli uznané ako skutočný a nediskriminačný pokus prispieť k plneniu globálnych environmentálnych cieľov a zvýšiť udržateľnosť obchodu, a to aj poskytovaním praktickejších informácií o tom, ako sa nariadenia uplatňujú v praxi; víta vôbec prvý „obchodný deň“ na 28. zasadnutí konferencie zmluvných strán a historický úspech na konferencii zmluvných strán, ktorý sa dosiahol v oblasti odklonu od fosílnych palív; očakáva, že rozhodnutie konferencie zmluvných strán sa premietne do práce WTO;</w:t>
      </w:r>
    </w:p>
    <w:p w:rsidR="00E6661C" w:rsidRPr="00CA00DC" w:rsidRDefault="00E6661C" w:rsidP="00E6661C">
      <w:pPr>
        <w:pStyle w:val="NormalHanging12a"/>
      </w:pPr>
      <w:r w:rsidRPr="00CA00DC">
        <w:t>16.</w:t>
      </w:r>
      <w:r w:rsidRPr="00CA00DC">
        <w:tab/>
        <w:t xml:space="preserve">opätovne poukazuje na prepojenie medzi rodovou rovnosťou a </w:t>
      </w:r>
      <w:proofErr w:type="spellStart"/>
      <w:r w:rsidRPr="00CA00DC">
        <w:t>inkluzívnym</w:t>
      </w:r>
      <w:proofErr w:type="spellEnd"/>
      <w:r w:rsidRPr="00CA00DC">
        <w:t xml:space="preserve"> rozvojom a zdôrazňuje, že posilnenie postavenia žien je zásadné z hľadiska odstránenia chudoby a že súbežné odstránenie prekážok brániacich zapojeniu žien do obchodu a riešenie nepriaznivých vplyvov súčasných obchodných pravidiel na ženy v ich rozmanitých úlohách má rozhodujúci význam pre hospodársky rozvoj; nabáda všetkých členov WTO, aby podpísali vyhlásenie o obchode a posilnení ekonomického postavenia žien prijaté v roku 2017 v Buenos Aires, a naliehavo vyzýva jeho signatárov, aby plnili svoje záväzky; víta zriadenie neformálnej pracovnej skupiny WTO pre obchod a rodové otázky; blahoželá WTO k zorganizovaniu Svetového kongresu obchodu o rodovej rovnosti v decembri 2022, ktorá bola prvou medzinárodnou výskumnou konferenciou o obchode a rodovej rovnosti;</w:t>
      </w:r>
    </w:p>
    <w:p w:rsidR="00E6661C" w:rsidRPr="00CA00DC" w:rsidRDefault="00E6661C" w:rsidP="00E6661C">
      <w:pPr>
        <w:pStyle w:val="NormalHanging12a"/>
      </w:pPr>
      <w:r w:rsidRPr="00CA00DC">
        <w:t>17.</w:t>
      </w:r>
      <w:r w:rsidRPr="00CA00DC">
        <w:tab/>
        <w:t xml:space="preserve">uznáva, že členovia WTO súhlasili s diskusiou o rozsahu rozhodnutia TRIPS, ktoré sa vzťahuje na diagnostiku a </w:t>
      </w:r>
      <w:proofErr w:type="spellStart"/>
      <w:r w:rsidRPr="00CA00DC">
        <w:t>terapeutiká</w:t>
      </w:r>
      <w:proofErr w:type="spellEnd"/>
      <w:r w:rsidRPr="00CA00DC">
        <w:t xml:space="preserve"> COVID-19; vyzýva členov WTO, aby prijali rozhodnutie na 13. Konferencii ministrov, pričom treba mať na pamäti stimuly na inovácie; vyzýva členov WTO, aby preskúmali svoje vnútroštátne právne predpisy a politiky s cieľom zabezpečiť úplné začlenenie všetkých príslušných flexibilných opatrení v oblasti duševného vlastníctva, ktoré chránia prístup k liekom;</w:t>
      </w:r>
    </w:p>
    <w:p w:rsidR="00E6661C" w:rsidRPr="00CA00DC" w:rsidRDefault="00E6661C" w:rsidP="00E6661C">
      <w:pPr>
        <w:pStyle w:val="NormalHanging12a"/>
      </w:pPr>
      <w:r w:rsidRPr="00CA00DC">
        <w:t>18.</w:t>
      </w:r>
      <w:r w:rsidRPr="00CA00DC">
        <w:tab/>
        <w:t xml:space="preserve">vyzýva Komisiu a Radu, aby zabezpečili, že </w:t>
      </w:r>
      <w:r w:rsidR="00E278C2" w:rsidRPr="00CA00DC">
        <w:t>Európsky p</w:t>
      </w:r>
      <w:r w:rsidRPr="00CA00DC">
        <w:t>arlament bude naďalej úzko zapojený do príprav 13. Konferencie ministrov a že bude bezodkladne informovaný o najnovšom vývoji a budú sa s ním viesť konzultácie počas Konferencie ministrov v roku 2024;</w:t>
      </w:r>
    </w:p>
    <w:p w:rsidR="00E6661C" w:rsidRPr="00CA00DC" w:rsidRDefault="00E6661C" w:rsidP="00E6661C">
      <w:pPr>
        <w:pStyle w:val="NormalHanging12a"/>
      </w:pPr>
      <w:r w:rsidRPr="00CA00DC">
        <w:t>19.</w:t>
      </w:r>
      <w:r w:rsidRPr="00CA00DC">
        <w:tab/>
        <w:t>vyzýva členov WTO, aby zabezpečili demokratickú legitimitu a transparentnosť posilnením parlamentného rozmeru WTO a parlamentnej konferencie; oceňuje významnú prácu spoločnej parlamentnej konferencie Európskeho parlamentu a </w:t>
      </w:r>
      <w:proofErr w:type="spellStart"/>
      <w:r w:rsidRPr="00CA00DC">
        <w:t>Medziparlamentnej</w:t>
      </w:r>
      <w:proofErr w:type="spellEnd"/>
      <w:r w:rsidRPr="00CA00DC">
        <w:t xml:space="preserve"> únie (IPU) o WTO; zdôrazňuje potrebu zabezpečiť, aby mali poslanci lepší prístup ku všetkým obchodným rokovaniam a aby boli zapojení do navrhovania a vykonávania rozhodnutí WTO; nabáda vedúcich predstaviteľov, aby podporili nový </w:t>
      </w:r>
      <w:proofErr w:type="spellStart"/>
      <w:r w:rsidRPr="00CA00DC">
        <w:t>naratív</w:t>
      </w:r>
      <w:proofErr w:type="spellEnd"/>
      <w:r w:rsidRPr="00CA00DC">
        <w:t xml:space="preserve"> týkajúci sa obchodu, v ktorom sa obchod považuje za podporujúci faktor, a nie za prekážku pri dosahovaní udržateľnosti, bezpečnosti a </w:t>
      </w:r>
      <w:proofErr w:type="spellStart"/>
      <w:r w:rsidRPr="00CA00DC">
        <w:t>inkluzívnosti</w:t>
      </w:r>
      <w:proofErr w:type="spellEnd"/>
      <w:r w:rsidRPr="00CA00DC">
        <w:t>;</w:t>
      </w:r>
    </w:p>
    <w:p w:rsidR="00E6661C" w:rsidRPr="00CA00DC" w:rsidRDefault="00E6661C" w:rsidP="00E6661C">
      <w:pPr>
        <w:pStyle w:val="NormalHanging12a"/>
      </w:pPr>
      <w:r w:rsidRPr="00CA00DC">
        <w:lastRenderedPageBreak/>
        <w:t>20.</w:t>
      </w:r>
      <w:r w:rsidRPr="00CA00DC">
        <w:tab/>
        <w:t>vyzýva členov WTO, aby zintenzívnili výmenu so všetkými zainteresovanými stranami vrátane občianskej spoločnosti, odborových zväzov a podnikateľských organizácií a aby posilnili spoluprácu s inými medzinárodnými organizáciami, ako je napríklad Medzinárodná organizácia práce a v širšom zmysle systém OSN; očakáva, že vedúci predstavitelia budú viac informovať na každej úrovni o výhodách obchodu založeného na pravidlách;</w:t>
      </w:r>
    </w:p>
    <w:p w:rsidR="00E6661C" w:rsidRPr="00CA00DC" w:rsidRDefault="00E6661C" w:rsidP="00E6661C">
      <w:pPr>
        <w:pStyle w:val="NormalHanging12a"/>
      </w:pPr>
      <w:r w:rsidRPr="00CA00DC">
        <w:t>21.</w:t>
      </w:r>
      <w:r w:rsidRPr="00CA00DC">
        <w:tab/>
        <w:t xml:space="preserve">poveruje svoju predsedníčku, aby postúpila toto uznesenie Rade, Komisii, vládam a parlamentom členských štátov, generálnej riaditeľke Svetovej obchodnej organizácie a </w:t>
      </w:r>
      <w:proofErr w:type="spellStart"/>
      <w:r w:rsidRPr="00CA00DC">
        <w:t>Medziparlamentnej</w:t>
      </w:r>
      <w:proofErr w:type="spellEnd"/>
      <w:r w:rsidRPr="00CA00DC">
        <w:t xml:space="preserve"> únii.</w:t>
      </w:r>
    </w:p>
    <w:sectPr w:rsidR="00E6661C" w:rsidRPr="00CA00DC" w:rsidSect="005402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447" w:rsidRPr="00540223" w:rsidRDefault="00B36447">
      <w:r w:rsidRPr="00540223">
        <w:separator/>
      </w:r>
    </w:p>
  </w:endnote>
  <w:endnote w:type="continuationSeparator" w:id="0">
    <w:p w:rsidR="00B36447" w:rsidRPr="00540223" w:rsidRDefault="00B36447">
      <w:r w:rsidRPr="005402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2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2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2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447" w:rsidRPr="00540223" w:rsidRDefault="00B36447">
      <w:r w:rsidRPr="00540223">
        <w:separator/>
      </w:r>
    </w:p>
  </w:footnote>
  <w:footnote w:type="continuationSeparator" w:id="0">
    <w:p w:rsidR="00B36447" w:rsidRPr="00540223" w:rsidRDefault="00B36447">
      <w:r w:rsidRPr="00540223">
        <w:continuationSeparator/>
      </w:r>
    </w:p>
  </w:footnote>
  <w:footnote w:id="1">
    <w:p w:rsidR="00E6661C" w:rsidRPr="00CA00DC" w:rsidRDefault="00E6661C" w:rsidP="00540223">
      <w:pPr>
        <w:pStyle w:val="FootnoteText"/>
        <w:ind w:left="567" w:hanging="567"/>
        <w:rPr>
          <w:rStyle w:val="FootnoteReference"/>
          <w:sz w:val="24"/>
          <w:vertAlign w:val="baseline"/>
          <w:lang w:val="sk-SK"/>
        </w:rPr>
      </w:pPr>
      <w:r w:rsidRPr="00540223">
        <w:rPr>
          <w:rStyle w:val="FootnoteReference"/>
          <w:sz w:val="24"/>
          <w:lang w:val="sk-SK"/>
        </w:rPr>
        <w:footnoteRef/>
      </w:r>
      <w:r w:rsidR="00540223" w:rsidRPr="00540223">
        <w:rPr>
          <w:sz w:val="24"/>
          <w:lang w:val="sk-SK"/>
        </w:rPr>
        <w:t xml:space="preserve"> </w:t>
      </w:r>
      <w:r w:rsidR="00540223" w:rsidRPr="00540223">
        <w:rPr>
          <w:sz w:val="24"/>
          <w:lang w:val="sk-SK"/>
        </w:rPr>
        <w:tab/>
      </w:r>
      <w:r w:rsidRPr="00CA00DC">
        <w:rPr>
          <w:rStyle w:val="FootnoteReference"/>
          <w:sz w:val="24"/>
          <w:vertAlign w:val="baseline"/>
          <w:lang w:val="sk-SK"/>
        </w:rPr>
        <w:t>Ministerské vyhlásenie z Dauhy (WT/MIN (01)/DEC/1) zo 14. novembra 2001</w:t>
      </w:r>
      <w:r w:rsidRPr="00677EBB">
        <w:rPr>
          <w:sz w:val="24"/>
          <w:lang w:val="sk-SK"/>
        </w:rPr>
        <w:t>.</w:t>
      </w:r>
    </w:p>
  </w:footnote>
  <w:footnote w:id="2">
    <w:p w:rsidR="00E6661C" w:rsidRPr="00CA00DC" w:rsidRDefault="00E6661C" w:rsidP="00540223">
      <w:pPr>
        <w:pStyle w:val="FootnoteText"/>
        <w:ind w:left="567" w:hanging="567"/>
        <w:rPr>
          <w:rStyle w:val="FootnoteReference"/>
          <w:sz w:val="24"/>
          <w:vertAlign w:val="baseline"/>
          <w:lang w:val="sk-SK"/>
        </w:rPr>
      </w:pPr>
      <w:r w:rsidRPr="00540223">
        <w:rPr>
          <w:rStyle w:val="FootnoteReference"/>
          <w:sz w:val="24"/>
          <w:lang w:val="sk-SK"/>
        </w:rPr>
        <w:footnoteRef/>
      </w:r>
      <w:r w:rsidR="00540223" w:rsidRPr="00540223">
        <w:rPr>
          <w:sz w:val="24"/>
          <w:lang w:val="sk-SK"/>
        </w:rPr>
        <w:t xml:space="preserve"> </w:t>
      </w:r>
      <w:r w:rsidR="00540223" w:rsidRPr="00540223">
        <w:rPr>
          <w:sz w:val="24"/>
          <w:lang w:val="sk-SK"/>
        </w:rPr>
        <w:tab/>
      </w:r>
      <w:r w:rsidRPr="00CA00DC">
        <w:rPr>
          <w:rStyle w:val="FootnoteReference"/>
          <w:sz w:val="24"/>
          <w:vertAlign w:val="baseline"/>
          <w:lang w:val="sk-SK"/>
        </w:rPr>
        <w:t>Ú. v. EÚ C 224, 8.6.2022, s. 89.</w:t>
      </w:r>
    </w:p>
  </w:footnote>
  <w:footnote w:id="3">
    <w:p w:rsidR="00E6661C" w:rsidRPr="00CA00DC" w:rsidRDefault="00E6661C" w:rsidP="00540223">
      <w:pPr>
        <w:pStyle w:val="FootnoteText"/>
        <w:ind w:left="567" w:hanging="567"/>
        <w:rPr>
          <w:rStyle w:val="FootnoteReference"/>
          <w:sz w:val="24"/>
          <w:vertAlign w:val="baseline"/>
          <w:lang w:val="sk-SK"/>
        </w:rPr>
      </w:pPr>
      <w:r w:rsidRPr="00540223">
        <w:rPr>
          <w:rStyle w:val="FootnoteReference"/>
          <w:sz w:val="24"/>
          <w:lang w:val="sk-SK"/>
        </w:rPr>
        <w:footnoteRef/>
      </w:r>
      <w:r w:rsidR="00540223" w:rsidRPr="00540223">
        <w:rPr>
          <w:sz w:val="24"/>
          <w:lang w:val="sk-SK"/>
        </w:rPr>
        <w:t xml:space="preserve"> </w:t>
      </w:r>
      <w:r w:rsidR="00540223" w:rsidRPr="00540223">
        <w:rPr>
          <w:sz w:val="24"/>
          <w:lang w:val="sk-SK"/>
        </w:rPr>
        <w:tab/>
      </w:r>
      <w:r w:rsidRPr="00CA00DC">
        <w:rPr>
          <w:rStyle w:val="FootnoteReference"/>
          <w:sz w:val="24"/>
          <w:vertAlign w:val="baseline"/>
          <w:lang w:val="sk-SK"/>
        </w:rPr>
        <w:t>Ú. v. EÚ C 363, 28.10.2020, s. 113.</w:t>
      </w:r>
    </w:p>
  </w:footnote>
  <w:footnote w:id="4">
    <w:p w:rsidR="00E6661C" w:rsidRPr="00CA00DC" w:rsidRDefault="00E6661C" w:rsidP="00540223">
      <w:pPr>
        <w:pStyle w:val="FootnoteText"/>
        <w:ind w:left="567" w:hanging="567"/>
        <w:rPr>
          <w:rStyle w:val="FootnoteReference"/>
          <w:sz w:val="24"/>
          <w:vertAlign w:val="baseline"/>
          <w:lang w:val="sk-SK"/>
        </w:rPr>
      </w:pPr>
      <w:r w:rsidRPr="00540223">
        <w:rPr>
          <w:rStyle w:val="FootnoteReference"/>
          <w:sz w:val="24"/>
          <w:lang w:val="sk-SK"/>
        </w:rPr>
        <w:footnoteRef/>
      </w:r>
      <w:r w:rsidR="00540223" w:rsidRPr="00540223">
        <w:rPr>
          <w:sz w:val="24"/>
          <w:lang w:val="sk-SK"/>
        </w:rPr>
        <w:t xml:space="preserve"> </w:t>
      </w:r>
      <w:r w:rsidR="00540223" w:rsidRPr="00540223">
        <w:rPr>
          <w:sz w:val="24"/>
          <w:lang w:val="sk-SK"/>
        </w:rPr>
        <w:tab/>
      </w:r>
      <w:r w:rsidRPr="00CA00DC">
        <w:rPr>
          <w:rStyle w:val="FootnoteReference"/>
          <w:sz w:val="24"/>
          <w:vertAlign w:val="baseline"/>
          <w:lang w:val="sk-SK"/>
        </w:rPr>
        <w:t>Ú. v. EÚ C 232, 16.6.2021, s. 62.</w:t>
      </w:r>
    </w:p>
  </w:footnote>
  <w:footnote w:id="5">
    <w:p w:rsidR="00E6661C" w:rsidRPr="00540223" w:rsidRDefault="00E6661C" w:rsidP="00540223">
      <w:pPr>
        <w:pStyle w:val="FootnoteText"/>
        <w:ind w:left="567" w:hanging="567"/>
        <w:rPr>
          <w:rStyle w:val="FootnoteReference"/>
          <w:sz w:val="24"/>
          <w:lang w:val="sk-SK"/>
        </w:rPr>
      </w:pPr>
      <w:r w:rsidRPr="00540223">
        <w:rPr>
          <w:rStyle w:val="FootnoteReference"/>
          <w:sz w:val="24"/>
          <w:lang w:val="sk-SK"/>
        </w:rPr>
        <w:footnoteRef/>
      </w:r>
      <w:r w:rsidR="00540223" w:rsidRPr="00540223">
        <w:rPr>
          <w:sz w:val="24"/>
          <w:lang w:val="sk-SK"/>
        </w:rPr>
        <w:t xml:space="preserve"> </w:t>
      </w:r>
      <w:r w:rsidR="00540223" w:rsidRPr="00540223">
        <w:rPr>
          <w:sz w:val="24"/>
          <w:lang w:val="sk-SK"/>
        </w:rPr>
        <w:tab/>
      </w:r>
      <w:hyperlink r:id="rId1" w:history="1">
        <w:r w:rsidRPr="00CA00DC">
          <w:rPr>
            <w:rStyle w:val="FootnoteReference"/>
            <w:sz w:val="24"/>
            <w:vertAlign w:val="baseline"/>
            <w:lang w:val="sk-SK"/>
          </w:rPr>
          <w:t>https://www.europarl.europa.eu/cmsdata/158345/outcome_document-final-e.pdf</w:t>
        </w:r>
      </w:hyperlink>
      <w:r w:rsidRPr="00677EBB">
        <w:rPr>
          <w:sz w:val="24"/>
          <w:lang w:val="sk-SK"/>
        </w:rPr>
        <w:t>.</w:t>
      </w:r>
    </w:p>
  </w:footnote>
  <w:footnote w:id="6">
    <w:p w:rsidR="00E6661C" w:rsidRPr="00540223" w:rsidRDefault="00E6661C" w:rsidP="00540223">
      <w:pPr>
        <w:pStyle w:val="FootnoteText"/>
        <w:ind w:left="567" w:hanging="567"/>
        <w:rPr>
          <w:sz w:val="24"/>
          <w:lang w:val="sk-SK"/>
        </w:rPr>
      </w:pPr>
      <w:r w:rsidRPr="00540223">
        <w:rPr>
          <w:rStyle w:val="FootnoteReference"/>
          <w:sz w:val="24"/>
          <w:lang w:val="sk-SK"/>
        </w:rPr>
        <w:footnoteRef/>
      </w:r>
      <w:r w:rsidR="00540223" w:rsidRPr="00540223">
        <w:rPr>
          <w:sz w:val="24"/>
          <w:lang w:val="sk-SK"/>
        </w:rPr>
        <w:t xml:space="preserve"> </w:t>
      </w:r>
      <w:r w:rsidR="00540223" w:rsidRPr="00540223">
        <w:rPr>
          <w:sz w:val="24"/>
          <w:lang w:val="sk-SK"/>
        </w:rPr>
        <w:tab/>
      </w:r>
      <w:r w:rsidRPr="00540223">
        <w:rPr>
          <w:sz w:val="24"/>
          <w:lang w:val="sk-SK"/>
        </w:rPr>
        <w:t xml:space="preserve">https://www.europarl.europa.eu/cmsdata/231517/2017_PCWTO_outcome_EN.pdf.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2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2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2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0/2024"/>
    <w:docVar w:name="dvlangue" w:val="SK"/>
    <w:docVar w:name="dvnumam" w:val="0"/>
    <w:docVar w:name="dvpe" w:val="753.647"/>
    <w:docVar w:name="dvtitre" w:val="Uznesenie Európskeho parlamentu z xx. februára 2024 o multilaterálnych rokovaniach pred blížiacou sa 13. Konferenciou ministrov WTO v Abú Zabí v dňoch 26. februára 2024(2023/2868(RSP))"/>
  </w:docVars>
  <w:rsids>
    <w:rsidRoot w:val="00B36447"/>
    <w:rsid w:val="00002272"/>
    <w:rsid w:val="00064002"/>
    <w:rsid w:val="000677B9"/>
    <w:rsid w:val="000831BA"/>
    <w:rsid w:val="000A42CC"/>
    <w:rsid w:val="000D0667"/>
    <w:rsid w:val="000E7DD9"/>
    <w:rsid w:val="000F4BB1"/>
    <w:rsid w:val="0010095E"/>
    <w:rsid w:val="00125B37"/>
    <w:rsid w:val="00187494"/>
    <w:rsid w:val="001F32AE"/>
    <w:rsid w:val="0026684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0223"/>
    <w:rsid w:val="00545827"/>
    <w:rsid w:val="00560270"/>
    <w:rsid w:val="005C2568"/>
    <w:rsid w:val="006037C0"/>
    <w:rsid w:val="006631B6"/>
    <w:rsid w:val="00677EBB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C0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447"/>
    <w:rsid w:val="00B558F0"/>
    <w:rsid w:val="00BD48FE"/>
    <w:rsid w:val="00BD7BD8"/>
    <w:rsid w:val="00BE6ADC"/>
    <w:rsid w:val="00C05BFE"/>
    <w:rsid w:val="00C23CD4"/>
    <w:rsid w:val="00C61C0C"/>
    <w:rsid w:val="00C941CB"/>
    <w:rsid w:val="00CA00DC"/>
    <w:rsid w:val="00CC2357"/>
    <w:rsid w:val="00CF071A"/>
    <w:rsid w:val="00D058B8"/>
    <w:rsid w:val="00D56C11"/>
    <w:rsid w:val="00D834A0"/>
    <w:rsid w:val="00D872DF"/>
    <w:rsid w:val="00D91E21"/>
    <w:rsid w:val="00DA7FCD"/>
    <w:rsid w:val="00E278C2"/>
    <w:rsid w:val="00E365E1"/>
    <w:rsid w:val="00E6661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1AF760"/>
  <w15:chartTrackingRefBased/>
  <w15:docId w15:val="{7A88A746-455F-4DFF-AE2E-52FA7E05B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661C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E6661C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E6661C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uroparl.europa.eu/cmsdata/158345/outcome_document-final-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27CF1-D699-4198-AD2A-0A1684F65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3133</Words>
  <Characters>19516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2024-02-08T11:01:00Z</dcterms:created>
  <dcterms:modified xsi:type="dcterms:W3CDTF">2024-02-08T11:01:00Z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B9-0090/2024</vt:lpwstr>
  </property>
  <property fmtid="{D5CDD505-2E9C-101B-9397-08002B2CF9AE}" pid="4" name="&lt;Type&gt;">
    <vt:lpwstr>RR</vt:lpwstr>
  </property>
</Properties>
</file>