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1143" w:rsidTr="0010095E">
        <w:trPr>
          <w:trHeight w:hRule="exact" w:val="1418"/>
        </w:trPr>
        <w:tc>
          <w:tcPr>
            <w:tcW w:w="6804" w:type="dxa"/>
            <w:shd w:val="clear" w:color="auto" w:fill="auto"/>
            <w:vAlign w:val="center"/>
          </w:tcPr>
          <w:p w:rsidR="00751A4A" w:rsidRPr="00CA1143" w:rsidRDefault="00CB309B" w:rsidP="0010095E">
            <w:pPr>
              <w:pStyle w:val="EPName"/>
            </w:pPr>
            <w:bookmarkStart w:id="0" w:name="_GoBack"/>
            <w:bookmarkEnd w:id="0"/>
            <w:r w:rsidRPr="00CA1143">
              <w:t>Evropski parlament</w:t>
            </w:r>
          </w:p>
          <w:p w:rsidR="00751A4A" w:rsidRPr="00CA1143" w:rsidRDefault="00817416" w:rsidP="00756632">
            <w:pPr>
              <w:pStyle w:val="EPTerm"/>
              <w:rPr>
                <w:rStyle w:val="HideTWBExt"/>
                <w:noProof w:val="0"/>
                <w:vanish w:val="0"/>
                <w:color w:val="auto"/>
              </w:rPr>
            </w:pPr>
            <w:r w:rsidRPr="00CA1143">
              <w:t>2019-2024</w:t>
            </w:r>
          </w:p>
        </w:tc>
        <w:tc>
          <w:tcPr>
            <w:tcW w:w="2268" w:type="dxa"/>
            <w:shd w:val="clear" w:color="auto" w:fill="auto"/>
          </w:tcPr>
          <w:p w:rsidR="00751A4A" w:rsidRPr="00CA1143" w:rsidRDefault="00187494" w:rsidP="0010095E">
            <w:pPr>
              <w:pStyle w:val="EPLogo"/>
            </w:pPr>
            <w:r w:rsidRPr="00CA11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A1143" w:rsidRDefault="00D058B8" w:rsidP="004C5D52">
      <w:pPr>
        <w:pStyle w:val="LineTop"/>
      </w:pPr>
    </w:p>
    <w:p w:rsidR="00680577" w:rsidRPr="00CA1143" w:rsidRDefault="00CB309B" w:rsidP="00680577">
      <w:pPr>
        <w:pStyle w:val="EPBodyTA1"/>
      </w:pPr>
      <w:r w:rsidRPr="00CA1143">
        <w:t>SPREJETA BESEDILA</w:t>
      </w:r>
    </w:p>
    <w:p w:rsidR="00D058B8" w:rsidRPr="00CA1143" w:rsidRDefault="00D058B8" w:rsidP="00D058B8">
      <w:pPr>
        <w:pStyle w:val="LineBottom"/>
      </w:pPr>
    </w:p>
    <w:p w:rsidR="00CB309B" w:rsidRPr="00CA1143" w:rsidRDefault="00CB309B" w:rsidP="00CA1143">
      <w:pPr>
        <w:pStyle w:val="ATHeading1"/>
      </w:pPr>
      <w:bookmarkStart w:id="1" w:name="TANumber"/>
      <w:r w:rsidRPr="00CA1143">
        <w:t>P9_TA(2024)00</w:t>
      </w:r>
      <w:r w:rsidR="00CA1143" w:rsidRPr="00CA1143">
        <w:t>78</w:t>
      </w:r>
      <w:bookmarkEnd w:id="1"/>
    </w:p>
    <w:p w:rsidR="00CB309B" w:rsidRPr="00CA1143" w:rsidRDefault="00CB309B" w:rsidP="00CB309B">
      <w:pPr>
        <w:pStyle w:val="ATHeading2"/>
      </w:pPr>
      <w:bookmarkStart w:id="2" w:name="title"/>
      <w:r w:rsidRPr="00CA1143">
        <w:t>Mnogostranska pogajanja pri pripravah na 13. ministrsko konferenco STO, ki bo od 26. do 29. februarja 2024 v Abu Dabiju</w:t>
      </w:r>
      <w:bookmarkEnd w:id="2"/>
    </w:p>
    <w:p w:rsidR="00CB309B" w:rsidRPr="00CA1143" w:rsidRDefault="00CB309B" w:rsidP="00CB309B">
      <w:pPr>
        <w:rPr>
          <w:i/>
          <w:vanish/>
        </w:rPr>
      </w:pPr>
      <w:r w:rsidRPr="00CA1143">
        <w:rPr>
          <w:i/>
        </w:rPr>
        <w:fldChar w:fldCharType="begin"/>
      </w:r>
      <w:r w:rsidRPr="00CA1143">
        <w:rPr>
          <w:i/>
        </w:rPr>
        <w:instrText xml:space="preserve"> TC"(</w:instrText>
      </w:r>
      <w:bookmarkStart w:id="3" w:name="DocNumber"/>
      <w:r w:rsidRPr="00CA1143">
        <w:rPr>
          <w:i/>
        </w:rPr>
        <w:instrText>B9-0090/2024</w:instrText>
      </w:r>
      <w:bookmarkEnd w:id="3"/>
      <w:r w:rsidRPr="00CA1143">
        <w:rPr>
          <w:i/>
        </w:rPr>
        <w:instrText xml:space="preserve">)"\l3 \n&gt; \* MERGEFORMAT </w:instrText>
      </w:r>
      <w:r w:rsidRPr="00CA1143">
        <w:rPr>
          <w:i/>
        </w:rPr>
        <w:fldChar w:fldCharType="end"/>
      </w:r>
    </w:p>
    <w:p w:rsidR="00CB309B" w:rsidRPr="00CA1143" w:rsidRDefault="00CB309B" w:rsidP="00CB309B">
      <w:pPr>
        <w:rPr>
          <w:vanish/>
        </w:rPr>
      </w:pPr>
      <w:bookmarkStart w:id="4" w:name="PE"/>
      <w:r w:rsidRPr="00CA1143">
        <w:rPr>
          <w:vanish/>
        </w:rPr>
        <w:t>PE753.647</w:t>
      </w:r>
      <w:bookmarkEnd w:id="4"/>
    </w:p>
    <w:p w:rsidR="00CB309B" w:rsidRPr="00CA1143" w:rsidRDefault="00CB309B" w:rsidP="00CB309B">
      <w:pPr>
        <w:pStyle w:val="ATHeading3"/>
      </w:pPr>
      <w:bookmarkStart w:id="5" w:name="Sujet"/>
      <w:r w:rsidRPr="00CA1143">
        <w:t>Resolucija Evropskega parlamenta z dne 8. februarja 2024 o večstranskih pogajanjih v okviru priprav na trinajsto ministrsko konferenco STO, ki bo od 26. do 29. februarja 2024 v Abu Dabiju</w:t>
      </w:r>
      <w:bookmarkEnd w:id="5"/>
      <w:r w:rsidRPr="00CA1143">
        <w:t xml:space="preserve"> </w:t>
      </w:r>
      <w:bookmarkStart w:id="6" w:name="References"/>
      <w:r w:rsidRPr="00CA1143">
        <w:t>(2023/2868(RSP))</w:t>
      </w:r>
      <w:bookmarkEnd w:id="6"/>
    </w:p>
    <w:p w:rsidR="00877690" w:rsidRPr="00CA1143" w:rsidRDefault="00877690" w:rsidP="00877690">
      <w:pPr>
        <w:pStyle w:val="EPComma"/>
      </w:pPr>
      <w:bookmarkStart w:id="7" w:name="TextBodyBegin"/>
      <w:bookmarkEnd w:id="7"/>
      <w:r w:rsidRPr="00CA1143">
        <w:rPr>
          <w:i/>
        </w:rPr>
        <w:t>Evropski parlament</w:t>
      </w:r>
      <w:r w:rsidRPr="00CA1143">
        <w:t>,</w:t>
      </w:r>
    </w:p>
    <w:p w:rsidR="00877690" w:rsidRPr="00CA1143" w:rsidRDefault="00877690" w:rsidP="00877690">
      <w:pPr>
        <w:pStyle w:val="NormalHanging12a"/>
        <w:widowControl/>
        <w:rPr>
          <w:szCs w:val="24"/>
        </w:rPr>
      </w:pPr>
      <w:r w:rsidRPr="00CA1143">
        <w:t>–</w:t>
      </w:r>
      <w:r w:rsidRPr="00CA1143">
        <w:tab/>
        <w:t>ob upoštevanju Marakeškega sporazuma o ustanovitvi Svetovne trgovinske organizacije (v nadaljnjem besedilu: STO) z dne 15. aprila 1994,</w:t>
      </w:r>
    </w:p>
    <w:p w:rsidR="00877690" w:rsidRPr="00CA1143" w:rsidRDefault="00877690" w:rsidP="00877690">
      <w:pPr>
        <w:pStyle w:val="NormalHanging12a"/>
        <w:widowControl/>
        <w:rPr>
          <w:szCs w:val="24"/>
        </w:rPr>
      </w:pPr>
      <w:r w:rsidRPr="00CA1143">
        <w:t>–</w:t>
      </w:r>
      <w:r w:rsidRPr="00CA1143">
        <w:tab/>
        <w:t>ob upoštevanju deklaracije ministrske konference STO iz Dohe z dne 14. novembra 2001</w:t>
      </w:r>
      <w:r w:rsidRPr="00CA1143">
        <w:rPr>
          <w:rStyle w:val="FootnoteReference"/>
          <w:color w:val="000000"/>
          <w:szCs w:val="24"/>
        </w:rPr>
        <w:footnoteReference w:id="1"/>
      </w:r>
      <w:r w:rsidRPr="00CA1143">
        <w:t>,</w:t>
      </w:r>
    </w:p>
    <w:p w:rsidR="00877690" w:rsidRPr="00CA1143" w:rsidRDefault="00877690" w:rsidP="00877690">
      <w:pPr>
        <w:pStyle w:val="NormalHanging12a"/>
        <w:widowControl/>
        <w:rPr>
          <w:szCs w:val="24"/>
        </w:rPr>
      </w:pPr>
      <w:r w:rsidRPr="00CA1143">
        <w:t>–</w:t>
      </w:r>
      <w:r w:rsidRPr="00CA1143">
        <w:tab/>
        <w:t>ob upoštevanju svojih prejšnjih resolucij o STO, zlasti tistih z dne 25. novembra 2021 o večstranskih pogajanjih v okviru priprav na dvanajsto ministrsko konferenco STO</w:t>
      </w:r>
      <w:r w:rsidRPr="00CA1143">
        <w:rPr>
          <w:rStyle w:val="FootnoteReference"/>
          <w:color w:val="000000"/>
          <w:szCs w:val="24"/>
        </w:rPr>
        <w:footnoteReference w:id="2"/>
      </w:r>
      <w:r w:rsidRPr="00CA1143">
        <w:t>, z dne 29. novembra 2018 z naslovom STO: pot naprej</w:t>
      </w:r>
      <w:r w:rsidRPr="00CA1143">
        <w:rPr>
          <w:rStyle w:val="FootnoteReference"/>
          <w:color w:val="000000"/>
          <w:szCs w:val="24"/>
        </w:rPr>
        <w:footnoteReference w:id="3"/>
      </w:r>
      <w:r w:rsidRPr="00CA1143">
        <w:t xml:space="preserve"> in z dne 28. novembra 2019 o krizi pritožbenega organa STO</w:t>
      </w:r>
      <w:r w:rsidRPr="00CA1143">
        <w:rPr>
          <w:rStyle w:val="FootnoteReference"/>
          <w:color w:val="000000"/>
          <w:szCs w:val="24"/>
        </w:rPr>
        <w:footnoteReference w:id="4"/>
      </w:r>
      <w:r w:rsidRPr="00CA1143">
        <w:t>,</w:t>
      </w:r>
    </w:p>
    <w:p w:rsidR="00877690" w:rsidRPr="00CA1143" w:rsidRDefault="00877690" w:rsidP="00877690">
      <w:pPr>
        <w:pStyle w:val="NormalHanging12a"/>
        <w:rPr>
          <w:color w:val="000000"/>
        </w:rPr>
      </w:pPr>
      <w:r w:rsidRPr="00CA1143">
        <w:t>–</w:t>
      </w:r>
      <w:r w:rsidRPr="00CA1143">
        <w:tab/>
        <w:t>ob upoštevanju končnih dokumentov, ki so bili soglasno sprejeti na letnih zasedanjih parlamentarne konference STO 7. decembra 2018 v Ženevi</w:t>
      </w:r>
      <w:r w:rsidRPr="00CA1143">
        <w:rPr>
          <w:rStyle w:val="FootnoteReference"/>
          <w:color w:val="000000"/>
          <w:szCs w:val="24"/>
        </w:rPr>
        <w:footnoteReference w:id="5"/>
      </w:r>
      <w:r w:rsidRPr="00CA1143">
        <w:t xml:space="preserve"> in 10. decembra 2017 v Buenos Airesu</w:t>
      </w:r>
      <w:r w:rsidRPr="00CA1143">
        <w:rPr>
          <w:rStyle w:val="FootnoteReference"/>
          <w:color w:val="000000"/>
          <w:szCs w:val="24"/>
        </w:rPr>
        <w:footnoteReference w:id="6"/>
      </w:r>
      <w:r w:rsidRPr="00CA1143">
        <w:t>,</w:t>
      </w:r>
    </w:p>
    <w:p w:rsidR="00877690" w:rsidRPr="00CA1143" w:rsidRDefault="00877690" w:rsidP="00877690">
      <w:pPr>
        <w:pStyle w:val="NormalHanging12a"/>
        <w:rPr>
          <w:color w:val="000000"/>
        </w:rPr>
      </w:pPr>
      <w:r w:rsidRPr="00CA1143">
        <w:rPr>
          <w:color w:val="000000"/>
        </w:rPr>
        <w:t>–</w:t>
      </w:r>
      <w:r w:rsidRPr="00CA1143">
        <w:rPr>
          <w:color w:val="000000"/>
        </w:rPr>
        <w:tab/>
        <w:t>ob upoštevanju rezultatov dvanajste ministrske konference STO, ki je potekala junija 2022 v Ženevi, med katerimi so sklepni dokument, vrsta ministrskih sklepov in izjav ter sporazum o subvencijah za ribištvo,</w:t>
      </w:r>
    </w:p>
    <w:p w:rsidR="00877690" w:rsidRPr="00CA1143" w:rsidRDefault="00877690" w:rsidP="00877690">
      <w:pPr>
        <w:pStyle w:val="NormalHanging12a"/>
        <w:rPr>
          <w:color w:val="000000"/>
        </w:rPr>
      </w:pPr>
      <w:r w:rsidRPr="00CA1143">
        <w:rPr>
          <w:color w:val="000000"/>
        </w:rPr>
        <w:t>–</w:t>
      </w:r>
      <w:r w:rsidRPr="00CA1143">
        <w:rPr>
          <w:color w:val="000000"/>
        </w:rPr>
        <w:tab/>
        <w:t xml:space="preserve">ob upoštevanju rezultatov enajste ministrske konference STO, ki je potekala decembra 2017 v Buenos Airesu ter vključuje vrsto ministrskih sklepov in skupnih izjav o </w:t>
      </w:r>
      <w:r w:rsidRPr="00CA1143">
        <w:rPr>
          <w:color w:val="000000"/>
        </w:rPr>
        <w:lastRenderedPageBreak/>
        <w:t>elektronskem poslovanju, spodbujanju naložb, regulaciji domačih storitev ter mikro, malih in srednjih podjetjih,</w:t>
      </w:r>
    </w:p>
    <w:p w:rsidR="00877690" w:rsidRPr="00CA1143" w:rsidRDefault="00877690" w:rsidP="00877690">
      <w:pPr>
        <w:pStyle w:val="NormalHanging12a"/>
        <w:rPr>
          <w:color w:val="000000"/>
        </w:rPr>
      </w:pPr>
      <w:r w:rsidRPr="00CA1143">
        <w:rPr>
          <w:color w:val="000000"/>
        </w:rPr>
        <w:t>–</w:t>
      </w:r>
      <w:r w:rsidRPr="00CA1143">
        <w:rPr>
          <w:color w:val="000000"/>
        </w:rPr>
        <w:tab/>
        <w:t>ob upoštevanju izjave iz Buenos Airesa o trgovini in ekonomskem opolnomočenju žensk, sprejete 12. decembra 2017, in neformalne delovne skupine za trgovino in enakost spolov, ustanovljene 23. septembra 2020,</w:t>
      </w:r>
    </w:p>
    <w:p w:rsidR="00877690" w:rsidRPr="00CA1143" w:rsidRDefault="00877690" w:rsidP="00877690">
      <w:pPr>
        <w:pStyle w:val="NormalHanging12a"/>
        <w:rPr>
          <w:color w:val="000000"/>
        </w:rPr>
      </w:pPr>
      <w:r w:rsidRPr="00CA1143">
        <w:rPr>
          <w:color w:val="000000"/>
        </w:rPr>
        <w:t>–</w:t>
      </w:r>
      <w:r w:rsidRPr="00CA1143">
        <w:rPr>
          <w:color w:val="000000"/>
        </w:rPr>
        <w:tab/>
      </w:r>
      <w:r w:rsidRPr="00CA1143">
        <w:t>ob upoštevanju ministrskih izjav ministrov, ki zastopajo članice STO, z dne 10. decembra 2021 o onesnaževanju s plastiko in okoljsko trajnostni trgovini s plastiko, z dne 14. decembra 2021 o trgovini in okoljski trajnostnosti ter z dne 14. decembra 2021 o subvencijah za fosilna goriva,</w:t>
      </w:r>
    </w:p>
    <w:p w:rsidR="00877690" w:rsidRPr="00CA1143" w:rsidRDefault="00877690" w:rsidP="00877690">
      <w:pPr>
        <w:pStyle w:val="NormalHanging12a"/>
        <w:rPr>
          <w:color w:val="000000"/>
        </w:rPr>
      </w:pPr>
      <w:r w:rsidRPr="00CA1143">
        <w:rPr>
          <w:color w:val="000000"/>
        </w:rPr>
        <w:t>–</w:t>
      </w:r>
      <w:r w:rsidRPr="00CA1143">
        <w:rPr>
          <w:color w:val="000000"/>
        </w:rPr>
        <w:tab/>
        <w:t>ob upoštevanju ciljev trajnostnega razvoja OZN,</w:t>
      </w:r>
    </w:p>
    <w:p w:rsidR="00877690" w:rsidRPr="00CA1143" w:rsidRDefault="00877690" w:rsidP="00877690">
      <w:pPr>
        <w:pStyle w:val="NormalHanging12a"/>
        <w:widowControl/>
        <w:rPr>
          <w:szCs w:val="24"/>
        </w:rPr>
      </w:pPr>
      <w:r w:rsidRPr="00CA1143">
        <w:t>–</w:t>
      </w:r>
      <w:r w:rsidRPr="00CA1143">
        <w:tab/>
        <w:t>ob upoštevanju Pariškega sporazuma v okviru Okvirne konvencije Organizacije združenih narodov o spremembi podnebja (UNFCCC), ki je začel veljati novembra 2016,</w:t>
      </w:r>
    </w:p>
    <w:p w:rsidR="00877690" w:rsidRPr="00CA1143" w:rsidRDefault="00877690" w:rsidP="00877690">
      <w:pPr>
        <w:pStyle w:val="NormalHanging12a"/>
        <w:widowControl/>
        <w:rPr>
          <w:szCs w:val="24"/>
        </w:rPr>
      </w:pPr>
      <w:r w:rsidRPr="00CA1143">
        <w:t>–</w:t>
      </w:r>
      <w:r w:rsidRPr="00CA1143">
        <w:tab/>
        <w:t xml:space="preserve">ob upoštevanju sporočila Komisije z dne 18. februarja 2021 z naslovom Pregled trgovinske politike </w:t>
      </w:r>
      <w:r w:rsidRPr="00CA1143">
        <w:rPr>
          <w:rFonts w:ascii="Segoe UI" w:hAnsi="Segoe UI"/>
          <w:color w:val="333333"/>
          <w:sz w:val="21"/>
          <w:shd w:val="clear" w:color="auto" w:fill="FFFFFF"/>
        </w:rPr>
        <w:t>–</w:t>
      </w:r>
      <w:r w:rsidRPr="00CA1143">
        <w:t xml:space="preserve"> odprta, trajnostna in odločna trgovinska politika ter priloge z naslovom Reforma STO: Na poti k trajnostnemu in učinkovitemu večstranskemu trgovinskemu sistemu (COM(2021)0066),</w:t>
      </w:r>
    </w:p>
    <w:p w:rsidR="00877690" w:rsidRPr="00CA1143" w:rsidRDefault="00877690" w:rsidP="00877690">
      <w:pPr>
        <w:pStyle w:val="NormalHanging12a"/>
        <w:widowControl/>
        <w:rPr>
          <w:szCs w:val="24"/>
        </w:rPr>
      </w:pPr>
      <w:r w:rsidRPr="00CA1143">
        <w:t>–</w:t>
      </w:r>
      <w:r w:rsidRPr="00CA1143">
        <w:tab/>
        <w:t>ob upoštevanju člena 132(2) Poslovnika,</w:t>
      </w:r>
    </w:p>
    <w:p w:rsidR="00877690" w:rsidRPr="00CA1143" w:rsidRDefault="00877690" w:rsidP="00877690">
      <w:pPr>
        <w:pStyle w:val="NormalHanging12a"/>
        <w:widowControl/>
        <w:rPr>
          <w:szCs w:val="24"/>
        </w:rPr>
      </w:pPr>
      <w:r w:rsidRPr="00CA1143">
        <w:t>–</w:t>
      </w:r>
      <w:r w:rsidRPr="00CA1143">
        <w:tab/>
        <w:t>ob upoštevanju predloga resolucije Odbora za mednarodno trgovino,</w:t>
      </w:r>
    </w:p>
    <w:p w:rsidR="00877690" w:rsidRPr="00CA1143" w:rsidRDefault="00877690" w:rsidP="00877690">
      <w:pPr>
        <w:pStyle w:val="NormalHanging12a"/>
      </w:pPr>
      <w:r w:rsidRPr="00CA1143">
        <w:t>A.</w:t>
      </w:r>
      <w:r w:rsidRPr="00CA1143">
        <w:tab/>
        <w:t xml:space="preserve">ker je bila STO ustanovljena za nadaljnjo liberalizacijo trgovine z blagom in storitvami, krepitev multilateralizma in podpiranje poštenega, odprtega, na pravilih temelječega in nediskriminatornega večstranskega trgovinskega sistema, da bi se izboljšala blaginja ljudi po vsem svetu; ker je skupni cilj trgovinske politike EU prispevati k harmoničnemu razvoju svetovne trgovine, postopnemu odpravljanju omejitev v mednarodni trgovini in pri tujih neposrednih naložbah ter k zmanjševanju carinskih in drugih ovir, pa tudi zagotavljanje dobrobiti ljudi; ker je trgovina bistvenega pomena in ključni instrument za podpiranje in dopolnjevanje prizadevanj za okrepitev trajnostne rasti in izboljšanje življenjskega standarda, ustvarjanje polne zaposlenosti in bolj kakovostnih delovnih mest ter velikega in stalno naraščajočega obsega realnega dohodka v skladu s ciljem trajnostnega razvoja, pri čemer je treba zaščititi in ohranjati okolje ter krepiti sredstva za to v skladu s potrebami in pomisleki posameznih držav na različnih ravneh gospodarskega razvoja; </w:t>
      </w:r>
    </w:p>
    <w:p w:rsidR="00877690" w:rsidRPr="00CA1143" w:rsidRDefault="00877690" w:rsidP="00877690">
      <w:pPr>
        <w:pStyle w:val="NormalHanging12a"/>
      </w:pPr>
      <w:r w:rsidRPr="00CA1143">
        <w:t>B.</w:t>
      </w:r>
      <w:r w:rsidRPr="00CA1143">
        <w:tab/>
        <w:t>ker bi moral imeti močan, odprt in vključujoč večstranski trgovinski sistem še pomembnejšo vlogo pri doseganju svetovnih ciljev v zvezi s podnebnimi spremembami in uresničevanju neto ničelnih ciljev, na primer z izmenjavo blaga, storitev in primerov prakse, ki so bistveni za tehnologije čiste energije in krožno gospodarstvo;</w:t>
      </w:r>
    </w:p>
    <w:p w:rsidR="00877690" w:rsidRPr="00CA1143" w:rsidRDefault="00877690" w:rsidP="00877690">
      <w:pPr>
        <w:pStyle w:val="NormalHanging12a"/>
      </w:pPr>
      <w:r w:rsidRPr="00CA1143">
        <w:t>C.</w:t>
      </w:r>
      <w:r w:rsidRPr="00CA1143">
        <w:tab/>
        <w:t xml:space="preserve">ker je večstranski trgovinski sistem, ki temelji na pravilih, trenutno pod velikim pritiskom, podvržen geopolitičnim napetostim, ki jih povzročajo odločitve nekaterih članic STO in enostranski ukrepi, ki jih sprejemajo, ter neupravičenemu zanašanju nekaterih članic na varnostno izjemo splošnega sporazuma o carinah in trgovini (GATT), kar že povzroča bolj razdrobljen in manj predvidljiv okvir za trgovinsko politiko; ker 75 % trgovine še vedno poteka na podlagi največje tarifne ugodnosti, kar </w:t>
      </w:r>
      <w:r w:rsidRPr="00CA1143">
        <w:lastRenderedPageBreak/>
        <w:t>potrjuje, da je STO hrbtenica svetovnega gospodarstva; ker so rezultati 12. ministrske konference pokazali, da je STO še vedno sposobna sprejemati večstranske sporazume in se odzivati na izredne razmere;</w:t>
      </w:r>
    </w:p>
    <w:p w:rsidR="00877690" w:rsidRPr="00CA1143" w:rsidRDefault="00877690" w:rsidP="00877690">
      <w:pPr>
        <w:pStyle w:val="NormalHanging12a"/>
      </w:pPr>
      <w:r w:rsidRPr="00CA1143">
        <w:t>D.</w:t>
      </w:r>
      <w:r w:rsidRPr="00CA1143">
        <w:tab/>
        <w:t>ker je sporazum STO o subvencijah za ribištvo, sklenjen na 12. ministrski konferenci, prvi večstranski trgovinski sporazum, v središču katerega je okoljska trajnost, vzpostavlja pa zavezujoč sklop globalnih pravil za pomoč pri omejitvi ocenjenih 22 milijard dolarjev škodljivih subvencij na leto, ki jih vlade zagotavljajo ribiškemu sektorju, kot je določeno v cilju trajnostnega razvoja 14.6; ker sporazum še ne vključuje pravil o subvencijah za ribištvo, ki prispevajo k presežni zmogljivosti in prelovu in predstavljajo več kot polovico vseh subvencij za ribištvo, saj pogajanja o njih še potekajo;</w:t>
      </w:r>
    </w:p>
    <w:p w:rsidR="00877690" w:rsidRPr="00CA1143" w:rsidRDefault="00877690" w:rsidP="00877690">
      <w:pPr>
        <w:pStyle w:val="NormalHanging12a"/>
      </w:pPr>
      <w:r w:rsidRPr="00CA1143">
        <w:t>E.</w:t>
      </w:r>
      <w:r w:rsidRPr="00CA1143">
        <w:tab/>
        <w:t>ker je bil na dvanajsti ministrski konferenci STO 17. junija 2022 sprejet sklep, ki zagotavlja prožnost v okviru Sporazuma o trgovinskih vidikih pravic intelektualne lastnine (TRIPS), da bi omogočili proizvodnjo in dobavo cepiv proti covidu-19, hkrati pa odlaga odločitev o razširitvi področja te prožnosti na terapevtike in diagnostiko v zvezi s covidom-19; ker v Svetu STO za sporazum TRIPS potekajo pogajanja o podaljšanju oprostitve obveznosti iz sporazuma TRIPS;</w:t>
      </w:r>
    </w:p>
    <w:p w:rsidR="00877690" w:rsidRPr="00CA1143" w:rsidRDefault="00877690" w:rsidP="00877690">
      <w:pPr>
        <w:pStyle w:val="NormalHanging12a"/>
      </w:pPr>
      <w:r w:rsidRPr="00CA1143">
        <w:t>F.</w:t>
      </w:r>
      <w:r w:rsidRPr="00CA1143">
        <w:tab/>
        <w:t>ker je prehranska varnost še vedno izziv, saj je bilo v letu 2022 258 milijonov ljudi izpostavljenih akutni neustrezni prehranski varnosti ali še hujšim oblikam pomanjkanja hrane, kar je več kot 193 milijonov leta 2021; ker je v urugvajskem krogu pogajanj STO o sporazumu o kmetijstvu izrecno priznan pomen upoštevanja prehranske varnosti v tekočih pogajanjih; ker lahko trgovina poveča razpoložljivost hrane v regijah, kjer je omejena, in lahko prispeva tudi k boljšemu gospodarskemu dostopu do hrane z ustvarjanjem zaposlitvenih možnosti in povečanjem prihodkov;</w:t>
      </w:r>
    </w:p>
    <w:p w:rsidR="00877690" w:rsidRPr="00CA1143" w:rsidRDefault="00877690" w:rsidP="00877690">
      <w:pPr>
        <w:pStyle w:val="NormalHanging12a"/>
      </w:pPr>
      <w:r w:rsidRPr="00CA1143">
        <w:t>G.</w:t>
      </w:r>
      <w:r w:rsidRPr="00CA1143">
        <w:tab/>
        <w:t>ker so članice STO dokazale svojo zavezanost obravnavanju pomanjkanja hrane in zagotavljanju nujne pomoči v hrani za najranljivejše, in sicer v ministrski izjavi o odzivu na neustrezno prehransko varnost in ministrskem sklepu o izvzetju nakupov hrane za humanitarne namene Svetovnega programa za hrano iz prepovedi ali omejitev izvoza, sprejetih na dvanajsti ministrski konferenci;</w:t>
      </w:r>
    </w:p>
    <w:p w:rsidR="00877690" w:rsidRPr="00CA1143" w:rsidRDefault="00877690" w:rsidP="00877690">
      <w:pPr>
        <w:pStyle w:val="NormalHanging12a"/>
      </w:pPr>
      <w:r w:rsidRPr="00CA1143">
        <w:t>H.</w:t>
      </w:r>
      <w:r w:rsidRPr="00CA1143">
        <w:tab/>
        <w:t>ker lahko trajnostna trgovina prispeva k blažitvi podnebnih sprememb in boju proti njim;</w:t>
      </w:r>
    </w:p>
    <w:p w:rsidR="00877690" w:rsidRPr="00CA1143" w:rsidRDefault="00877690" w:rsidP="00877690">
      <w:pPr>
        <w:pStyle w:val="NormalHanging12a"/>
      </w:pPr>
      <w:r w:rsidRPr="00CA1143">
        <w:t>I.</w:t>
      </w:r>
      <w:r w:rsidRPr="00CA1143">
        <w:tab/>
        <w:t>ker je pritožbeni organ STO 11. decembra 2019 prenehal delovati, kar pomeni, da ni več delujočega, neodvisnega in nepristranskega organa za obravnavanje pritožb; ker so se članice STO na dvanajsti ministrski konferenci zavezale, da bodo organizirale razprave, da bi do leta 2024 vzpostavili celovit in ustrezno delujoč sistem za reševanje sporov, dostopen vsem članicam STO;</w:t>
      </w:r>
    </w:p>
    <w:p w:rsidR="00877690" w:rsidRPr="00CA1143" w:rsidRDefault="00877690" w:rsidP="00877690">
      <w:pPr>
        <w:pStyle w:val="NormalHanging12a"/>
      </w:pPr>
      <w:r w:rsidRPr="00CA1143">
        <w:t>J.</w:t>
      </w:r>
      <w:r w:rsidRPr="00CA1143">
        <w:tab/>
        <w:t>ker ima Evropski parlament skupaj z Medparlamentarno unijo že več kot 20 let ključno vlogo pri vzpostavljanju parlamentarne razsežnosti STO prek parlamentarne konference o STO;</w:t>
      </w:r>
    </w:p>
    <w:p w:rsidR="00877690" w:rsidRPr="00CA1143" w:rsidRDefault="00877690" w:rsidP="00877690">
      <w:pPr>
        <w:pStyle w:val="NormalHanging12a"/>
      </w:pPr>
      <w:r w:rsidRPr="00CA1143">
        <w:t>K.</w:t>
      </w:r>
      <w:r w:rsidRPr="00CA1143">
        <w:tab/>
        <w:t>ker bo trinajsta ministrska konferenca STO od 26. do 29. februarja 2024 v Abu Dabiju (Združeni arabski emirati);</w:t>
      </w:r>
    </w:p>
    <w:p w:rsidR="00877690" w:rsidRPr="00CA1143" w:rsidRDefault="00877690" w:rsidP="00877690">
      <w:pPr>
        <w:pStyle w:val="NormalHanging12a"/>
      </w:pPr>
      <w:r w:rsidRPr="00CA1143">
        <w:t>1.</w:t>
      </w:r>
      <w:r w:rsidRPr="00CA1143">
        <w:tab/>
        <w:t xml:space="preserve">ponovno poudarja, da je v celoti zavezan trajnemu pomenu multilateralizma in </w:t>
      </w:r>
      <w:r w:rsidRPr="00CA1143">
        <w:lastRenderedPageBreak/>
        <w:t>poudarja, da je večstranski sistem za upravljanje trgovine bistvenega pomena; poziva k trgovinski agendi, ki bo temeljila na pravični trgovini in na pravilih v korist vseh, kar bo prispevalo h trajnostnemu gospodarskemu razvoju, ki bo presegal zgolj rast BDP in blaginjo, in s tem okrepilo mir in varnost; poudarja, da bi morala STO spodbujati doseganje ciljev trajnostnega razvoja, zdravja ter socialnih, okoljskih in človekovih pravic in zagotavljati, da se večstransko dogovorjena in usklajena pravila enotno uporabljajo za vse;</w:t>
      </w:r>
    </w:p>
    <w:p w:rsidR="00877690" w:rsidRPr="00CA1143" w:rsidRDefault="00877690" w:rsidP="00877690">
      <w:pPr>
        <w:pStyle w:val="NormalHanging12a"/>
      </w:pPr>
      <w:r w:rsidRPr="00CA1143">
        <w:t>2.</w:t>
      </w:r>
      <w:r w:rsidRPr="00CA1143">
        <w:tab/>
        <w:t>poziva vse članice STO, naj se zavežejo uspešnemu izidu trinajste ministrske konference; meni, da bi morala biti trinajsta ministrska konferenca izhodišče za napredek in posodobitev STO, da se ji zagotovi vloga pri reševanju izzivov 21. stoletja, vključno z vprašanji, kot so podnebne spremembe, prehranska varnost, izguba biotske raznovrstnosti, trajnostnost in zmanjšanje revščine; poziva vse članice STO, naj okrepijo prizadevanja, da bi se osredotočili na oprijemljive rezultate, ki bi dokazali, da se STO lahko odziva na sedanje izzive; pozdravlja smernice s srečanja visokih uradnikov 22. in 23. oktobra 2023; zlasti poziva članice STO, naj zaključijo drugo fazo večstranskega sporazuma o subvencijah za ribištvo in presežejo preostale ovire, da bi končno sprejele celovit sveženj institucionalnih reform, vključno s sklepom, ki bi privedel do povsem delujočega sistema za reševanje sporov; ponovno poudarja, da je treba dodatno okrepiti vlogo sekretariata STO;</w:t>
      </w:r>
    </w:p>
    <w:p w:rsidR="00877690" w:rsidRPr="00CA1143" w:rsidRDefault="00877690" w:rsidP="00877690">
      <w:pPr>
        <w:pStyle w:val="NormalHanging12a"/>
      </w:pPr>
      <w:r w:rsidRPr="00CA1143">
        <w:t>3.</w:t>
      </w:r>
      <w:r w:rsidRPr="00CA1143">
        <w:tab/>
        <w:t>meni, da je zdaj nujno treba začeti konkretno reformo STO in da bi se to moralo odražati v izidu trinajste ministrske konference; pozdravlja vse delo, ki je bilo v zvezi s tem opravljeno od zadnje ministrske konference; poziva članice STO, naj sprejmejo celovit sveženj, v katerem bodo pregledane funkcije STO za spremljanje, pogajanja, posvetovanje in reševanje sporov, pri čemer bi bilo treba ustrezno pozornost nameniti tudi parlamentarni razsežnosti STO, da bi povečali njeno učinkovitost, vključevalnost, preglednost, verodostojnost in legitimnost;</w:t>
      </w:r>
    </w:p>
    <w:p w:rsidR="00877690" w:rsidRPr="00CA1143" w:rsidRDefault="00877690" w:rsidP="00877690">
      <w:pPr>
        <w:pStyle w:val="NormalHanging12a"/>
        <w:rPr>
          <w:szCs w:val="24"/>
        </w:rPr>
      </w:pPr>
      <w:r w:rsidRPr="00CA1143">
        <w:t>4.</w:t>
      </w:r>
      <w:r w:rsidRPr="00CA1143">
        <w:tab/>
        <w:t>poziva k odločnejšemu in še bolj konstruktivnemu sodelovanju vseh članic STO, da bi čim hitreje obnovili v celoti delujoč sistem reševanja sporov, ki bo med drugim obravnaval predolgo trajanje postopkov; izreka pohvalo povezovalcu za usmerjanje procesa, na podlagi katerega bi pripravili konsolidirani osnutek besedila ter ga predložili na trinajsti ministrski konferenci; vendar obžaluje, da pri tem doslej ni bil dosežen bistven napredek; poziva članice, naj na trinajsti ministrski konferenci sodelujejo v konstruktivnih in preglednih razpravah, da bi dosegle dogovor o sistemu za reševanje sporov; opozarja, da bi moral osrednji cilj ostati zavezujoč, dvotiren in neodvisen proces;</w:t>
      </w:r>
    </w:p>
    <w:p w:rsidR="00877690" w:rsidRPr="00CA1143" w:rsidRDefault="00877690" w:rsidP="00877690">
      <w:pPr>
        <w:pStyle w:val="NormalHanging12a"/>
        <w:rPr>
          <w:szCs w:val="24"/>
        </w:rPr>
      </w:pPr>
      <w:r w:rsidRPr="00CA1143">
        <w:t>5.</w:t>
      </w:r>
      <w:r w:rsidRPr="00CA1143">
        <w:tab/>
        <w:t>poziva članice, naj razmislijo o pristopu k večstranski začasni pritožbeni ureditvi, da bi pokazale svojo zavezanost pravičnemu in delujočemu sistemu za reševanje sporov in da bi premostili čas do ponovnega začetka delovanja organa za reševanje sporov na ravni STO;</w:t>
      </w:r>
    </w:p>
    <w:p w:rsidR="00877690" w:rsidRPr="00CA1143" w:rsidRDefault="00877690" w:rsidP="00877690">
      <w:pPr>
        <w:pStyle w:val="NormalHanging12a"/>
      </w:pPr>
      <w:r w:rsidRPr="00CA1143">
        <w:t>6.</w:t>
      </w:r>
      <w:r w:rsidRPr="00CA1143">
        <w:tab/>
        <w:t>poziva vse članice STO, ki tega še niso storile, naj hitro ratificirajo sporazum STO o subvencijah za ribištvo, da bi začel veljati čim prej, za kar ga morata ratificirati dve tretjini podpisnic; poudarja, kako pomembno je tudi hitro doseči dogovor o pravilih o subvencijah za ribištvo, ki prispevajo k presežni zmogljivosti in prelovu, da bi preprečili izčrpavanje morskih bioloških virov in omogočili trajnostno upravljanje z njimi; hkrati pa je treba upoštevati potrebe po posebni in različni obravnavi v skladu s ciljem trajnostnega razvoja 14.6;</w:t>
      </w:r>
    </w:p>
    <w:p w:rsidR="00877690" w:rsidRPr="00CA1143" w:rsidRDefault="00877690" w:rsidP="00877690">
      <w:pPr>
        <w:pStyle w:val="NormalHanging12a"/>
      </w:pPr>
      <w:r w:rsidRPr="00CA1143">
        <w:lastRenderedPageBreak/>
        <w:t>7.</w:t>
      </w:r>
      <w:r w:rsidRPr="00CA1143">
        <w:tab/>
        <w:t>poudarja, da je treba vključiti razvojno razsežnost STO, tudi z reformnim procesom STO ter tako, da se poskrbi, da bo načelo posebne in diferencirane obravnave bolje ustrezalo potrebam držav v razvoju; obžaluje, da STO še ni v celoti izpolnila svoje razvojne agende iz Dohe; pozdravlja že sprejeto odločitev o podaljšanju podpornih ukrepov za pomoč najmanj razvitim državam na poti do izstopa iz te skupine držav, da bi zagotovili nemoteno in trajnostno prehodno obdobje za preklic trgovinskih preferencialov; ponovno poziva k ponovni preučitvi in reviziji mehanizma posebne in različne obravnave ob ustreznem sodelovanju vseh članic STO, da bi bolj odražal kazalnike človekovega razvoja in hkrati ohranili politični manevrski prostor za obravnavanje nepoštene trgovine, zato poziva članice STO, naj sistem revidirajo; vendar poudarja, da bi lahko samodoločitev statusa države v razvoju kot edinega merila privedla do nepoštene trgovine;</w:t>
      </w:r>
    </w:p>
    <w:p w:rsidR="00877690" w:rsidRPr="00CA1143" w:rsidRDefault="00877690" w:rsidP="00877690">
      <w:pPr>
        <w:pStyle w:val="NormalHanging12a"/>
      </w:pPr>
      <w:r w:rsidRPr="00CA1143">
        <w:t>8.</w:t>
      </w:r>
      <w:r w:rsidRPr="00CA1143">
        <w:tab/>
        <w:t>poudarja, da je treba oživiti razprave o državni podpori industrijskim sektorjem v okviru STO, vključno s posodobitvijo Sporazuma o subvencijah in izravnalnih ukrepih, s čimer bi povečali preglednost in prilagodili pravilnik STO o subvencijah, da bi se odzvali na sodobne izzive, kot so podnebne spremembe, obravnavali nepoštene prakse nekaterih članic STO in učinkovito obravnavali negativne učinke prelivanja, kot so presežna zmogljivost in ogljično intenzivne dobavne verige; meni, da bi bilo treba na trinajsti ministrski konferenci uvesti časovno omejen delovni program, ki bi omogočil razpravo o posredovanju države v podporo industrijskim sektorjem, da bi pripravili priporočila za štirinajsto ministrsko konferenco;</w:t>
      </w:r>
    </w:p>
    <w:p w:rsidR="00877690" w:rsidRPr="00CA1143" w:rsidRDefault="00877690" w:rsidP="00877690">
      <w:pPr>
        <w:pStyle w:val="NormalHanging12a"/>
      </w:pPr>
      <w:r w:rsidRPr="00CA1143">
        <w:t>9.</w:t>
      </w:r>
      <w:r w:rsidRPr="00CA1143">
        <w:tab/>
        <w:t>poudarja, da je treba doseči napredek pri pogajanjih o kmetijstvu, da bi dosegli verodostojne rezultate pri vprašanjih, kot so trajna rešitev v zvezi z javnim skladiščenjem za namene prehranske varnosti, domača podpora, dostop do trga, bombaž, izvozne omejitve in izvozna konkurenca ter krepitev kmetijskega sektorja za odzivanje na sodobne izzive, vključno s preživetjem podeželja in okoljsko trajnostjo; poudarja, da je treba zagotoviti pošteno konkurenco in enake konkurenčne pogoje za kmete; poziva k boljši izmenjavi informacij in preglednosti na področju kmetijskih politik in subvencij, da bi pospešili pogajanja in na ravni STO podprli večjo izmenjavo podatkov o trgovanju z blagom in zasebnih zalogah z Odborom za svetovno prehransko varnost; pozdravlja podpis memoranduma o soglasju med STO in FAO na konferenci Združenih narodov o podnebnih spremembah (COP28) leta 2023, ki bo okrepilo sodelovanje, med drugim na področju kmetijske reforme, prehranske varnosti in podnebnih sprememb; poudarja, da bi se morala EU zavzemati za višja merila glede trajnostnosti v skladu s cilji zelenega dogovora;</w:t>
      </w:r>
    </w:p>
    <w:p w:rsidR="00877690" w:rsidRPr="00CA1143" w:rsidRDefault="00877690" w:rsidP="00877690">
      <w:pPr>
        <w:pStyle w:val="NormalHanging12a"/>
      </w:pPr>
      <w:r w:rsidRPr="00CA1143">
        <w:t>10.</w:t>
      </w:r>
      <w:r w:rsidRPr="00CA1143">
        <w:tab/>
        <w:t>poudarja, da je treba doseči rezultate na področju prehranske varnosti in sprejeti konkretne ukrepe za povečanje odpornosti najmanj razvitih držav in držav v razvoju, ki so neto uvoznice hrane, pri odzivanju na akutno prehransko nestabilnost;</w:t>
      </w:r>
    </w:p>
    <w:p w:rsidR="00877690" w:rsidRPr="00CA1143" w:rsidRDefault="00877690" w:rsidP="00877690">
      <w:pPr>
        <w:pStyle w:val="NormalHanging12a"/>
      </w:pPr>
      <w:r w:rsidRPr="00CA1143">
        <w:t>11.</w:t>
      </w:r>
      <w:r w:rsidRPr="00CA1143">
        <w:tab/>
        <w:t>pričakuje, da bo reforma STO ustvarila lažjo pot za vključitev odprtih večstranskih sporazumov v večstransko strukturo, da bi zagotovili napredek na področjih, ki niso dovolj zrela za celotno članstvo; zato ponovno poziva vse članice STO, naj razmislijo, kako bi bilo mogoče oblikovati nov sistem z jasnimi načeli in najmanjšim številom članic, ki bi sodelovale pri večstranski pobudi, na tej osnovi pa naj vzpostavijo jasen mehanizem, s katerim bi lahko iz tega izhajajoče sporazume vključili v strukturo STO;</w:t>
      </w:r>
    </w:p>
    <w:p w:rsidR="00877690" w:rsidRPr="00CA1143" w:rsidRDefault="00877690" w:rsidP="00877690">
      <w:pPr>
        <w:pStyle w:val="NormalHanging12a"/>
      </w:pPr>
      <w:r w:rsidRPr="00CA1143">
        <w:t>12.</w:t>
      </w:r>
      <w:r w:rsidRPr="00CA1143">
        <w:tab/>
        <w:t xml:space="preserve">pozdravlja zaključek pogajanj o sporazumu o spodbujanju naložb za razvoj, da bi ustvarili bolj pošteno, preglednejše, učinkovitejše in predvidljivejše okolje za </w:t>
      </w:r>
      <w:r w:rsidRPr="00CA1143">
        <w:lastRenderedPageBreak/>
        <w:t>spodbujanje čezmejnih naložb in sodelovanja držav v razvoju v svetovnih naložbenih tokovih; podpira, da je bil ta sporazum v sklopu priloge 4 o večstranskih trgovinskih sporazumih vključen v pravilnik STO, kot je določeno v členu X.9 sporazuma STO, in meni, da je to lahko zgled za prihodnje večstranske sporazume;</w:t>
      </w:r>
    </w:p>
    <w:p w:rsidR="00877690" w:rsidRPr="00CA1143" w:rsidRDefault="00877690" w:rsidP="00877690">
      <w:pPr>
        <w:pStyle w:val="NormalHanging12a"/>
      </w:pPr>
      <w:r w:rsidRPr="00CA1143">
        <w:t>13.</w:t>
      </w:r>
      <w:r w:rsidRPr="00CA1143">
        <w:tab/>
        <w:t>poudarja pomen mnogostranskih in večstranskih pravil o digitalni trgovini, ki trenutno predstavlja 25 % celotne trgovine; odločno spodbuja prizadevanja za pravično in trajno rešitev za elektronske prenose, povezane z moratorijem, predvsem ob upoštevanju negativnih učinkov neobnovitve, zlasti na ženske ter mala in srednja podjetja; pozdravlja in podpira veliko število članov, ambiciozen načrt pogajanj in dosedanji napredek pri večstranskih pogajanjih STO o e-trgovanju; poudarja pomen prostega pretoka elektronskih prenosov, ki so bistveni za digitalno trgovino in zmanjšujejo stroške trgovanja, povečujejo blaginjo potrošnikov in izvozno konkurenčnost ter prinašajo znatne koristi, zlasti malim in srednjim podjetjem ter državam v razvoju; ponovno poudarja svoje stališče, da mora morebitni sporazum v tretjih državah omogočiti pošten dostop do trga za blago in storitve, povezane z e-trgovanjem, zagotoviti varstvo pravic potrošnikov in delavcev, prav tako pa olajšati poslovne inovacije; poudarja, da mora biti morebitni sporazum o e-trgovanju skladen z obstoječo in prihodnjo zakonodajo EU ter omogočati zadosten politični prostor za urejanje digitalnih tehnologij, zlasti v zvezi z vprašanji, kot so pretok podatkov, lokalizacija podatkov, varstvo podatkov, umetna inteligenca in izvorna koda; poziva vse partnerje, naj v celoti sodelujejo pri prizadevanjih za zaključek pogajanj do trinajste ministrske konference in jih podprejo; poudarja, da je treba premostiti digitalni razkorak z izmenjavo primerov dobre prakse in krepitvijo zmogljivosti;</w:t>
      </w:r>
    </w:p>
    <w:p w:rsidR="00877690" w:rsidRPr="00CA1143" w:rsidRDefault="00877690" w:rsidP="00877690">
      <w:pPr>
        <w:pStyle w:val="NormalHanging12a"/>
      </w:pPr>
      <w:r w:rsidRPr="00CA1143">
        <w:t>14.</w:t>
      </w:r>
      <w:r w:rsidRPr="00CA1143">
        <w:tab/>
        <w:t>spominja, da je STO zavezana mikro, malim in srednjim podjetjem, ter opozarja, da ta podjetja predstavljajo znaten del svetovnega gospodarstva in ponujajo neizkoriščen potencial v globalnih vrednostnih verigah; poziva članice, naj še naprej iščejo rešitve, ki bi mikro, malim in srednjim podjetjem pomagale povečati udeležbo v svetovni trgovini, pri čemer naj upoštevajo njihove posebne potrebe;</w:t>
      </w:r>
    </w:p>
    <w:p w:rsidR="00877690" w:rsidRPr="00CA1143" w:rsidRDefault="00877690" w:rsidP="00877690">
      <w:pPr>
        <w:pStyle w:val="NormalHanging12a"/>
      </w:pPr>
      <w:r w:rsidRPr="00CA1143">
        <w:t>15.</w:t>
      </w:r>
      <w:r w:rsidRPr="00CA1143">
        <w:tab/>
        <w:t xml:space="preserve">meni, da bi moral izid trinajste ministrske konference zagotoviti program trgovinske politike, ki bo temeljila na ukrepih in podpirala cilje trajnostnega razvoja do leta 2030 ter Pariški sporazum; odločno spodbuja članice STO, naj preučijo vse možne ukrepe, s katerimi bi prispevali k omejevanju emisij toplogrednih plinov v skladu z Okvirno konvencijo Združenih narodov o spremembi podnebja in sklepi COP28, izboljšali usklajevanje s Pariškim sporazumom in podnebno nevtralnostjo ter utrdili sodelovanje v STO pri ukrepih, ki jih sprejmejo posamezne članice; pozdravlja konstruktivne razprave, ki so potekale v okviru večstranskih pobud o reformi subvencij za fosilna goriva, dialogu o onesnaževanju s plastiko ter strukturiranih razpravah o trgovini in okoljski trajnosti; poziva k ponovnemu začetku pogajanj o sporazumu o okoljskih dobrinah; spodbuja STO, naj omogoči lažjo izmenjavo informacij in sodelovanje med članicami STO v zvezi z metodologijami oblikovanja cen ogljika; poudarja, da je treba nadaljevati razpravo o storitvah in blagu, tudi o postopkih in načinih proizvodnje, s katero bi prispevali k reševanju okoljskih in podnebnih izzivov; opozarja, da morajo biti vsi enostranski ukrepi, ki jih sprejmejo članice, v skladu s pravili STO, odločitev o uporabi izjem GATT pa je treba skrbno preučiti; poziva EU, naj ozavešča o svoji zakonodaji o trajnostnosti, kot so direktiva o skrbnem pregledu v podjetjih glede trajnostnosti, mehanizem za ogljično prilagoditev na mejah in uredba o krčenju gozdov, ter pojasni razloge za to zakonodajo, da bo priznana kot resničen in nediskriminatoren poskus prispevanja k uresničevanju svetovnih okoljskih ciljev in k večji trajnosti </w:t>
      </w:r>
      <w:r w:rsidRPr="00CA1143">
        <w:lastRenderedPageBreak/>
        <w:t>trgovine, tudi z zagotavljanjem več praktičnih informacij o tem, kako se predpisi uporabljajo v praksi; pozdravlja prvi „dan trgovine“ na konferenci COP28 in zgodovinski dosežek na konferenci COP za odmik od fosilnih goriv; pričakuje, da se bo sklep COP odražal v delu STO;</w:t>
      </w:r>
    </w:p>
    <w:p w:rsidR="00877690" w:rsidRPr="00CA1143" w:rsidRDefault="00877690" w:rsidP="00877690">
      <w:pPr>
        <w:pStyle w:val="NormalHanging12a"/>
      </w:pPr>
      <w:r w:rsidRPr="00CA1143">
        <w:t>16.</w:t>
      </w:r>
      <w:r w:rsidRPr="00CA1143">
        <w:tab/>
        <w:t>ponovno poudarja povezave med enakostjo spolov in vključujočim razvojem, ob tem pa tudi, da je krepitev vloge žensk ključnega pomena za izkoreninjenje revščine in da je hkratna odprava ovir za sodelovanje žensk v trgovini in odprava škodljivih učinkov sedanjih trgovinskih pravil na ženske v njihovih številnih vlogah bistvenega pomena za gospodarski razvoj; spodbuja vse članice STO, naj podpišejo izjavo iz Buenos Airesa iz leta 2017 o trgovini in krepitvi ekonomske vloge žensk, njene podpisnice pa poziva, naj izpolnijo svoje zaveze; pozdravlja ustanovitev neformalne delovne skupine STO za trgovino in enakost spolov; čestita STO za organizacijo svetovnega trgovinskega kongresa o enakosti spolov decembra 2022, pri katerem gre za prvo mednarodno raziskovalno konferenco o trgovini in enakosti spolov;</w:t>
      </w:r>
    </w:p>
    <w:p w:rsidR="00877690" w:rsidRPr="00CA1143" w:rsidRDefault="00877690" w:rsidP="00877690">
      <w:pPr>
        <w:pStyle w:val="NormalHanging12a"/>
      </w:pPr>
      <w:r w:rsidRPr="00CA1143">
        <w:t>17.</w:t>
      </w:r>
      <w:r w:rsidRPr="00CA1143">
        <w:tab/>
        <w:t>ugotavlja, da so se članice STO dogovorile, da bodo razpravljale o razširitvi področja uporabe sklepa o sporazumu TRIPS na diagnostiko in terapevtike v zvezi s covidom-19; poziva članice STO, naj sprejmejo. ministrske konference, hkrati pa naj ne pozabijo na spodbude za inovacije; poziva članice STO, naj pregledajo svoje nacionalne zakone in politike, da bi zagotovile popolno vključitev vseh ustreznih prilagodljivosti na področju intelektualne lastnine, ki ščitijo dostop do medicinskih izdelkov;</w:t>
      </w:r>
    </w:p>
    <w:p w:rsidR="00877690" w:rsidRPr="00CA1143" w:rsidRDefault="00877690" w:rsidP="00877690">
      <w:pPr>
        <w:pStyle w:val="NormalHanging12a"/>
      </w:pPr>
      <w:r w:rsidRPr="00CA1143">
        <w:t>18.</w:t>
      </w:r>
      <w:r w:rsidRPr="00CA1143">
        <w:tab/>
        <w:t>poziva Komisijo in Svet, naj poskrbita, da bo Parlament še naprej tesno vključen v priprave na trinajsto ministrsko konferenco, da bo redno prejemal obvestila in da se bosta med ministrsko konferenco leta 2024 z njim posvetovala;</w:t>
      </w:r>
    </w:p>
    <w:p w:rsidR="00877690" w:rsidRPr="00CA1143" w:rsidRDefault="00877690" w:rsidP="00877690">
      <w:pPr>
        <w:pStyle w:val="NormalHanging12a"/>
      </w:pPr>
      <w:r w:rsidRPr="00CA1143">
        <w:t>19.</w:t>
      </w:r>
      <w:r w:rsidRPr="00CA1143">
        <w:tab/>
        <w:t>poziva članice STO, naj okrepijo parlamentarno razsežnost te organizacije in parlamentarne konference ter tako zagotovijo demokratično legitimnost in preglednost; pozdravlja pomembno delo skupne parlamentarne konference Evropskega parlamenta in Medparlamentarne unije o STO; poudarja, da je treba poslancem omogočiti boljši dostop do vseh trgovinskih pogajanj in jih vključiti v oblikovanje in izvajanje odločitev STO; spodbuja voditelje, naj podprejo nov diskurz o trgovini, ki trgovino obravnava kot dejavnik, ki omogoča doseganje trajnosti, varnosti in vključenosti, in ne kot oviro;</w:t>
      </w:r>
    </w:p>
    <w:p w:rsidR="00877690" w:rsidRPr="00CA1143" w:rsidRDefault="00877690" w:rsidP="00877690">
      <w:pPr>
        <w:pStyle w:val="NormalHanging12a"/>
      </w:pPr>
      <w:r w:rsidRPr="00CA1143">
        <w:t>20.</w:t>
      </w:r>
      <w:r w:rsidRPr="00CA1143">
        <w:tab/>
        <w:t>poziva članice STO, naj okrepijo izmenjavo z vsemi deležniki, tudi s civilno družbo, sindikati in poslovnimi organizacijami, ter izboljšajo sodelovanje z drugimi mednarodnimi organizacijami, kot je Mednarodna organizacija dela in – širše – sistem OZN; pričakuje, da bodo voditelji več komunicirali na vseh ravneh o koristih trgovine, ki temelji na pravilih;</w:t>
      </w:r>
    </w:p>
    <w:p w:rsidR="00E365E1" w:rsidRPr="00CA1143" w:rsidRDefault="00877690" w:rsidP="00F73446">
      <w:pPr>
        <w:ind w:left="567" w:hanging="567"/>
      </w:pPr>
      <w:r w:rsidRPr="00CA1143">
        <w:t>21.</w:t>
      </w:r>
      <w:r w:rsidRPr="00CA1143">
        <w:tab/>
        <w:t>naroči svoji predsednici, naj to resolucijo posreduje Svetu, Komisiji, vladam in parlamentom držav članic ter generalnemu direktorju Svetovne trgovinske organizacije in Medparlamentarni uniji.</w:t>
      </w:r>
      <w:bookmarkStart w:id="8" w:name="TextBodyEnd"/>
      <w:bookmarkEnd w:id="8"/>
    </w:p>
    <w:sectPr w:rsidR="00E365E1" w:rsidRPr="00CA1143" w:rsidSect="00567D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09B" w:rsidRPr="00567DCF" w:rsidRDefault="00CB309B">
      <w:r w:rsidRPr="00567DCF">
        <w:separator/>
      </w:r>
    </w:p>
  </w:endnote>
  <w:endnote w:type="continuationSeparator" w:id="0">
    <w:p w:rsidR="00CB309B" w:rsidRPr="00567DCF" w:rsidRDefault="00CB309B">
      <w:r w:rsidRPr="00567D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D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D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D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09B" w:rsidRPr="00567DCF" w:rsidRDefault="00CB309B">
      <w:r w:rsidRPr="00567DCF">
        <w:separator/>
      </w:r>
    </w:p>
  </w:footnote>
  <w:footnote w:type="continuationSeparator" w:id="0">
    <w:p w:rsidR="00CB309B" w:rsidRPr="00567DCF" w:rsidRDefault="00CB309B">
      <w:r w:rsidRPr="00567DCF">
        <w:continuationSeparator/>
      </w:r>
    </w:p>
  </w:footnote>
  <w:footnote w:id="1">
    <w:p w:rsidR="00877690" w:rsidRPr="00F73446" w:rsidRDefault="00877690" w:rsidP="00567DCF">
      <w:pPr>
        <w:pStyle w:val="FootnoteText"/>
        <w:ind w:left="567" w:hanging="567"/>
        <w:rPr>
          <w:rStyle w:val="FootnoteReference"/>
          <w:sz w:val="24"/>
          <w:vertAlign w:val="baseline"/>
          <w:lang w:val="sl-SI"/>
        </w:rPr>
      </w:pPr>
      <w:r w:rsidRPr="00567DCF">
        <w:rPr>
          <w:rStyle w:val="FootnoteReference"/>
          <w:sz w:val="24"/>
          <w:lang w:val="sl-SI"/>
        </w:rPr>
        <w:footnoteRef/>
      </w:r>
      <w:r w:rsidR="00567DCF" w:rsidRPr="00567DCF">
        <w:rPr>
          <w:sz w:val="24"/>
          <w:lang w:val="sl-SI"/>
        </w:rPr>
        <w:t xml:space="preserve"> </w:t>
      </w:r>
      <w:r w:rsidR="00567DCF" w:rsidRPr="00567DCF">
        <w:rPr>
          <w:sz w:val="24"/>
          <w:lang w:val="sl-SI"/>
        </w:rPr>
        <w:tab/>
      </w:r>
      <w:r w:rsidRPr="00F73446">
        <w:rPr>
          <w:rStyle w:val="FootnoteReference"/>
          <w:sz w:val="24"/>
          <w:vertAlign w:val="baseline"/>
          <w:lang w:val="sl-SI"/>
        </w:rPr>
        <w:t>Deklaracija ministrske konference iz Dohe (WT/MIN(01)/DEC/1) z dne 14. novembra 2001.</w:t>
      </w:r>
    </w:p>
  </w:footnote>
  <w:footnote w:id="2">
    <w:p w:rsidR="00877690" w:rsidRPr="00567DCF" w:rsidRDefault="00877690" w:rsidP="00567DCF">
      <w:pPr>
        <w:pStyle w:val="FootnoteText"/>
        <w:ind w:left="567" w:hanging="567"/>
        <w:rPr>
          <w:rStyle w:val="FootnoteReference"/>
          <w:sz w:val="24"/>
          <w:lang w:val="sl-SI"/>
        </w:rPr>
      </w:pPr>
      <w:r w:rsidRPr="00567DCF">
        <w:rPr>
          <w:rStyle w:val="FootnoteReference"/>
          <w:sz w:val="24"/>
          <w:lang w:val="sl-SI"/>
        </w:rPr>
        <w:footnoteRef/>
      </w:r>
      <w:r w:rsidR="00567DCF" w:rsidRPr="00567DCF">
        <w:rPr>
          <w:sz w:val="24"/>
          <w:lang w:val="sl-SI"/>
        </w:rPr>
        <w:t xml:space="preserve"> </w:t>
      </w:r>
      <w:r w:rsidR="00567DCF" w:rsidRPr="00567DCF">
        <w:rPr>
          <w:sz w:val="24"/>
          <w:lang w:val="sl-SI"/>
        </w:rPr>
        <w:tab/>
      </w:r>
      <w:r w:rsidRPr="00F73446">
        <w:rPr>
          <w:rStyle w:val="FootnoteReference"/>
          <w:sz w:val="24"/>
          <w:vertAlign w:val="baseline"/>
          <w:lang w:val="sl-SI"/>
        </w:rPr>
        <w:t>UL C 224, 8.6.2022, str. 89.</w:t>
      </w:r>
    </w:p>
  </w:footnote>
  <w:footnote w:id="3">
    <w:p w:rsidR="00877690" w:rsidRPr="00F73446" w:rsidRDefault="00877690" w:rsidP="00567DCF">
      <w:pPr>
        <w:pStyle w:val="FootnoteText"/>
        <w:ind w:left="567" w:hanging="567"/>
        <w:rPr>
          <w:rStyle w:val="FootnoteReference"/>
          <w:sz w:val="24"/>
          <w:vertAlign w:val="baseline"/>
          <w:lang w:val="sl-SI"/>
        </w:rPr>
      </w:pPr>
      <w:r w:rsidRPr="00567DCF">
        <w:rPr>
          <w:rStyle w:val="FootnoteReference"/>
          <w:sz w:val="24"/>
          <w:lang w:val="sl-SI"/>
        </w:rPr>
        <w:footnoteRef/>
      </w:r>
      <w:r w:rsidR="00567DCF" w:rsidRPr="00567DCF">
        <w:rPr>
          <w:sz w:val="24"/>
          <w:lang w:val="sl-SI"/>
        </w:rPr>
        <w:t xml:space="preserve"> </w:t>
      </w:r>
      <w:r w:rsidR="00567DCF" w:rsidRPr="00567DCF">
        <w:rPr>
          <w:sz w:val="24"/>
          <w:lang w:val="sl-SI"/>
        </w:rPr>
        <w:tab/>
      </w:r>
      <w:r w:rsidRPr="00F73446">
        <w:rPr>
          <w:rStyle w:val="FootnoteReference"/>
          <w:sz w:val="24"/>
          <w:vertAlign w:val="baseline"/>
          <w:lang w:val="sl-SI"/>
        </w:rPr>
        <w:t>UL C 363, 28.10.2020, str. 113.</w:t>
      </w:r>
    </w:p>
  </w:footnote>
  <w:footnote w:id="4">
    <w:p w:rsidR="00877690" w:rsidRPr="00F73446" w:rsidRDefault="00877690" w:rsidP="00567DCF">
      <w:pPr>
        <w:pStyle w:val="FootnoteText"/>
        <w:ind w:left="567" w:hanging="567"/>
        <w:rPr>
          <w:rStyle w:val="FootnoteReference"/>
          <w:sz w:val="24"/>
          <w:vertAlign w:val="baseline"/>
          <w:lang w:val="sl-SI"/>
        </w:rPr>
      </w:pPr>
      <w:r w:rsidRPr="00567DCF">
        <w:rPr>
          <w:rStyle w:val="FootnoteReference"/>
          <w:sz w:val="24"/>
          <w:lang w:val="sl-SI"/>
        </w:rPr>
        <w:footnoteRef/>
      </w:r>
      <w:r w:rsidR="00567DCF" w:rsidRPr="00567DCF">
        <w:rPr>
          <w:sz w:val="24"/>
          <w:lang w:val="sl-SI"/>
        </w:rPr>
        <w:t xml:space="preserve"> </w:t>
      </w:r>
      <w:r w:rsidR="00567DCF" w:rsidRPr="00567DCF">
        <w:rPr>
          <w:sz w:val="24"/>
          <w:lang w:val="sl-SI"/>
        </w:rPr>
        <w:tab/>
      </w:r>
      <w:r w:rsidRPr="00F73446">
        <w:rPr>
          <w:rStyle w:val="FootnoteReference"/>
          <w:sz w:val="24"/>
          <w:vertAlign w:val="baseline"/>
          <w:lang w:val="sl-SI"/>
        </w:rPr>
        <w:t>UL C 232, 16.6.2021, str. 62.</w:t>
      </w:r>
    </w:p>
  </w:footnote>
  <w:footnote w:id="5">
    <w:p w:rsidR="00877690" w:rsidRPr="00567DCF" w:rsidRDefault="00877690" w:rsidP="00567DCF">
      <w:pPr>
        <w:pStyle w:val="FootnoteText"/>
        <w:ind w:left="567" w:hanging="567"/>
        <w:rPr>
          <w:rStyle w:val="FootnoteReference"/>
          <w:sz w:val="24"/>
          <w:lang w:val="sl-SI"/>
        </w:rPr>
      </w:pPr>
      <w:r w:rsidRPr="00567DCF">
        <w:rPr>
          <w:rStyle w:val="FootnoteReference"/>
          <w:sz w:val="24"/>
          <w:lang w:val="sl-SI"/>
        </w:rPr>
        <w:footnoteRef/>
      </w:r>
      <w:r w:rsidR="00567DCF" w:rsidRPr="00567DCF">
        <w:rPr>
          <w:sz w:val="24"/>
          <w:lang w:val="sl-SI"/>
        </w:rPr>
        <w:t xml:space="preserve"> </w:t>
      </w:r>
      <w:r w:rsidR="00567DCF" w:rsidRPr="00567DCF">
        <w:rPr>
          <w:sz w:val="24"/>
          <w:lang w:val="sl-SI"/>
        </w:rPr>
        <w:tab/>
      </w:r>
      <w:hyperlink r:id="rId1" w:history="1">
        <w:r w:rsidR="00F73446" w:rsidRPr="00F73446">
          <w:rPr>
            <w:rStyle w:val="Hyperlink"/>
            <w:sz w:val="24"/>
            <w:lang w:val="sl-SI"/>
          </w:rPr>
          <w:t>https://www.europarl.europa.eu/cmsdata/158345/outcome_document-final-e.pdf</w:t>
        </w:r>
      </w:hyperlink>
    </w:p>
  </w:footnote>
  <w:footnote w:id="6">
    <w:p w:rsidR="00877690" w:rsidRPr="00F73446" w:rsidRDefault="00877690" w:rsidP="00567DCF">
      <w:pPr>
        <w:pStyle w:val="FootnoteText"/>
        <w:ind w:left="567" w:hanging="567"/>
        <w:rPr>
          <w:sz w:val="24"/>
          <w:lang w:val="sl-SI"/>
        </w:rPr>
      </w:pPr>
      <w:r w:rsidRPr="00567DCF">
        <w:rPr>
          <w:rStyle w:val="FootnoteReference"/>
          <w:sz w:val="24"/>
          <w:lang w:val="sl-SI"/>
        </w:rPr>
        <w:footnoteRef/>
      </w:r>
      <w:r w:rsidR="00567DCF" w:rsidRPr="00567DCF">
        <w:rPr>
          <w:sz w:val="24"/>
          <w:lang w:val="sl-SI"/>
        </w:rPr>
        <w:t xml:space="preserve"> </w:t>
      </w:r>
      <w:r w:rsidR="00567DCF" w:rsidRPr="00567DCF">
        <w:rPr>
          <w:sz w:val="24"/>
          <w:lang w:val="sl-SI"/>
        </w:rPr>
        <w:tab/>
      </w:r>
      <w:hyperlink r:id="rId2" w:history="1">
        <w:r w:rsidRPr="00F73446">
          <w:rPr>
            <w:rStyle w:val="Hyperlink"/>
            <w:sz w:val="24"/>
            <w:lang w:val="sl-SI"/>
          </w:rPr>
          <w:t>https://www.europarl.europa.eu/cmsdata/231517/2017_PCWTO_outcome_EN.pdf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D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D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67D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SL"/>
    <w:docVar w:name="dvnumam" w:val="0"/>
    <w:docVar w:name="dvpe" w:val="753.647"/>
    <w:docVar w:name="dvtitre" w:val="Resolucija Evropskega parlamenta z dne 8. februarja 2024 o večstranskih pogajanjih v okviru priprav na trinajsto ministrsko konferenco STO, ki bo od 26. do 29. februarja 2024 v Abu Dabiju(2023/2868(RSP))"/>
  </w:docVars>
  <w:rsids>
    <w:rsidRoot w:val="00CB309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DC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7690"/>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143"/>
    <w:rsid w:val="00CB309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44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DDB21"/>
  <w15:chartTrackingRefBased/>
  <w15:docId w15:val="{4FF291BE-DC1F-40FB-8F4A-CD98B1D9B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7690"/>
    <w:pPr>
      <w:spacing w:before="480" w:after="240"/>
    </w:pPr>
  </w:style>
  <w:style w:type="paragraph" w:customStyle="1" w:styleId="NormalHanging12a">
    <w:name w:val="NormalHanging12a"/>
    <w:basedOn w:val="Normal"/>
    <w:link w:val="NormalHanging12aChar"/>
    <w:rsid w:val="00877690"/>
    <w:pPr>
      <w:spacing w:after="240"/>
      <w:ind w:left="567" w:hanging="567"/>
    </w:pPr>
  </w:style>
  <w:style w:type="character" w:customStyle="1" w:styleId="NormalHanging12aChar">
    <w:name w:val="NormalHanging12a Char"/>
    <w:basedOn w:val="DefaultParagraphFont"/>
    <w:link w:val="NormalHanging12a"/>
    <w:locked/>
    <w:rsid w:val="00877690"/>
    <w:rPr>
      <w:sz w:val="24"/>
      <w:lang w:val="sl-SI"/>
    </w:rPr>
  </w:style>
  <w:style w:type="character" w:styleId="Hyperlink">
    <w:name w:val="Hyperlink"/>
    <w:basedOn w:val="DefaultParagraphFont"/>
    <w:rsid w:val="00F73446"/>
    <w:rPr>
      <w:color w:val="0563C1" w:themeColor="hyperlink"/>
      <w:u w:val="single"/>
    </w:rPr>
  </w:style>
  <w:style w:type="paragraph" w:styleId="BalloonText">
    <w:name w:val="Balloon Text"/>
    <w:basedOn w:val="Normal"/>
    <w:link w:val="BalloonTextChar"/>
    <w:rsid w:val="00CA1143"/>
    <w:rPr>
      <w:rFonts w:ascii="Segoe UI" w:hAnsi="Segoe UI" w:cs="Segoe UI"/>
      <w:sz w:val="18"/>
      <w:szCs w:val="18"/>
    </w:rPr>
  </w:style>
  <w:style w:type="character" w:customStyle="1" w:styleId="BalloonTextChar">
    <w:name w:val="Balloon Text Char"/>
    <w:basedOn w:val="DefaultParagraphFont"/>
    <w:link w:val="BalloonText"/>
    <w:rsid w:val="00CA1143"/>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uroparl.europa.eu/cmsdata/231517/2017_PCWTO_outcome_EN.pdf" TargetMode="External"/><Relationship Id="rId1" Type="http://schemas.openxmlformats.org/officeDocument/2006/relationships/hyperlink" Target="https://www.europarl.europa.eu/cmsdata/158345/outcome_document-final-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8CF54-F5DD-4C82-9517-FCA4A9A04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3132</Words>
  <Characters>18801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2024-02-07T15:30:00Z</dcterms:created>
  <dcterms:modified xsi:type="dcterms:W3CDTF">2024-02-07T15:30:00Z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B9-0090/2024</vt:lpwstr>
  </property>
  <property fmtid="{D5CDD505-2E9C-101B-9397-08002B2CF9AE}" pid="4" name="&lt;Type&gt;">
    <vt:lpwstr>RR</vt:lpwstr>
  </property>
</Properties>
</file>