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0BF4" w:rsidTr="0010095E">
        <w:trPr>
          <w:trHeight w:hRule="exact" w:val="1418"/>
        </w:trPr>
        <w:tc>
          <w:tcPr>
            <w:tcW w:w="6804" w:type="dxa"/>
            <w:shd w:val="clear" w:color="auto" w:fill="auto"/>
            <w:vAlign w:val="center"/>
          </w:tcPr>
          <w:p w:rsidR="00751A4A" w:rsidRPr="00920BF4" w:rsidRDefault="00CA7540" w:rsidP="0010095E">
            <w:pPr>
              <w:pStyle w:val="EPName"/>
            </w:pPr>
            <w:r w:rsidRPr="00920BF4">
              <w:t>Europaparlamentet</w:t>
            </w:r>
          </w:p>
          <w:p w:rsidR="00751A4A" w:rsidRPr="00920BF4" w:rsidRDefault="00817416" w:rsidP="00756632">
            <w:pPr>
              <w:pStyle w:val="EPTerm"/>
              <w:rPr>
                <w:rStyle w:val="HideTWBExt"/>
                <w:noProof w:val="0"/>
                <w:vanish w:val="0"/>
                <w:color w:val="auto"/>
              </w:rPr>
            </w:pPr>
            <w:r w:rsidRPr="00920BF4">
              <w:t>2019-2024</w:t>
            </w:r>
          </w:p>
        </w:tc>
        <w:tc>
          <w:tcPr>
            <w:tcW w:w="2268" w:type="dxa"/>
            <w:shd w:val="clear" w:color="auto" w:fill="auto"/>
          </w:tcPr>
          <w:p w:rsidR="00751A4A" w:rsidRPr="00920BF4" w:rsidRDefault="00187494" w:rsidP="0010095E">
            <w:pPr>
              <w:pStyle w:val="EPLogo"/>
            </w:pPr>
            <w:r w:rsidRPr="00920BF4">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20BF4" w:rsidRDefault="00D058B8" w:rsidP="004C5D52">
      <w:pPr>
        <w:pStyle w:val="LineTop"/>
      </w:pPr>
    </w:p>
    <w:p w:rsidR="00680577" w:rsidRPr="00920BF4" w:rsidRDefault="00CA7540" w:rsidP="00680577">
      <w:pPr>
        <w:pStyle w:val="EPBodyTA1"/>
      </w:pPr>
      <w:r w:rsidRPr="00920BF4">
        <w:t>ANTAGNA TEXTER</w:t>
      </w:r>
    </w:p>
    <w:p w:rsidR="00D058B8" w:rsidRPr="00920BF4" w:rsidRDefault="00D058B8" w:rsidP="00D058B8">
      <w:pPr>
        <w:pStyle w:val="LineBottom"/>
      </w:pPr>
    </w:p>
    <w:p w:rsidR="00CA7540" w:rsidRPr="00920BF4" w:rsidRDefault="00CA7540" w:rsidP="00CA7540">
      <w:pPr>
        <w:pStyle w:val="ATHeading1"/>
      </w:pPr>
      <w:bookmarkStart w:id="0" w:name="TANumber"/>
      <w:r w:rsidRPr="00920BF4">
        <w:t>P9_TA(2024)00</w:t>
      </w:r>
      <w:r w:rsidR="00F232F6">
        <w:t>78</w:t>
      </w:r>
      <w:bookmarkEnd w:id="0"/>
    </w:p>
    <w:p w:rsidR="00CA7540" w:rsidRPr="00920BF4" w:rsidRDefault="00CA7540" w:rsidP="00CA7540">
      <w:pPr>
        <w:pStyle w:val="ATHeading2"/>
      </w:pPr>
      <w:bookmarkStart w:id="1" w:name="title"/>
      <w:r w:rsidRPr="00920BF4">
        <w:t>Multilaterala förhandlingar inför WTO:s trettonde ministerkonferens i Abu Dhabi den 26–29 februari 2024</w:t>
      </w:r>
      <w:bookmarkEnd w:id="1"/>
    </w:p>
    <w:p w:rsidR="00CA7540" w:rsidRPr="00920BF4" w:rsidRDefault="00CA7540" w:rsidP="00CA7540">
      <w:pPr>
        <w:rPr>
          <w:i/>
          <w:vanish/>
        </w:rPr>
      </w:pPr>
      <w:r w:rsidRPr="00920BF4">
        <w:rPr>
          <w:i/>
        </w:rPr>
        <w:fldChar w:fldCharType="begin"/>
      </w:r>
      <w:r w:rsidRPr="00920BF4">
        <w:rPr>
          <w:i/>
        </w:rPr>
        <w:instrText xml:space="preserve"> TC"(</w:instrText>
      </w:r>
      <w:bookmarkStart w:id="2" w:name="DocNumber"/>
      <w:r w:rsidRPr="00920BF4">
        <w:rPr>
          <w:i/>
        </w:rPr>
        <w:instrText>B9-0090/2024</w:instrText>
      </w:r>
      <w:bookmarkEnd w:id="2"/>
      <w:r w:rsidRPr="00920BF4">
        <w:rPr>
          <w:i/>
        </w:rPr>
        <w:instrText xml:space="preserve">)"\l3 \n&gt; \* MERGEFORMAT </w:instrText>
      </w:r>
      <w:r w:rsidRPr="00920BF4">
        <w:rPr>
          <w:i/>
        </w:rPr>
        <w:fldChar w:fldCharType="end"/>
      </w:r>
    </w:p>
    <w:p w:rsidR="00CA7540" w:rsidRPr="00920BF4" w:rsidRDefault="00CA7540" w:rsidP="00CA7540">
      <w:pPr>
        <w:rPr>
          <w:vanish/>
        </w:rPr>
      </w:pPr>
      <w:bookmarkStart w:id="3" w:name="PE"/>
      <w:r w:rsidRPr="00920BF4">
        <w:rPr>
          <w:vanish/>
        </w:rPr>
        <w:t>PE753.647</w:t>
      </w:r>
      <w:bookmarkEnd w:id="3"/>
    </w:p>
    <w:p w:rsidR="00CA7540" w:rsidRPr="00920BF4" w:rsidRDefault="00CA7540" w:rsidP="00CA7540">
      <w:pPr>
        <w:pStyle w:val="ATHeading3"/>
      </w:pPr>
      <w:bookmarkStart w:id="4" w:name="Sujet"/>
      <w:r w:rsidRPr="00920BF4">
        <w:t xml:space="preserve">Europaparlamentets resolution av den </w:t>
      </w:r>
      <w:r w:rsidR="000D6AD3">
        <w:t>8</w:t>
      </w:r>
      <w:r w:rsidRPr="00920BF4">
        <w:t xml:space="preserve"> </w:t>
      </w:r>
      <w:r w:rsidR="009F7F10">
        <w:t>februari</w:t>
      </w:r>
      <w:r w:rsidRPr="00920BF4">
        <w:t xml:space="preserve"> 2024 om multilaterala förhandlingar inför WTO:s trettonde ministerkonferens i Abu Dhabi den 26–29 februari 2024</w:t>
      </w:r>
      <w:bookmarkEnd w:id="4"/>
      <w:r w:rsidRPr="00920BF4">
        <w:t xml:space="preserve"> </w:t>
      </w:r>
      <w:bookmarkStart w:id="5" w:name="References"/>
      <w:r w:rsidRPr="00920BF4">
        <w:t>(2023/2868(RSP))</w:t>
      </w:r>
      <w:bookmarkEnd w:id="5"/>
    </w:p>
    <w:p w:rsidR="00DD6912" w:rsidRPr="00920BF4" w:rsidRDefault="00DD6912" w:rsidP="00DD6912">
      <w:pPr>
        <w:pStyle w:val="EPComma"/>
      </w:pPr>
      <w:bookmarkStart w:id="6" w:name="TextBodyBegin"/>
      <w:bookmarkEnd w:id="6"/>
      <w:r w:rsidRPr="00920BF4">
        <w:rPr>
          <w:i/>
          <w:iCs/>
        </w:rPr>
        <w:t>Europaparlamentet utfärdar denna resolution</w:t>
      </w:r>
    </w:p>
    <w:p w:rsidR="00DD6912" w:rsidRPr="00920BF4" w:rsidRDefault="00DD6912" w:rsidP="00DD6912">
      <w:pPr>
        <w:pStyle w:val="NormalHanging12a"/>
        <w:widowControl/>
        <w:rPr>
          <w:szCs w:val="24"/>
        </w:rPr>
      </w:pPr>
      <w:r w:rsidRPr="00920BF4">
        <w:t>–</w:t>
      </w:r>
      <w:r w:rsidRPr="00920BF4">
        <w:tab/>
        <w:t>med beaktande av Marrakechavtalet av den 15 april 1994, genom vilket Världshandelsorganisationen (WTO) inrättades,</w:t>
      </w:r>
    </w:p>
    <w:p w:rsidR="00DD6912" w:rsidRPr="00920BF4" w:rsidRDefault="00DD6912" w:rsidP="00DD6912">
      <w:pPr>
        <w:pStyle w:val="NormalHanging12a"/>
        <w:widowControl/>
        <w:rPr>
          <w:szCs w:val="24"/>
        </w:rPr>
      </w:pPr>
      <w:r w:rsidRPr="00920BF4">
        <w:t>–</w:t>
      </w:r>
      <w:r w:rsidRPr="00920BF4">
        <w:tab/>
        <w:t>med beaktande av förklaringen från WTO:s ministerkonferens i Doha av den 14 november 2001</w:t>
      </w:r>
      <w:r w:rsidRPr="00920BF4">
        <w:rPr>
          <w:rStyle w:val="FootnoteReference"/>
          <w:color w:val="000000"/>
          <w:szCs w:val="24"/>
        </w:rPr>
        <w:footnoteReference w:id="1"/>
      </w:r>
      <w:r w:rsidRPr="00920BF4">
        <w:t>,</w:t>
      </w:r>
    </w:p>
    <w:p w:rsidR="00DD6912" w:rsidRPr="00920BF4" w:rsidRDefault="00DD6912" w:rsidP="00DD6912">
      <w:pPr>
        <w:pStyle w:val="NormalHanging12a"/>
        <w:widowControl/>
        <w:rPr>
          <w:szCs w:val="24"/>
        </w:rPr>
      </w:pPr>
      <w:r w:rsidRPr="00920BF4">
        <w:t>–</w:t>
      </w:r>
      <w:r w:rsidRPr="00920BF4">
        <w:tab/>
        <w:t>med beaktande av sina tidigare resolutioner om WTO, särskilt resolutionerna av den 25 november 2021 om multilaterala förhandlingar inför WTO:s tolfte ministerkonferens</w:t>
      </w:r>
      <w:r w:rsidRPr="00920BF4">
        <w:rPr>
          <w:rStyle w:val="FootnoteReference"/>
          <w:color w:val="000000"/>
          <w:szCs w:val="24"/>
        </w:rPr>
        <w:footnoteReference w:id="2"/>
      </w:r>
      <w:r w:rsidRPr="00920BF4">
        <w:t xml:space="preserve">, av den 29 november 2018 </w:t>
      </w:r>
      <w:r w:rsidRPr="00920BF4">
        <w:rPr>
          <w:i/>
          <w:iCs/>
        </w:rPr>
        <w:t>WTO: vägen framåt</w:t>
      </w:r>
      <w:r w:rsidRPr="00920BF4">
        <w:rPr>
          <w:rStyle w:val="FootnoteReference"/>
          <w:color w:val="000000"/>
          <w:szCs w:val="24"/>
        </w:rPr>
        <w:footnoteReference w:id="3"/>
      </w:r>
      <w:r w:rsidRPr="00920BF4">
        <w:t xml:space="preserve"> och av den 28 november 2019 om krisen avseende WTO:s överprövningsorgan</w:t>
      </w:r>
      <w:r w:rsidRPr="00920BF4">
        <w:rPr>
          <w:rStyle w:val="FootnoteReference"/>
          <w:color w:val="000000"/>
          <w:szCs w:val="24"/>
        </w:rPr>
        <w:footnoteReference w:id="4"/>
      </w:r>
      <w:r w:rsidRPr="00920BF4">
        <w:t>,</w:t>
      </w:r>
    </w:p>
    <w:p w:rsidR="00DD6912" w:rsidRPr="00920BF4" w:rsidRDefault="00DD6912" w:rsidP="00DD6912">
      <w:pPr>
        <w:pStyle w:val="NormalHanging12a"/>
        <w:rPr>
          <w:color w:val="000000"/>
        </w:rPr>
      </w:pPr>
      <w:r w:rsidRPr="00920BF4">
        <w:t>–</w:t>
      </w:r>
      <w:r w:rsidRPr="00920BF4">
        <w:tab/>
        <w:t>med beaktande av de slutdokument som antogs enhälligt vid årsmötena för den parlamentariska konferensen om WTO den 7 december 2018 i Genève</w:t>
      </w:r>
      <w:r w:rsidRPr="00920BF4">
        <w:rPr>
          <w:rStyle w:val="FootnoteReference"/>
          <w:color w:val="000000"/>
          <w:szCs w:val="24"/>
        </w:rPr>
        <w:footnoteReference w:id="5"/>
      </w:r>
      <w:r w:rsidRPr="00920BF4">
        <w:t xml:space="preserve"> och den 10 december 2017 i Buenos Aires</w:t>
      </w:r>
      <w:r w:rsidRPr="00920BF4">
        <w:rPr>
          <w:rStyle w:val="FootnoteReference"/>
          <w:color w:val="000000"/>
          <w:szCs w:val="24"/>
        </w:rPr>
        <w:footnoteReference w:id="6"/>
      </w:r>
      <w:r w:rsidRPr="00920BF4">
        <w:t>,</w:t>
      </w:r>
    </w:p>
    <w:p w:rsidR="00DD6912" w:rsidRPr="00920BF4" w:rsidRDefault="00DD6912" w:rsidP="00DD6912">
      <w:pPr>
        <w:pStyle w:val="NormalHanging12a"/>
        <w:rPr>
          <w:color w:val="000000"/>
        </w:rPr>
      </w:pPr>
      <w:r w:rsidRPr="00920BF4">
        <w:rPr>
          <w:color w:val="000000"/>
        </w:rPr>
        <w:t>–</w:t>
      </w:r>
      <w:r w:rsidRPr="00920BF4">
        <w:rPr>
          <w:color w:val="000000"/>
        </w:rPr>
        <w:tab/>
        <w:t>med beaktande av resultaten från WTO:s tolfte ministerkonferens i Genève i juni 2022, som omfattar slutdokument, en rad ministerbeslut och förklaringar samt ett avtal om fiskesubventioner,</w:t>
      </w:r>
    </w:p>
    <w:p w:rsidR="00DD6912" w:rsidRPr="00920BF4" w:rsidRDefault="00DD6912" w:rsidP="00DD6912">
      <w:pPr>
        <w:pStyle w:val="NormalHanging12a"/>
        <w:rPr>
          <w:color w:val="000000"/>
        </w:rPr>
      </w:pPr>
      <w:r w:rsidRPr="00920BF4">
        <w:rPr>
          <w:color w:val="000000"/>
        </w:rPr>
        <w:t>–</w:t>
      </w:r>
      <w:r w:rsidRPr="00920BF4">
        <w:rPr>
          <w:color w:val="000000"/>
        </w:rPr>
        <w:tab/>
        <w:t xml:space="preserve">med beaktande av resultaten från WTO:s elfte ministerkonferens i Buenos Aires i december 2017, som omfattar en rad ministerbeslut och gemensamma uttalanden om elektronisk handel, om underlättande av investeringar, om inhemsk tjänstereglering och </w:t>
      </w:r>
      <w:r w:rsidRPr="00920BF4">
        <w:rPr>
          <w:color w:val="000000"/>
        </w:rPr>
        <w:lastRenderedPageBreak/>
        <w:t>om mikroföretag samt små och medelstora företag,</w:t>
      </w:r>
    </w:p>
    <w:p w:rsidR="00DD6912" w:rsidRPr="00920BF4" w:rsidRDefault="00DD6912" w:rsidP="00DD6912">
      <w:pPr>
        <w:pStyle w:val="NormalHanging12a"/>
        <w:rPr>
          <w:color w:val="000000"/>
        </w:rPr>
      </w:pPr>
      <w:r w:rsidRPr="00920BF4">
        <w:rPr>
          <w:color w:val="000000"/>
        </w:rPr>
        <w:t>–</w:t>
      </w:r>
      <w:r w:rsidRPr="00920BF4">
        <w:rPr>
          <w:color w:val="000000"/>
        </w:rPr>
        <w:tab/>
        <w:t>med beaktande av Buenos Aires-förklaringen om handel och kvinnors ekonomiska egenmakt, som antogs den 12 december 2017, och den informella arbetsgruppen för handel och jämställdhet, som inrättades den 23 september 2020,</w:t>
      </w:r>
    </w:p>
    <w:p w:rsidR="00DD6912" w:rsidRPr="00920BF4" w:rsidRDefault="00DD6912" w:rsidP="00DD6912">
      <w:pPr>
        <w:pStyle w:val="NormalHanging12a"/>
        <w:rPr>
          <w:color w:val="000000"/>
        </w:rPr>
      </w:pPr>
      <w:r w:rsidRPr="00920BF4">
        <w:rPr>
          <w:color w:val="000000"/>
        </w:rPr>
        <w:t>–</w:t>
      </w:r>
      <w:r w:rsidRPr="00920BF4">
        <w:rPr>
          <w:color w:val="000000"/>
        </w:rPr>
        <w:tab/>
      </w:r>
      <w:r w:rsidRPr="00920BF4">
        <w:t>med beaktande av ministeruttalandena, från ministrar som företrädde WTO:s medlemmar, av den 10 december 2021 om plastföroreningar och miljömässigt hållbar handel med plast, av den 14 december 2021 om handel och miljömässig hållbarhet och av den 14 december 2021 om subventioner till fossila bränslen,</w:t>
      </w:r>
    </w:p>
    <w:p w:rsidR="00DD6912" w:rsidRPr="00920BF4" w:rsidRDefault="00DD6912" w:rsidP="00DD6912">
      <w:pPr>
        <w:pStyle w:val="NormalHanging12a"/>
        <w:rPr>
          <w:color w:val="000000"/>
        </w:rPr>
      </w:pPr>
      <w:r w:rsidRPr="00920BF4">
        <w:rPr>
          <w:color w:val="000000"/>
        </w:rPr>
        <w:t>–</w:t>
      </w:r>
      <w:r w:rsidRPr="00920BF4">
        <w:rPr>
          <w:color w:val="000000"/>
        </w:rPr>
        <w:tab/>
        <w:t>med beaktande av FN:s mål för hållbar utveckling,</w:t>
      </w:r>
    </w:p>
    <w:p w:rsidR="00DD6912" w:rsidRPr="00920BF4" w:rsidRDefault="00DD6912" w:rsidP="00DD6912">
      <w:pPr>
        <w:pStyle w:val="NormalHanging12a"/>
        <w:widowControl/>
        <w:rPr>
          <w:szCs w:val="24"/>
        </w:rPr>
      </w:pPr>
      <w:r w:rsidRPr="00920BF4">
        <w:t>–</w:t>
      </w:r>
      <w:r w:rsidRPr="00920BF4">
        <w:tab/>
        <w:t>med beaktande av Parisavtalet inom ramen för Förenta nationernas ramkonvention om klimatförändringar (UNFCCC), som har varit i kraft sedan november 2016,</w:t>
      </w:r>
    </w:p>
    <w:p w:rsidR="00DD6912" w:rsidRPr="00920BF4" w:rsidRDefault="00DD6912" w:rsidP="00DD6912">
      <w:pPr>
        <w:pStyle w:val="NormalHanging12a"/>
        <w:widowControl/>
        <w:rPr>
          <w:szCs w:val="24"/>
        </w:rPr>
      </w:pPr>
      <w:r w:rsidRPr="00920BF4">
        <w:t>–</w:t>
      </w:r>
      <w:r w:rsidRPr="00920BF4">
        <w:tab/>
        <w:t xml:space="preserve">med beaktande av kommissionens meddelande av den 18 februari 2021 </w:t>
      </w:r>
      <w:r w:rsidRPr="00920BF4">
        <w:rPr>
          <w:i/>
          <w:iCs/>
        </w:rPr>
        <w:t>Översyn av handelspolitiken – En öppen, hållbar och bestämd handelspolitik</w:t>
      </w:r>
      <w:r w:rsidRPr="00920BF4">
        <w:t xml:space="preserve"> och dess bilaga </w:t>
      </w:r>
      <w:r w:rsidRPr="00920BF4">
        <w:rPr>
          <w:i/>
          <w:iCs/>
        </w:rPr>
        <w:t>Reformen av WTO – Mot ett hållbart och ändamålsenligt multilateralt handelssystem</w:t>
      </w:r>
      <w:r w:rsidRPr="00920BF4">
        <w:t xml:space="preserve"> (COM(2021)0066),</w:t>
      </w:r>
    </w:p>
    <w:p w:rsidR="00DD6912" w:rsidRPr="00920BF4" w:rsidRDefault="00DD6912" w:rsidP="00DD6912">
      <w:pPr>
        <w:pStyle w:val="NormalHanging12a"/>
        <w:widowControl/>
        <w:rPr>
          <w:szCs w:val="24"/>
        </w:rPr>
      </w:pPr>
      <w:r w:rsidRPr="00920BF4">
        <w:t>–</w:t>
      </w:r>
      <w:r w:rsidRPr="00920BF4">
        <w:tab/>
        <w:t>med beaktande av artikel 132.2 i arbetsordningen,</w:t>
      </w:r>
    </w:p>
    <w:p w:rsidR="00DD6912" w:rsidRPr="00920BF4" w:rsidRDefault="00DD6912" w:rsidP="00DD6912">
      <w:pPr>
        <w:pStyle w:val="NormalHanging12a"/>
        <w:widowControl/>
        <w:rPr>
          <w:szCs w:val="24"/>
        </w:rPr>
      </w:pPr>
      <w:r w:rsidRPr="00920BF4">
        <w:t>–</w:t>
      </w:r>
      <w:r w:rsidRPr="00920BF4">
        <w:tab/>
        <w:t>med beaktande av förslaget till resolution från utskottet för internationell handel, och av följande skäl:</w:t>
      </w:r>
    </w:p>
    <w:p w:rsidR="00DD6912" w:rsidRPr="00920BF4" w:rsidRDefault="00DD6912" w:rsidP="00DD6912">
      <w:pPr>
        <w:pStyle w:val="NormalHanging12a"/>
      </w:pPr>
      <w:r w:rsidRPr="00920BF4">
        <w:t>A.</w:t>
      </w:r>
      <w:r w:rsidRPr="00920BF4">
        <w:tab/>
        <w:t>WTO inrättades för att främja liberaliseringen av handeln med varor och tjänster, stärka multilateralismen och främja ett rättvist, öppet, inkluderande, regelbaserat och icke-diskriminerande multilateralt handelssystem, i syfte att förbättra välfärden för människor runt om i världen. Det övergripande målet för EU:s handelspolitik är att bidra till en harmonisk utveckling av världshandeln, det gradvisa avskaffandet av restriktioner för internationell handel och utländska direktinvesteringar samt en minskning av tullar och andra hinder, och säkerställa människors välfärd. Handel är av avgörande betydelse och ett viktigt instrument för att stödja och komplettera insatserna för att främja hållbar tillväxt och höja levnadsstandarden, att säkerställa full sysselsättning med jobb av högre kvalitet och höga och stadigt växande realinkomster, i enlighet med målet om hållbar utveckling, i syfte att både skydda och bevara miljön och förbättra metoderna för att göra detta i överensstämmelse med de behov och bekymmer som länderna har på sina respektive ekonomiska utvecklingsnivåer.</w:t>
      </w:r>
    </w:p>
    <w:p w:rsidR="00DD6912" w:rsidRPr="00920BF4" w:rsidRDefault="00DD6912" w:rsidP="00DD6912">
      <w:pPr>
        <w:pStyle w:val="NormalHanging12a"/>
      </w:pPr>
      <w:r w:rsidRPr="00920BF4">
        <w:t>B.</w:t>
      </w:r>
      <w:r w:rsidRPr="00920BF4">
        <w:tab/>
        <w:t>Ett starkt, öppet och inkluderande multilateralt handelssystem bör spela en ännu större roll när det gäller att uppnå de globala målen om klimatförändringar och nettonollutsläpp, till exempel genom utbyte av sådana varor, tjänster och arbetsmetoder som är nödvändiga för ren energiteknik och en cirkulär ekonomi.</w:t>
      </w:r>
    </w:p>
    <w:p w:rsidR="00DD6912" w:rsidRPr="00920BF4" w:rsidRDefault="00DD6912" w:rsidP="00DD6912">
      <w:pPr>
        <w:pStyle w:val="NormalHanging12a"/>
      </w:pPr>
      <w:r w:rsidRPr="00920BF4">
        <w:t>C.</w:t>
      </w:r>
      <w:r w:rsidRPr="00920BF4">
        <w:tab/>
        <w:t xml:space="preserve">Det regelbaserade multilaterala handelssystemet är för närvarande under stor press och föremål för geopolitiska spänningar, som orsakats av vissa WTO-medlemmars beslut och de ensidiga åtgärder som dessa medlemmar vidtagit, och är också föremål för ett omotiverat beroende av säkerhetsundantaget från det allmänna tull- och handelsavtalet (Gatt) bland vissa av dess medlemmar, vilket redan har lett till en mer fragmenterad och mindre förutsägbar handelspolitisk kontext. Fortfarande grundas 75 procent av handeln på MGN-tullar (mest gynnad nation), vilket bekräftar att WTO utgör den globala </w:t>
      </w:r>
      <w:r w:rsidRPr="00920BF4">
        <w:lastRenderedPageBreak/>
        <w:t>ekonomins ryggrad. Resultaten från den tolfte ministerkonferensen visade att WTO fortfarande kan få till stånd multilaterala avtal och reagera på nödsituationer.</w:t>
      </w:r>
    </w:p>
    <w:p w:rsidR="00DD6912" w:rsidRPr="00920BF4" w:rsidRDefault="00DD6912" w:rsidP="00DD6912">
      <w:pPr>
        <w:pStyle w:val="NormalHanging12a"/>
      </w:pPr>
      <w:r w:rsidRPr="00920BF4">
        <w:t>D.</w:t>
      </w:r>
      <w:r w:rsidRPr="00920BF4">
        <w:tab/>
        <w:t>WTO-avtalet om fiskesubventioner, som man enades om vid den tolfte ministerkonferensen, är det första multilaterala handelsavtalet någonsin där miljömässig hållbarhet är kärnan, och som fastställer en bindande uppsättning globala regler för att i enlighet med mål 14.6 för hållbar utveckling bidra till att begränsa de skadliga statssubventionerna till fiskerisektorn, vilka beräknas uppgå till 22 miljarder USD per år. Avtalet reglerar ännu inte sådana fiskesubventioner som bidrar till överkapacitet och överfiske, vilket över hälften av alla fiskesubventioner gör, och förhandlingar om en sådan reglering pågår fortfarande.</w:t>
      </w:r>
    </w:p>
    <w:p w:rsidR="00DD6912" w:rsidRPr="00920BF4" w:rsidRDefault="00DD6912" w:rsidP="00DD6912">
      <w:pPr>
        <w:pStyle w:val="NormalHanging12a"/>
      </w:pPr>
      <w:r w:rsidRPr="00920BF4">
        <w:t>E.</w:t>
      </w:r>
      <w:r w:rsidRPr="00920BF4">
        <w:tab/>
        <w:t>Vid WTO:s tolfte ministerkonferens antogs den 17 juni 2022 ett beslut som gav flexibilitet inom ramen för avtalet om handelsrelaterade aspekter av immaterialrätter (Trips) för att möjliggöra produktion och distribution av covid-19-vacciner, samtidigt som beslutet om att utöka denna flexibilitet till att även omfatta behandling och diagnostik av covid-19 sköts upp. WTO:s Trips-råd håller nu på att förhandla om en utvidgning av Trips-undantaget.</w:t>
      </w:r>
    </w:p>
    <w:p w:rsidR="00DD6912" w:rsidRPr="00920BF4" w:rsidRDefault="00DD6912" w:rsidP="00DD6912">
      <w:pPr>
        <w:pStyle w:val="NormalHanging12a"/>
      </w:pPr>
      <w:r w:rsidRPr="00920BF4">
        <w:t>F.</w:t>
      </w:r>
      <w:r w:rsidRPr="00920BF4">
        <w:tab/>
        <w:t>Livsmedelstrygghet fortsätter att vara en utmaning och 258 miljoner människor befann sig under 2022 på en krisnivå eller ännu allvarligare nivå av akut livsmedelsotrygghet 2022, jämfört med 193 miljoner 2021. I WTO:s Uruguayrunda om jordbruk bekräftas uttryckligen vikten av att beakta livsmedelstrygghet i pågående förhandlingar. Handel har potential att förbättra livsmedelstillgången i regioner där denna är begränsad, och kan också bidra till bättre ekonomisk tillgång till livsmedel genom att generera arbetstillfällen och ökade inkomster.</w:t>
      </w:r>
    </w:p>
    <w:p w:rsidR="00DD6912" w:rsidRPr="00920BF4" w:rsidRDefault="00DD6912" w:rsidP="00DD6912">
      <w:pPr>
        <w:pStyle w:val="NormalHanging12a"/>
      </w:pPr>
      <w:r w:rsidRPr="00920BF4">
        <w:t>G.</w:t>
      </w:r>
      <w:r w:rsidRPr="00920BF4">
        <w:tab/>
        <w:t>WTO:s medlemmar har bevisat sitt åtagande att hantera livsmedelsbrist och säkerställa akut livsmedelsbistånd för de mest sårbara, såväl i ministerförklaringen om nödåtgärder mot livsmedelsotrygghet som i ministerbeslutet om att undanta humanitära livsmedelsköp inom ramen för FN:s livsmedelsprogram från de exportförbud eller exportrestriktioner som man kom överens om vid den tolfte ministerkonferensen.</w:t>
      </w:r>
    </w:p>
    <w:p w:rsidR="00DD6912" w:rsidRPr="00920BF4" w:rsidRDefault="00DD6912" w:rsidP="00DD6912">
      <w:pPr>
        <w:pStyle w:val="NormalHanging12a"/>
      </w:pPr>
      <w:r w:rsidRPr="00920BF4">
        <w:t>H.</w:t>
      </w:r>
      <w:r w:rsidRPr="00920BF4">
        <w:tab/>
        <w:t>Hållbar handel kan bidra till att begränsa och bekämpa klimatförändringar.</w:t>
      </w:r>
    </w:p>
    <w:p w:rsidR="00DD6912" w:rsidRPr="00920BF4" w:rsidRDefault="00DD6912" w:rsidP="00DD6912">
      <w:pPr>
        <w:pStyle w:val="NormalHanging12a"/>
      </w:pPr>
      <w:r w:rsidRPr="00920BF4">
        <w:t>I.</w:t>
      </w:r>
      <w:r w:rsidRPr="00920BF4">
        <w:tab/>
        <w:t>Den 11 december 2019 upphörde WTO:s överprövningsorgan med sin verksamhet, vilket ledde till att möjligheterna till ett funktionellt, oberoende och opartiskt överklagande lades på is. Vid den tolfte ministerkonferensen åtog sig WTO-medlemmarna att föra diskussioner i syfte att senast 2024 få till stånd ett fullt fungerande och välfungerande tvistlösningssystem som är tillgängligt för alla WTO-medlemmar.</w:t>
      </w:r>
    </w:p>
    <w:p w:rsidR="00DD6912" w:rsidRPr="00920BF4" w:rsidRDefault="00DD6912" w:rsidP="00DD6912">
      <w:pPr>
        <w:pStyle w:val="NormalHanging12a"/>
      </w:pPr>
      <w:r w:rsidRPr="00920BF4">
        <w:t>J.</w:t>
      </w:r>
      <w:r w:rsidRPr="00920BF4">
        <w:tab/>
        <w:t>I över 20 år har Europaparlamentet tillsammans med Interparlamentariska unionen spelat en avgörande roll för att skapa en parlamentarisk dimension i WTO genom den parlamentariska konferensen om WTO.</w:t>
      </w:r>
    </w:p>
    <w:p w:rsidR="00DD6912" w:rsidRPr="00920BF4" w:rsidRDefault="00DD6912" w:rsidP="00DD6912">
      <w:pPr>
        <w:pStyle w:val="NormalHanging12a"/>
      </w:pPr>
      <w:r w:rsidRPr="00920BF4">
        <w:t>K.</w:t>
      </w:r>
      <w:r w:rsidRPr="00920BF4">
        <w:tab/>
        <w:t>WTO:s trettonde ministerkonferens kommer att äga rum i Abu Dhabi, Förenade Arabemiraten, den 26–29 februari 2024.</w:t>
      </w:r>
    </w:p>
    <w:p w:rsidR="00DD6912" w:rsidRPr="00920BF4" w:rsidRDefault="00DD6912" w:rsidP="00DD6912">
      <w:pPr>
        <w:pStyle w:val="NormalHanging12a"/>
      </w:pPr>
      <w:r w:rsidRPr="00920BF4">
        <w:t>1.</w:t>
      </w:r>
      <w:r w:rsidRPr="00920BF4">
        <w:tab/>
        <w:t xml:space="preserve">Europaparlamentet upprepar sitt fulla stöd för multilateralismens bestående värde och understryker att ett moderniserat multilateralt system för att styra handeln är av </w:t>
      </w:r>
      <w:r w:rsidRPr="00920BF4">
        <w:lastRenderedPageBreak/>
        <w:t>avgörande betydelse. Parlamentet efterlyser en handelsagenda som bygger på rättvis och regelbaserad handel till gagn för alla, vilket bidrar till ekonomisk utveckling, bortom en snäv definition av BNP-tillväxt och välstånd, och därmed stärker freden och säkerheten. Parlamentet betonar att WTO bör främja målen för hållbar utveckling och sociala, miljömässiga och mänskliga rättigheter samt säkerställa att multilateralt överenskomna och harmoniserade regler tillämpas av alla.</w:t>
      </w:r>
    </w:p>
    <w:p w:rsidR="00DD6912" w:rsidRPr="00920BF4" w:rsidRDefault="00DD6912" w:rsidP="00DD6912">
      <w:pPr>
        <w:pStyle w:val="NormalHanging12a"/>
      </w:pPr>
      <w:r w:rsidRPr="00920BF4">
        <w:t>2.</w:t>
      </w:r>
      <w:r w:rsidRPr="00920BF4">
        <w:tab/>
        <w:t>Europaparlamentet uppmanar med eftertryck alla WTO-medlemmar att förbinda sig till att nå goda resultat vid den trettonde ministerkonferensen. Parlamentet anser att den trettonde ministerkonferensen bör vara utgångspunkten för att främja och modernisera WTO så att WTO kan spela en roll i hanteringen av 2000-talets utmaningar, däribland frågor som rör klimatförändringar, livsmedelstrygghet, förlust av biologisk mångfald, hälsa, hållbarhet och minskning av fattigdom. Parlamentet uppmanar med eftertryck alla WTO-medlemmar att öka sina ansträngningar för att fokusera på konkreta resultat som visar att WTO kan hantera aktuella utmaningar. Parlamentet välkomnar vägledningen från mötet mellan högre tjänstemän den 22–23 oktober 2023. Parlamentet uppmanar särskilt WTO-medlemmarna att slutföra den andra fasen av det multilaterala avtalet om fiskesubventioner och att undanröja de återstående hindren så att WTO slutligen kan anta ett omfattande paket med institutionella reformer, inbegripet ett beslut som skulle leda till ett fullt fungerande tvistlösningssystem. Parlamentet upprepar att WTO-sekretariatets roll måste stärkas ytterligare.</w:t>
      </w:r>
    </w:p>
    <w:p w:rsidR="00DD6912" w:rsidRPr="00920BF4" w:rsidRDefault="00DD6912" w:rsidP="00DD6912">
      <w:pPr>
        <w:pStyle w:val="NormalHanging12a"/>
      </w:pPr>
      <w:r w:rsidRPr="00920BF4">
        <w:t>3.</w:t>
      </w:r>
      <w:r w:rsidRPr="00920BF4">
        <w:tab/>
        <w:t>Europaparlamentet anser att det nu är brådskande att gå vidare med en omfattande reform av WTO och att detta bör återspeglas i resultatet av den trettonde ministerkonferensen. Parlamentet välkomnar allt arbete som har utförts i detta avseende sedan den senaste ministerkonferensen. Parlamentet uppmanar WTO-medlemmarna att anta ett omfattande åtgärdspaket för att se över WTO:s övervaknings-, förhandlings-, överläggnings- och tvistlösningsfunktioner, där vederbörlig uppmärksamhet också bör ägnas åt WTO:s parlamentariska dimension, i syfte att öka WTO:s effektivitet, inkludering, transparens, trovärdighet och legitimitet.</w:t>
      </w:r>
    </w:p>
    <w:p w:rsidR="00DD6912" w:rsidRPr="00920BF4" w:rsidRDefault="00DD6912" w:rsidP="00DD6912">
      <w:pPr>
        <w:pStyle w:val="NormalHanging12a"/>
        <w:rPr>
          <w:szCs w:val="24"/>
        </w:rPr>
      </w:pPr>
      <w:r w:rsidRPr="00920BF4">
        <w:t>4.</w:t>
      </w:r>
      <w:r w:rsidRPr="00920BF4">
        <w:tab/>
        <w:t>Europaparlamentet efterlyser starkare och ännu konstruktivare engagemang från alla WTO-medlemmar för att så snabbt som möjligt återupprätta ett fullt fungerande tvistlösningssystem, som bland annat tar itu med problemet med alltför långa förfaranden. Parlamentet lovordar kontaktpersonens arbete med att styra den process som bör leda till ett konsoliderat utkast till den text som ska föreläggas den trettonde ministerkonferensen. Parlamentet beklagar dock att man hittills inte kunnat säkra några betydande framsteg. Parlamentet uppmanar medlemmarna att delta i konstruktiva och transparenta diskussioner för att nå en överenskommelse om tvistlösningssystemet vid den trettonde ministerkonferensen. Parlamentet påminner om att en bindande och oberoende process med två nivåer bör förbli det centrala målet.</w:t>
      </w:r>
    </w:p>
    <w:p w:rsidR="00DD6912" w:rsidRPr="00920BF4" w:rsidRDefault="00DD6912" w:rsidP="00DD6912">
      <w:pPr>
        <w:pStyle w:val="NormalHanging12a"/>
        <w:rPr>
          <w:szCs w:val="24"/>
        </w:rPr>
      </w:pPr>
      <w:r w:rsidRPr="00920BF4">
        <w:t>5.</w:t>
      </w:r>
      <w:r w:rsidRPr="00920BF4">
        <w:tab/>
        <w:t>Europaparlamentet uppmanar medlemmarna att, till dess att ett fullt fungerande tvistlösningsorgan på WTO-nivå åter finns på plats, överväga att ansluta sig till det tillfälliga flerpartsarrangemanget för skiljedomsförfaranden för att visa att de står fast vid sitt åtagande om ett rättvist och fungerande tvistlösningssystem.</w:t>
      </w:r>
    </w:p>
    <w:p w:rsidR="00DD6912" w:rsidRPr="00920BF4" w:rsidRDefault="00DD6912" w:rsidP="00DD6912">
      <w:pPr>
        <w:pStyle w:val="NormalHanging12a"/>
      </w:pPr>
      <w:r w:rsidRPr="00920BF4">
        <w:t>6.</w:t>
      </w:r>
      <w:r w:rsidRPr="00920BF4">
        <w:tab/>
        <w:t xml:space="preserve">Europaparlamentet uppmanar med eftertryck alla WTO-medlemmar som ännu inte har ratificerat WTO-avtalet om fiskesubventioner att snabbt göra det så att avtalet kan träda i kraft så snart som möjligt, vilket kräver att två tredjedelar av medlemmarna ratificerar det. Parlamentet betonar att det är av avgörande betydelse att även snabbt nå en </w:t>
      </w:r>
      <w:r w:rsidRPr="00920BF4">
        <w:lastRenderedPageBreak/>
        <w:t>överenskommelse om regler för sådana fiskesubventioner som bidrar till överkapacitet och överfiske, för att undvika utarmning av biologiska resurser och möjliggöra en hållbar förvaltning av dessa resurser, samtidigt som behoven av särskild och differentierad behandling i överensstämmelse med mål 14.6 för hållbar utveckling respekteras.</w:t>
      </w:r>
    </w:p>
    <w:p w:rsidR="00DD6912" w:rsidRPr="00920BF4" w:rsidRDefault="00DD6912" w:rsidP="00DD6912">
      <w:pPr>
        <w:pStyle w:val="NormalHanging12a"/>
      </w:pPr>
      <w:r w:rsidRPr="00920BF4">
        <w:t>7.</w:t>
      </w:r>
      <w:r w:rsidRPr="00920BF4">
        <w:tab/>
        <w:t>Europaparlamentet betonar behovet av att integrera WTO:s utvecklingsdimension, bland annat genom WTO:s reformprocess och genom att säkerställa att principen om särskild och differentierad behandling bättre tillgodoser utvecklingsländernas behov. Parlamentet beklagar att WTO ännu inte fullt ut har genomfört sin utvecklingsagenda från Doha. Parlamentet välkomnar det beslut som redan fattats om att utvidga stödåtgärderna för att hjälpa de minst utvecklade länderna (MUL) på vägen bort från MUL-status, i syfte att få till stånd en smidig och hållbar övergångsperiod för upphävandet av handelsförmåner. Parlamentet upprepar sitt krav på att mekanismen för särskild och differentierad behandling ska ses över och revideras med vederbörligt deltagande av alla WTO-medlemmar för att bättre återspegla olika index för mänsklig utveckling och samtidigt skydda det politiska utrymmet för att hantera illojal handel, och uppmanar därför WTO-medlemmarna att revidera systemet. Parlamentet understryker dock att en egenbedömning av utvecklingsstatusen som ett enda kriterium skulle kunna leda till illojal handel.</w:t>
      </w:r>
    </w:p>
    <w:p w:rsidR="00DD6912" w:rsidRPr="00920BF4" w:rsidRDefault="00DD6912" w:rsidP="00DD6912">
      <w:pPr>
        <w:pStyle w:val="NormalHanging12a"/>
      </w:pPr>
      <w:r w:rsidRPr="00920BF4">
        <w:t>8.</w:t>
      </w:r>
      <w:r w:rsidRPr="00920BF4">
        <w:tab/>
        <w:t>Europaparlamentet understryker behovet av att blåsa nytt liv i diskussionerna inom WTO om statligt stöd till industrisektorer, inbegripet en uppdatering av avtalet om subventioner och utjämningsåtgärder, i syfte att öka transparensen och anpassa WTO:s regelverk om subventioner för att möta dagens utmaningar, såsom klimatförändringarna, och försöka komma till rätta med vissa WTO-medlemmars illojala metoder, och understryker också behovet av att effektivt hantera negativa spridningseffekter såsom överkapacitet och koldioxidintensiva leveranskedjor. Parlamentet anser att den trettonde ministerkonferensen bör lansera ett tidsbegränsat arbetsprogram för att möjliggöra en diskussion om statliga interventioner till stöd för industrisektorer, i syfte att utfärda rekommendationer för den fjortonde ministerkonferensen.</w:t>
      </w:r>
    </w:p>
    <w:p w:rsidR="00DD6912" w:rsidRPr="00920BF4" w:rsidRDefault="00DD6912" w:rsidP="00DD6912">
      <w:pPr>
        <w:pStyle w:val="NormalHanging12a"/>
      </w:pPr>
      <w:r w:rsidRPr="00920BF4">
        <w:t>9.</w:t>
      </w:r>
      <w:r w:rsidRPr="00920BF4">
        <w:tab/>
        <w:t>Europaparlamentet betonar behovet av att nå framsteg i jordbruksförhandlingarna för att uppnå trovärdiga resultat i frågor som en permanent lösning för offentlig lagerhållning för tryggad livsmedelsförsörjning, inhemskt stöd, marknadstillträde, bomull, exportrestriktioner och exportkonkurrens, samt förstärkningen av jordbrukssektorn för att möta dagens utmaningar, inbegripet försörjningsmöjligheter på landsbygden och miljömässig hållbarhet. Parlamentet betonar behovet av att säkerställa rättvis konkurrens och lika spelregler för jordbrukare. Parlamentet efterlyser bättre informationsutbyte och transparens när det gäller jordbrukspolitik och jordbrukssubventioner för att bidra till förhandlingarna och för att på WTO-nivå uppmuntra ett större utbyte av uppgifter om råvaruhandel och privata lager med kommittén för globalt tryggad livsmedelsförsörjning. Parlamentet välkomnar undertecknandet av ett samförståndsavtal mellan WTO och FN:s livsmedels- och jordbruksorganisation (FAO) under FN:s klimatkonferens 2023 (COP 28) vilket kommer att stärka samarbetet om bland annat jordbruksreformer, livsmedelstrygghet och klimatförändringar. Parlamentet betonar att EU bör förespråka högre hållbarhetskriterier i linje med målen i den gröna given.</w:t>
      </w:r>
    </w:p>
    <w:p w:rsidR="00DD6912" w:rsidRPr="00920BF4" w:rsidRDefault="00DD6912" w:rsidP="00DD6912">
      <w:pPr>
        <w:pStyle w:val="NormalHanging12a"/>
      </w:pPr>
      <w:r w:rsidRPr="00920BF4">
        <w:t>10.</w:t>
      </w:r>
      <w:r w:rsidRPr="00920BF4">
        <w:tab/>
        <w:t xml:space="preserve">Europaparlamentet understryker behovet av att nå resultat när det gäller </w:t>
      </w:r>
      <w:r w:rsidRPr="00920BF4">
        <w:lastRenderedPageBreak/>
        <w:t>livsmedelstrygghet, inbegripet konkreta åtgärder för att öka resiliensen hos MUL-länderna och utvecklingsländer som är nettoimportörer av livsmedel i deras åtgärder mot akut livsmedelsinstabilitet.</w:t>
      </w:r>
    </w:p>
    <w:p w:rsidR="00DD6912" w:rsidRPr="00920BF4" w:rsidRDefault="00DD6912" w:rsidP="00DD6912">
      <w:pPr>
        <w:pStyle w:val="NormalHanging12a"/>
        <w:widowControl/>
      </w:pPr>
      <w:r w:rsidRPr="00920BF4">
        <w:t>11.</w:t>
      </w:r>
      <w:r w:rsidRPr="00920BF4">
        <w:tab/>
        <w:t>Europaparlamentet förväntar sig att reformen av WTO ska göra det lättare att integrera plurilaterala avtal i den multilaterala strukturen för att säkerställa framsteg på områden där alla medlemmar ännu inte nått hela vägen fram.  Parlamentet upprepar därför sin uppmaning till WTO-medlemmarna att reflektera över ett sätt att utveckla ett nytt system, med tydliga principer och ett minsta antal medlemmar som bör delta i ett plurilateralt initiativ, och att på grundval av detta inrätta en enkel mekanism som gör det möjligt att införliva sådana avtal i WTO-strukturen.</w:t>
      </w:r>
    </w:p>
    <w:p w:rsidR="00DD6912" w:rsidRPr="00920BF4" w:rsidRDefault="00DD6912" w:rsidP="00DD6912">
      <w:pPr>
        <w:pStyle w:val="NormalHanging12a"/>
      </w:pPr>
      <w:r w:rsidRPr="00920BF4">
        <w:t>12.</w:t>
      </w:r>
      <w:r w:rsidRPr="00920BF4">
        <w:tab/>
        <w:t>Europaparlamentet välkomnar slutförandet av förhandlingarna om avtalet om underlättande av investeringar för utveckling i syfte att skapa en mer rättvis, transparent, effektiv och förutsägbar miljö för att underlätta gränsöverskridande investeringar och utvecklingsländernas deltagande i globala investeringsflöden. Parlamentet stöder införlivandet av detta avtal i WTO:s regelverk i bilaga 4 om plurilaterala handelsavtal, i enlighet med artikel X.9 i WTO-avtalet, och anser att detta kan tjäna som modell för framtida plurilaterala avtal.</w:t>
      </w:r>
    </w:p>
    <w:p w:rsidR="00DD6912" w:rsidRPr="00920BF4" w:rsidRDefault="00DD6912" w:rsidP="00DD6912">
      <w:pPr>
        <w:pStyle w:val="NormalHanging12a"/>
      </w:pPr>
      <w:r w:rsidRPr="00920BF4">
        <w:t>13.</w:t>
      </w:r>
      <w:r w:rsidRPr="00920BF4">
        <w:tab/>
        <w:t>Europaparlamentet betonar vikten av multilaterala och plurilaterala regler om digital handel, då denna för närvarande står för 25 procent av den totala handeln. Parlamentet uppmuntrar helhjärtat insatserna för att hitta en rättvis och permanent lösning för elektroniska överföringar med anknytning till moratoriet, särskilt med tanke på de negativa konsekvenserna av en utebliven förlängning, i synnerhet för kvinnor och för små och medelstora företag. Parlamentet välkomnar och stöder det breda medlemskapet, den ambitiösa förhandlingsagendan och de framsteg som hittills gjorts i WTO:s plurilaterala avtal om regler för e-handel. Parlamentet betonar vikten av det fria flödet av elektroniska överföringar, som är grundläggande för den digitala handeln och minskar handelskostnaderna, ökar konsumenternas välfärd och exportkonkurrenskraften och medför betydande fördelar, särskilt för små och medelstora företag och utvecklingsländer. Parlamentet påminner om sin ståndpunkt att ett potentiellt avtal måste garantera ett rättvist marknadstillträde för e-handelsrelaterade varor och tjänster i tredjeländer, liksom skyddet av konsumenternas och arbetstagarnas rättigheter, och underlätta företagsinnovation. Parlamentet betonar att ett potentiellt avtal om e-handel måste vara förenligt med befintlig och framtida EU-lagstiftning och ge tillräckligt politiskt utrymme för digital reglering, särskilt när det gäller frågor såsom dataflöden, datalokalisering, dataskydd, artificiell intelligens och källkod. Parlamentet uppmanar alla partner att fullt ut engagera sig i och stödja insatserna för att slutföra förhandlingarna under den trettonde ministerkonferensen. Parlamentet betonar vikten av att överbrygga den digitala klyftan genom att dela bästa praxis och förbättra kapacitetsuppbyggnaden.</w:t>
      </w:r>
    </w:p>
    <w:p w:rsidR="00DD6912" w:rsidRPr="00920BF4" w:rsidRDefault="00DD6912" w:rsidP="00DD6912">
      <w:pPr>
        <w:pStyle w:val="NormalHanging12a"/>
      </w:pPr>
      <w:r w:rsidRPr="00920BF4">
        <w:t>14.</w:t>
      </w:r>
      <w:r w:rsidRPr="00920BF4">
        <w:tab/>
        <w:t>Europaparlamentet påminner om WTO:s engagemang för mikroföretag samt små och medelstora företag och påminner om att dessa företag utgör en betydande del av den globala ekonomin och har en outnyttjad potential i globala värdekedjor. Parlamentet uppmanar medlemmarna att fortsätta att hitta lösningar som skulle hjälpa mikroföretag samt små och medelstora företag att öka sitt deltagande i världshandeln, samtidigt som hänsyn tas till deras särskilda behov.</w:t>
      </w:r>
    </w:p>
    <w:p w:rsidR="00DD6912" w:rsidRPr="00920BF4" w:rsidRDefault="00DD6912" w:rsidP="00DD6912">
      <w:pPr>
        <w:pStyle w:val="NormalHanging12a"/>
      </w:pPr>
      <w:r w:rsidRPr="00920BF4">
        <w:t>15.</w:t>
      </w:r>
      <w:r w:rsidRPr="00920BF4">
        <w:tab/>
        <w:t xml:space="preserve">Europaparlamentet anser att resultatet av den trettonde ministerkonferensen bör </w:t>
      </w:r>
      <w:r w:rsidRPr="00920BF4">
        <w:lastRenderedPageBreak/>
        <w:t>utmynna i en åtgärdsbaserad agenda för handelspolitiken till stöd för 2030-målen för hållbar utveckling och Parisavtalet. Parlamentet uppmuntrar helhjärtat WTO-medlemmarna att överväga alla tänkbara åtgärder för att bidra till att begränsa utsläppen av växthusgaser i linje med UNFCCC och slutsatserna från COP28, stärka anpassningen till Parisavtalet och klimatneutralitet samt stärka samarbetet inom WTO om åtgärder som antas på nationell nivå. Parlamentet välkomnar de konstruktiva diskussioner som förts inom ramen för plurilaterala initiativ avseende reformen av subventioner av fossila bränslen, dialogen om plastföroreningar och de strukturerade diskussionerna om hållbarhet inom handel och miljö (TESSD). Parlamentet kräver att förhandlingarna om avtalet om miljöanpassade varor återupptas. Parlamentet uppmuntrar WTO att underlätta informationsutbytet och samarbetet mellan WTO:s medlemmar om metoder för koldioxidprissättning. Parlamentet betonar behovet av att påskynda diskussionen om tjänster och varor, inbegripet processer och produktionsmetoder, som bidrar till att hantera miljö- och klimatutmaningar. Parlamentet påminner om att alla ensidiga åtgärder från medlemmarnas sida måste följa WTO:s regler, och ett beslut att tillämpa GATT-undantag måste övervägas noggrant. Parlamentet uppmanar med eftertryck EU att öka medvetenheten om sin hållbarhetslagstiftning, såsom direktivet om tillbörlig aktsamhet för företag i fråga om hållbarhet, gränsjusteringsmekanismen för koldioxid (CBAM) och lagstiftningen om avskogning, och förklara skälen till den för att säkerställa att den erkänns som ett genuint och icke-diskriminerande försök att bidra till att hantera de globala miljömålen och göra handeln mer hållbar, inbegripet genom att lämna mer praktisk information om hur reglerna tillämpas i praktiken. Parlamentet välkomnar den första ”handelsdagen” någonsin vid COP28 och de historiska resultaten vid COP när det gäller att gå ifrån fossila bränslen. Parlamentet förväntar sig att beslutet från COP ska återspeglas i WTO:s arbete.</w:t>
      </w:r>
    </w:p>
    <w:p w:rsidR="00DD6912" w:rsidRPr="00920BF4" w:rsidRDefault="00DD6912" w:rsidP="00DD6912">
      <w:pPr>
        <w:pStyle w:val="NormalHanging12a"/>
      </w:pPr>
      <w:r w:rsidRPr="00920BF4">
        <w:t>16.</w:t>
      </w:r>
      <w:r w:rsidRPr="00920BF4">
        <w:tab/>
        <w:t>Europaparlamentet bekräftar kopplingarna mellan jämställdhet och en inkluderande utveckling, och betonar att kvinnors egenmakt är avgörande för att utrota fattigdom och bekräftar också att det är av största betydelse för den ekonomiska utvecklingen att man samtidigt undanröjer hinder för kvinnors deltagande i handeln och hanterar de befintliga handelsreglernas negativa effekter för kvinnor i deras många roller. Parlamentet uppmuntrar alla WTO-medlemmar att underteckna förklaringen om handel och kvinnors ekonomiska egenmakt från WTO:s ministerkonferens i Buenos Aires 2017 och uppmanar dess signatärer att fullgöra sina åtaganden. Parlamentet välkomnar inrättandet av WTO:s informella arbetsgrupp för handel och jämställdhet. Parlamentet lovordar WTO för anordnandet av världshandelskongressen om jämställdhet i december 2022, som är den första internationella forskningskonferensen om handel och jämställdhet.</w:t>
      </w:r>
    </w:p>
    <w:p w:rsidR="00DD6912" w:rsidRPr="00920BF4" w:rsidRDefault="00DD6912" w:rsidP="00DD6912">
      <w:pPr>
        <w:pStyle w:val="NormalHanging12a"/>
      </w:pPr>
      <w:r w:rsidRPr="00920BF4">
        <w:t>17.</w:t>
      </w:r>
      <w:r w:rsidRPr="00920BF4">
        <w:tab/>
        <w:t>Europaparlamentet uppskattar att WTO-medlemmarna har enats om att diskutera om tillämpningsområdet för Trips-beslutet kan omfatta diagnostik och behandling av covid-19. Parlamentet uppmanar WTO-medlemmarna att fatta ett beslut under den trettonde ministerkonferensen samtidigt som incitament till innovation hålls i åtanke. Parlamentet uppmanar WTO:s medlemmar att se över sin nationella lagstiftning och politik för att säkerställa ett fullständigt införlivande av all relevant flexibilitet för immateriell egendom som skyddar tillgången till läkemedel.</w:t>
      </w:r>
    </w:p>
    <w:p w:rsidR="00DD6912" w:rsidRPr="00920BF4" w:rsidRDefault="00DD6912" w:rsidP="00DD6912">
      <w:pPr>
        <w:pStyle w:val="NormalHanging12a"/>
      </w:pPr>
      <w:r w:rsidRPr="00920BF4">
        <w:t>18.</w:t>
      </w:r>
      <w:r w:rsidRPr="00920BF4">
        <w:tab/>
        <w:t>Europaparlamentet uppmanar kommissionen och rådet att säkerställa att parlamentet förblir djupt involverat i förberedelserna av den trettonde ministerkonferensen, omedelbart får ny information och rådfrågas under ministerkonferensen 2024.</w:t>
      </w:r>
    </w:p>
    <w:p w:rsidR="00DD6912" w:rsidRPr="00920BF4" w:rsidRDefault="00DD6912" w:rsidP="00DD6912">
      <w:pPr>
        <w:pStyle w:val="NormalHanging12a"/>
        <w:widowControl/>
      </w:pPr>
      <w:r w:rsidRPr="00920BF4">
        <w:lastRenderedPageBreak/>
        <w:t>19.</w:t>
      </w:r>
      <w:r w:rsidRPr="00920BF4">
        <w:tab/>
        <w:t>Europaparlamentet uppmanar WTO-medlemmarna att säkerställa demokratisk legitimitet och transparens genom att stärka WTO:s och den parlamentariska konferensens parlamentariska dimension. Parlamentet lovordar det viktiga arbetet vid den gemensamma parlamentariska konferensen mellan Europaparlamentet och Interparlamentariska unionen om WTO. Parlamentet betonar behovet av att säkerställa att parlamentariker i större utsträckning får delta i alla handelsförhandlingar och involveras i utformningen och genomförandet av WTO:s beslut. Parlamentet uppmuntrar ledare att stödja ett nytt narrativ av handel, där handel ses som en möjliggörande faktor och inte som ett hinder för att uppnå hållbarhet, säkerhet och inkludering.</w:t>
      </w:r>
    </w:p>
    <w:p w:rsidR="00DD6912" w:rsidRPr="00920BF4" w:rsidRDefault="00DD6912" w:rsidP="00DD6912">
      <w:pPr>
        <w:pStyle w:val="NormalHanging12a"/>
      </w:pPr>
      <w:r w:rsidRPr="00920BF4">
        <w:t>20.</w:t>
      </w:r>
      <w:r w:rsidRPr="00920BF4">
        <w:tab/>
        <w:t>Europaparlamentet uppmanar WTO-medlemmarna att stärka utbytet med alla berörda parter, inbegripet det civila samhället, fackföreningar och näringslivsorganisationer, och att intensifiera samarbetet med andra internationella organisationer såsom Internationella arbetsorganisationen och, mer allmänt, FN-systemet. Parlamentet förväntar sig att ledare på alla nivåer kommunicerar mer om fördelarna med regelbaserad handel.</w:t>
      </w:r>
    </w:p>
    <w:p w:rsidR="00DD6912" w:rsidRPr="00920BF4" w:rsidRDefault="00DD6912" w:rsidP="00DD6912">
      <w:pPr>
        <w:pStyle w:val="NormalHanging12a"/>
      </w:pPr>
      <w:r w:rsidRPr="00920BF4">
        <w:t>21.</w:t>
      </w:r>
      <w:r w:rsidRPr="00920BF4">
        <w:tab/>
        <w:t>Europaparlamentet uppdrar åt talmannen att översända denna resolution till rådet, kommissionen, medlemsstaternas regeringar och parlament och Världshandelsorganisationens generaldirektör samt Interparlamentariska unionen.</w:t>
      </w:r>
    </w:p>
    <w:p w:rsidR="00DD6912" w:rsidRPr="00920BF4" w:rsidRDefault="00DD6912" w:rsidP="00DD6912">
      <w:pPr>
        <w:pStyle w:val="NormalHanging12a"/>
      </w:pPr>
    </w:p>
    <w:sectPr w:rsidR="00DD6912" w:rsidRPr="00920BF4" w:rsidSect="00920BF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7540" w:rsidRPr="00920BF4" w:rsidRDefault="00CA7540">
      <w:r w:rsidRPr="00920BF4">
        <w:separator/>
      </w:r>
    </w:p>
  </w:endnote>
  <w:endnote w:type="continuationSeparator" w:id="0">
    <w:p w:rsidR="00CA7540" w:rsidRPr="00920BF4" w:rsidRDefault="00CA7540">
      <w:r w:rsidRPr="00920B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0BF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0BF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0BF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7540" w:rsidRPr="00920BF4" w:rsidRDefault="00CA7540">
      <w:r w:rsidRPr="00920BF4">
        <w:separator/>
      </w:r>
    </w:p>
  </w:footnote>
  <w:footnote w:type="continuationSeparator" w:id="0">
    <w:p w:rsidR="00CA7540" w:rsidRPr="00920BF4" w:rsidRDefault="00CA7540">
      <w:r w:rsidRPr="00920BF4">
        <w:continuationSeparator/>
      </w:r>
    </w:p>
  </w:footnote>
  <w:footnote w:id="1">
    <w:p w:rsidR="00DD6912" w:rsidRPr="000D6AD3" w:rsidRDefault="00DD6912" w:rsidP="00920BF4">
      <w:pPr>
        <w:pStyle w:val="FootnoteText"/>
        <w:ind w:left="567" w:hanging="567"/>
        <w:rPr>
          <w:rStyle w:val="FootnoteReference"/>
          <w:sz w:val="24"/>
          <w:szCs w:val="24"/>
          <w:lang w:val="sv-SE"/>
        </w:rPr>
      </w:pPr>
      <w:r w:rsidRPr="000D6AD3">
        <w:rPr>
          <w:rStyle w:val="FootnoteReference"/>
          <w:sz w:val="24"/>
          <w:szCs w:val="24"/>
          <w:lang w:val="sv-SE"/>
        </w:rPr>
        <w:footnoteRef/>
      </w:r>
      <w:r w:rsidR="00920BF4" w:rsidRPr="000D6AD3">
        <w:rPr>
          <w:sz w:val="24"/>
          <w:szCs w:val="24"/>
          <w:lang w:val="sv-SE"/>
        </w:rPr>
        <w:t xml:space="preserve"> </w:t>
      </w:r>
      <w:r w:rsidR="00920BF4" w:rsidRPr="000D6AD3">
        <w:rPr>
          <w:sz w:val="24"/>
          <w:szCs w:val="24"/>
          <w:lang w:val="sv-SE"/>
        </w:rPr>
        <w:tab/>
      </w:r>
      <w:r w:rsidRPr="00625B75">
        <w:rPr>
          <w:rStyle w:val="FootnoteReference"/>
          <w:sz w:val="24"/>
          <w:szCs w:val="24"/>
          <w:vertAlign w:val="baseline"/>
          <w:lang w:val="sv-SE"/>
        </w:rPr>
        <w:t>Förklaringen från WTO:s ministerkonferens i Doha av den 14 </w:t>
      </w:r>
      <w:bookmarkStart w:id="7" w:name="_GoBack"/>
      <w:bookmarkEnd w:id="7"/>
      <w:r w:rsidRPr="00625B75">
        <w:rPr>
          <w:rStyle w:val="FootnoteReference"/>
          <w:sz w:val="24"/>
          <w:szCs w:val="24"/>
          <w:vertAlign w:val="baseline"/>
          <w:lang w:val="sv-SE"/>
        </w:rPr>
        <w:t>november</w:t>
      </w:r>
      <w:r w:rsidRPr="000D6AD3">
        <w:rPr>
          <w:sz w:val="24"/>
          <w:szCs w:val="24"/>
          <w:lang w:val="sv-SE"/>
        </w:rPr>
        <w:t> </w:t>
      </w:r>
      <w:r w:rsidRPr="00625B75">
        <w:rPr>
          <w:rStyle w:val="FootnoteReference"/>
          <w:sz w:val="24"/>
          <w:szCs w:val="24"/>
          <w:vertAlign w:val="baseline"/>
          <w:lang w:val="sv-SE"/>
        </w:rPr>
        <w:t>2001.</w:t>
      </w:r>
    </w:p>
  </w:footnote>
  <w:footnote w:id="2">
    <w:p w:rsidR="00DD6912" w:rsidRPr="000D6AD3" w:rsidRDefault="00DD6912" w:rsidP="00920BF4">
      <w:pPr>
        <w:pStyle w:val="FootnoteText"/>
        <w:ind w:left="567" w:hanging="567"/>
        <w:rPr>
          <w:rStyle w:val="FootnoteReference"/>
          <w:sz w:val="24"/>
          <w:szCs w:val="24"/>
          <w:lang w:val="sv-SE"/>
        </w:rPr>
      </w:pPr>
      <w:r w:rsidRPr="000D6AD3">
        <w:rPr>
          <w:rStyle w:val="FootnoteReference"/>
          <w:sz w:val="24"/>
          <w:szCs w:val="24"/>
          <w:lang w:val="sv-SE"/>
        </w:rPr>
        <w:footnoteRef/>
      </w:r>
      <w:r w:rsidR="00920BF4" w:rsidRPr="000D6AD3">
        <w:rPr>
          <w:sz w:val="24"/>
          <w:szCs w:val="24"/>
          <w:lang w:val="sv-SE"/>
        </w:rPr>
        <w:t xml:space="preserve"> </w:t>
      </w:r>
      <w:r w:rsidR="00920BF4" w:rsidRPr="000D6AD3">
        <w:rPr>
          <w:sz w:val="24"/>
          <w:szCs w:val="24"/>
          <w:lang w:val="sv-SE"/>
        </w:rPr>
        <w:tab/>
      </w:r>
      <w:r w:rsidRPr="00625B75">
        <w:rPr>
          <w:rStyle w:val="FootnoteReference"/>
          <w:sz w:val="24"/>
          <w:szCs w:val="24"/>
          <w:vertAlign w:val="baseline"/>
          <w:lang w:val="sv-SE"/>
        </w:rPr>
        <w:t>EUT C 224, 8.6.2022, s. 89.</w:t>
      </w:r>
    </w:p>
  </w:footnote>
  <w:footnote w:id="3">
    <w:p w:rsidR="00DD6912" w:rsidRPr="000D6AD3" w:rsidRDefault="00DD6912" w:rsidP="00920BF4">
      <w:pPr>
        <w:pStyle w:val="FootnoteText"/>
        <w:ind w:left="567" w:hanging="567"/>
        <w:rPr>
          <w:rStyle w:val="FootnoteReference"/>
          <w:sz w:val="24"/>
          <w:szCs w:val="24"/>
          <w:lang w:val="sv-SE"/>
        </w:rPr>
      </w:pPr>
      <w:r w:rsidRPr="000D6AD3">
        <w:rPr>
          <w:rStyle w:val="FootnoteReference"/>
          <w:sz w:val="24"/>
          <w:szCs w:val="24"/>
          <w:lang w:val="sv-SE"/>
        </w:rPr>
        <w:footnoteRef/>
      </w:r>
      <w:r w:rsidR="00920BF4" w:rsidRPr="000D6AD3">
        <w:rPr>
          <w:sz w:val="24"/>
          <w:szCs w:val="24"/>
          <w:lang w:val="sv-SE"/>
        </w:rPr>
        <w:t xml:space="preserve"> </w:t>
      </w:r>
      <w:r w:rsidR="00920BF4" w:rsidRPr="000D6AD3">
        <w:rPr>
          <w:sz w:val="24"/>
          <w:szCs w:val="24"/>
          <w:lang w:val="sv-SE"/>
        </w:rPr>
        <w:tab/>
      </w:r>
      <w:r w:rsidRPr="00625B75">
        <w:rPr>
          <w:rStyle w:val="FootnoteReference"/>
          <w:sz w:val="24"/>
          <w:szCs w:val="24"/>
          <w:vertAlign w:val="baseline"/>
          <w:lang w:val="sv-SE"/>
        </w:rPr>
        <w:t>EUT C 363, 28.10.2020, s. 113.</w:t>
      </w:r>
    </w:p>
  </w:footnote>
  <w:footnote w:id="4">
    <w:p w:rsidR="00DD6912" w:rsidRPr="000D6AD3" w:rsidRDefault="00DD6912" w:rsidP="00920BF4">
      <w:pPr>
        <w:pStyle w:val="FootnoteText"/>
        <w:ind w:left="567" w:hanging="567"/>
        <w:rPr>
          <w:rStyle w:val="FootnoteReference"/>
          <w:sz w:val="24"/>
          <w:szCs w:val="24"/>
          <w:lang w:val="sv-SE"/>
        </w:rPr>
      </w:pPr>
      <w:r w:rsidRPr="000D6AD3">
        <w:rPr>
          <w:rStyle w:val="FootnoteReference"/>
          <w:sz w:val="24"/>
          <w:szCs w:val="24"/>
          <w:lang w:val="sv-SE"/>
        </w:rPr>
        <w:footnoteRef/>
      </w:r>
      <w:r w:rsidR="00920BF4" w:rsidRPr="000D6AD3">
        <w:rPr>
          <w:sz w:val="24"/>
          <w:szCs w:val="24"/>
          <w:lang w:val="sv-SE"/>
        </w:rPr>
        <w:t xml:space="preserve"> </w:t>
      </w:r>
      <w:r w:rsidR="00920BF4" w:rsidRPr="000D6AD3">
        <w:rPr>
          <w:sz w:val="24"/>
          <w:szCs w:val="24"/>
          <w:lang w:val="sv-SE"/>
        </w:rPr>
        <w:tab/>
      </w:r>
      <w:r w:rsidRPr="00625B75">
        <w:rPr>
          <w:rStyle w:val="FootnoteReference"/>
          <w:sz w:val="24"/>
          <w:szCs w:val="24"/>
          <w:vertAlign w:val="baseline"/>
          <w:lang w:val="sv-SE"/>
        </w:rPr>
        <w:t>EUT C 232, 16.6.2021, s. 62.</w:t>
      </w:r>
    </w:p>
  </w:footnote>
  <w:footnote w:id="5">
    <w:p w:rsidR="00DD6912" w:rsidRPr="000D6AD3" w:rsidRDefault="00DD6912" w:rsidP="00920BF4">
      <w:pPr>
        <w:pStyle w:val="FootnoteText"/>
        <w:ind w:left="567" w:hanging="567"/>
        <w:rPr>
          <w:rStyle w:val="FootnoteReference"/>
          <w:sz w:val="24"/>
          <w:szCs w:val="24"/>
          <w:lang w:val="sv-SE"/>
        </w:rPr>
      </w:pPr>
      <w:r w:rsidRPr="000D6AD3">
        <w:rPr>
          <w:rStyle w:val="FootnoteReference"/>
          <w:sz w:val="24"/>
          <w:szCs w:val="24"/>
          <w:lang w:val="sv-SE"/>
        </w:rPr>
        <w:footnoteRef/>
      </w:r>
      <w:r w:rsidR="00920BF4" w:rsidRPr="000D6AD3">
        <w:rPr>
          <w:sz w:val="24"/>
          <w:szCs w:val="24"/>
          <w:lang w:val="sv-SE"/>
        </w:rPr>
        <w:t xml:space="preserve"> </w:t>
      </w:r>
      <w:r w:rsidR="00920BF4" w:rsidRPr="000D6AD3">
        <w:rPr>
          <w:sz w:val="24"/>
          <w:szCs w:val="24"/>
          <w:lang w:val="sv-SE"/>
        </w:rPr>
        <w:tab/>
      </w:r>
      <w:hyperlink r:id="rId1" w:history="1">
        <w:r w:rsidRPr="00625B75">
          <w:rPr>
            <w:rStyle w:val="FootnoteReference"/>
            <w:sz w:val="24"/>
            <w:szCs w:val="24"/>
            <w:vertAlign w:val="baseline"/>
            <w:lang w:val="sv-SE"/>
          </w:rPr>
          <w:t>https://www.europarl.europa.eu/cmsdata/158345/outcome_document-final-e.pdf</w:t>
        </w:r>
      </w:hyperlink>
      <w:r w:rsidRPr="000D6AD3">
        <w:rPr>
          <w:sz w:val="24"/>
          <w:szCs w:val="24"/>
          <w:lang w:val="sv-SE"/>
        </w:rPr>
        <w:t>.</w:t>
      </w:r>
    </w:p>
  </w:footnote>
  <w:footnote w:id="6">
    <w:p w:rsidR="00DD6912" w:rsidRPr="000D6AD3" w:rsidRDefault="00DD6912" w:rsidP="00920BF4">
      <w:pPr>
        <w:pStyle w:val="FootnoteText"/>
        <w:ind w:left="567" w:hanging="567"/>
        <w:rPr>
          <w:sz w:val="24"/>
          <w:szCs w:val="24"/>
          <w:lang w:val="sv-SE"/>
        </w:rPr>
      </w:pPr>
      <w:r w:rsidRPr="000D6AD3">
        <w:rPr>
          <w:rStyle w:val="FootnoteReference"/>
          <w:sz w:val="24"/>
          <w:szCs w:val="24"/>
          <w:lang w:val="sv-SE"/>
        </w:rPr>
        <w:footnoteRef/>
      </w:r>
      <w:r w:rsidR="00920BF4" w:rsidRPr="000D6AD3">
        <w:rPr>
          <w:sz w:val="24"/>
          <w:szCs w:val="24"/>
          <w:lang w:val="sv-SE"/>
        </w:rPr>
        <w:t xml:space="preserve"> </w:t>
      </w:r>
      <w:r w:rsidR="00920BF4" w:rsidRPr="000D6AD3">
        <w:rPr>
          <w:sz w:val="24"/>
          <w:szCs w:val="24"/>
          <w:lang w:val="sv-SE"/>
        </w:rPr>
        <w:tab/>
      </w:r>
      <w:hyperlink r:id="rId2" w:history="1">
        <w:r w:rsidRPr="00625B75">
          <w:rPr>
            <w:rStyle w:val="Hyperlink"/>
            <w:color w:val="auto"/>
            <w:u w:val="none"/>
            <w:lang w:val="sv-SE"/>
          </w:rPr>
          <w:t>https://www.europarl.europa.eu/cmsdata/231517/2017_PCWTO_outcome_EN.pdf</w:t>
        </w:r>
      </w:hyperlink>
      <w:r w:rsidRPr="000D6AD3">
        <w:rPr>
          <w:sz w:val="24"/>
          <w:szCs w:val="24"/>
          <w:lang w:val="sv-S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0BF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0BF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0BF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0/2024"/>
    <w:docVar w:name="dvlangue" w:val="SV"/>
    <w:docVar w:name="dvnumam" w:val="0"/>
    <w:docVar w:name="dvpe" w:val="753.647"/>
    <w:docVar w:name="dvtitre" w:val="Europaparlamentets resolution av den xx xx 2024 om multilaterala förhandlingar inför WTO:s trettonde ministerkonferens i Abu Dhabi den 26–29 februari 2024(2023/2868(RSP))"/>
  </w:docVars>
  <w:rsids>
    <w:rsidRoot w:val="00CA7540"/>
    <w:rsid w:val="00002272"/>
    <w:rsid w:val="0005520A"/>
    <w:rsid w:val="00064002"/>
    <w:rsid w:val="000677B9"/>
    <w:rsid w:val="00074377"/>
    <w:rsid w:val="000831BA"/>
    <w:rsid w:val="000A42CC"/>
    <w:rsid w:val="000D6AD3"/>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5B7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0BF4"/>
    <w:rsid w:val="00930C23"/>
    <w:rsid w:val="0093193B"/>
    <w:rsid w:val="009509D8"/>
    <w:rsid w:val="00950B64"/>
    <w:rsid w:val="00981893"/>
    <w:rsid w:val="009F7F1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7540"/>
    <w:rsid w:val="00CC2357"/>
    <w:rsid w:val="00CF071A"/>
    <w:rsid w:val="00D058B8"/>
    <w:rsid w:val="00D56C11"/>
    <w:rsid w:val="00D834A0"/>
    <w:rsid w:val="00D872DF"/>
    <w:rsid w:val="00D91E21"/>
    <w:rsid w:val="00DA7FCD"/>
    <w:rsid w:val="00DD6912"/>
    <w:rsid w:val="00E365E1"/>
    <w:rsid w:val="00E820A4"/>
    <w:rsid w:val="00EB006A"/>
    <w:rsid w:val="00EB4772"/>
    <w:rsid w:val="00ED169E"/>
    <w:rsid w:val="00ED4235"/>
    <w:rsid w:val="00F04346"/>
    <w:rsid w:val="00F075DC"/>
    <w:rsid w:val="00F149E9"/>
    <w:rsid w:val="00F232F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C22210"/>
  <w15:chartTrackingRefBased/>
  <w15:docId w15:val="{8D316AAC-66F6-4D9A-8471-0A3E1E65D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D6912"/>
    <w:pPr>
      <w:spacing w:before="480" w:after="240"/>
    </w:pPr>
  </w:style>
  <w:style w:type="paragraph" w:customStyle="1" w:styleId="NormalHanging12a">
    <w:name w:val="NormalHanging12a"/>
    <w:basedOn w:val="Normal"/>
    <w:link w:val="NormalHanging12aChar"/>
    <w:rsid w:val="00DD6912"/>
    <w:pPr>
      <w:spacing w:after="240"/>
      <w:ind w:left="567" w:hanging="567"/>
    </w:pPr>
  </w:style>
  <w:style w:type="character" w:customStyle="1" w:styleId="NormalHanging12aChar">
    <w:name w:val="NormalHanging12a Char"/>
    <w:basedOn w:val="DefaultParagraphFont"/>
    <w:link w:val="NormalHanging12a"/>
    <w:locked/>
    <w:rsid w:val="00DD6912"/>
    <w:rPr>
      <w:sz w:val="24"/>
      <w:lang w:val="sv-SE"/>
    </w:rPr>
  </w:style>
  <w:style w:type="paragraph" w:styleId="BalloonText">
    <w:name w:val="Balloon Text"/>
    <w:basedOn w:val="Normal"/>
    <w:link w:val="BalloonTextChar"/>
    <w:rsid w:val="000D6AD3"/>
    <w:rPr>
      <w:rFonts w:ascii="Segoe UI" w:hAnsi="Segoe UI" w:cs="Segoe UI"/>
      <w:sz w:val="18"/>
      <w:szCs w:val="18"/>
    </w:rPr>
  </w:style>
  <w:style w:type="character" w:customStyle="1" w:styleId="BalloonTextChar">
    <w:name w:val="Balloon Text Char"/>
    <w:basedOn w:val="DefaultParagraphFont"/>
    <w:link w:val="BalloonText"/>
    <w:rsid w:val="000D6AD3"/>
    <w:rPr>
      <w:rFonts w:ascii="Segoe UI" w:hAnsi="Segoe UI" w:cs="Segoe UI"/>
      <w:sz w:val="18"/>
      <w:szCs w:val="18"/>
      <w:lang w:val="sv-SE"/>
    </w:rPr>
  </w:style>
  <w:style w:type="character" w:styleId="Hyperlink">
    <w:name w:val="Hyperlink"/>
    <w:basedOn w:val="DefaultParagraphFont"/>
    <w:rsid w:val="000D6AD3"/>
    <w:rPr>
      <w:color w:val="0563C1" w:themeColor="hyperlink"/>
      <w:u w:val="single"/>
    </w:rPr>
  </w:style>
  <w:style w:type="character" w:styleId="FollowedHyperlink">
    <w:name w:val="FollowedHyperlink"/>
    <w:basedOn w:val="DefaultParagraphFont"/>
    <w:rsid w:val="000D6AD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europarl.europa.eu/cmsdata/231517/2017_PCWTO_outcome_EN.pdf" TargetMode="External"/><Relationship Id="rId1" Type="http://schemas.openxmlformats.org/officeDocument/2006/relationships/hyperlink" Target="https://www.europarl.europa.eu/cmsdata/158345/outcome_document-final-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9627F1-31F3-42D3-8680-A27C689DB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3180</Words>
  <Characters>20914</Characters>
  <Application>Microsoft Office Word</Application>
  <DocSecurity>4</DocSecurity>
  <Lines>174</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Lukas Lemcke</cp:lastModifiedBy>
  <cp:revision>2</cp:revision>
  <cp:lastPrinted>2004-11-19T15:42:00Z</cp:lastPrinted>
  <dcterms:created xsi:type="dcterms:W3CDTF">2024-06-14T09:21:00Z</dcterms:created>
  <dcterms:modified xsi:type="dcterms:W3CDTF">2024-06-14T09:21:00Z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B9-0090/2024</vt:lpwstr>
  </property>
  <property fmtid="{D5CDD505-2E9C-101B-9397-08002B2CF9AE}" pid="4" name="&lt;Type&gt;">
    <vt:lpwstr>RR</vt:lpwstr>
  </property>
</Properties>
</file>