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DA6CCB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DA6CCB" w:rsidRDefault="000206E0" w:rsidP="0010095E">
            <w:pPr>
              <w:pStyle w:val="EPName"/>
            </w:pPr>
            <w:r w:rsidRPr="00DA6CCB">
              <w:t>Parlament Europejski</w:t>
            </w:r>
          </w:p>
          <w:p w:rsidR="00751A4A" w:rsidRPr="00DA6CCB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DA6CCB">
              <w:t>2019-2024</w:t>
            </w:r>
          </w:p>
        </w:tc>
        <w:tc>
          <w:tcPr>
            <w:tcW w:w="2268" w:type="dxa"/>
            <w:shd w:val="clear" w:color="auto" w:fill="auto"/>
          </w:tcPr>
          <w:p w:rsidR="00751A4A" w:rsidRPr="00DA6CCB" w:rsidRDefault="00187494" w:rsidP="0010095E">
            <w:pPr>
              <w:pStyle w:val="EPLogo"/>
            </w:pPr>
            <w:r w:rsidRPr="00DA6CCB">
              <w:rPr>
                <w:noProof/>
                <w:lang w:val="en-GB" w:eastAsia="zh-TW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DA6CCB" w:rsidRDefault="00D058B8" w:rsidP="004C5D52">
      <w:pPr>
        <w:pStyle w:val="LineTop"/>
      </w:pPr>
    </w:p>
    <w:p w:rsidR="00680577" w:rsidRPr="00DA6CCB" w:rsidRDefault="000206E0" w:rsidP="00680577">
      <w:pPr>
        <w:pStyle w:val="EPBodyTA1"/>
      </w:pPr>
      <w:r w:rsidRPr="00DA6CCB">
        <w:t>TEKSTY PRZYJĘTE</w:t>
      </w:r>
    </w:p>
    <w:p w:rsidR="00D058B8" w:rsidRPr="00DA6CCB" w:rsidRDefault="00D058B8" w:rsidP="00D058B8">
      <w:pPr>
        <w:pStyle w:val="LineBottom"/>
      </w:pPr>
    </w:p>
    <w:p w:rsidR="000206E0" w:rsidRPr="00DA6CCB" w:rsidRDefault="000206E0" w:rsidP="000206E0">
      <w:pPr>
        <w:pStyle w:val="ATHeading1"/>
      </w:pPr>
      <w:bookmarkStart w:id="0" w:name="TANumber"/>
      <w:r w:rsidRPr="00DA6CCB">
        <w:t>P9_TA(2024)00</w:t>
      </w:r>
      <w:bookmarkEnd w:id="0"/>
      <w:r w:rsidR="006E38AC">
        <w:t>79</w:t>
      </w:r>
    </w:p>
    <w:p w:rsidR="000206E0" w:rsidRPr="00DA6CCB" w:rsidRDefault="000206E0" w:rsidP="000206E0">
      <w:pPr>
        <w:pStyle w:val="ATHeading2"/>
      </w:pPr>
      <w:bookmarkStart w:id="1" w:name="title"/>
      <w:proofErr w:type="spellStart"/>
      <w:r w:rsidRPr="00DA6CCB">
        <w:t>Russiagate</w:t>
      </w:r>
      <w:proofErr w:type="spellEnd"/>
      <w:r w:rsidRPr="00DA6CCB">
        <w:t>: zarzuty dotyczące rosyjskiej ingerencji w procesy demokratyczne w Unii Europejskiej</w:t>
      </w:r>
      <w:bookmarkEnd w:id="1"/>
    </w:p>
    <w:p w:rsidR="000206E0" w:rsidRPr="00DA6CCB" w:rsidRDefault="000206E0" w:rsidP="000206E0">
      <w:pPr>
        <w:rPr>
          <w:i/>
          <w:vanish/>
        </w:rPr>
      </w:pPr>
      <w:r w:rsidRPr="00DA6CCB">
        <w:rPr>
          <w:i/>
        </w:rPr>
        <w:fldChar w:fldCharType="begin"/>
      </w:r>
      <w:r w:rsidRPr="00DA6CCB">
        <w:rPr>
          <w:i/>
        </w:rPr>
        <w:instrText xml:space="preserve"> TC"(</w:instrText>
      </w:r>
      <w:bookmarkStart w:id="2" w:name="DocNumber"/>
      <w:r w:rsidR="001A6B3E" w:rsidRPr="00E25C35">
        <w:rPr>
          <w:i/>
        </w:rPr>
        <w:instrText>B9-0124</w:instrText>
      </w:r>
      <w:r w:rsidR="001A6B3E">
        <w:rPr>
          <w:i/>
        </w:rPr>
        <w:instrText>, 0125, 0127, 0128 oraz 0130</w:instrText>
      </w:r>
      <w:r w:rsidR="001A6B3E" w:rsidRPr="00E25C35">
        <w:rPr>
          <w:i/>
        </w:rPr>
        <w:instrText>/2024</w:instrText>
      </w:r>
      <w:bookmarkEnd w:id="2"/>
      <w:r w:rsidRPr="00DA6CCB">
        <w:rPr>
          <w:i/>
        </w:rPr>
        <w:instrText xml:space="preserve">)"\l3 \n&gt; \* MERGEFORMAT </w:instrText>
      </w:r>
      <w:r w:rsidRPr="00DA6CCB">
        <w:rPr>
          <w:i/>
        </w:rPr>
        <w:fldChar w:fldCharType="end"/>
      </w:r>
    </w:p>
    <w:p w:rsidR="000206E0" w:rsidRPr="00DA6CCB" w:rsidRDefault="000206E0" w:rsidP="000206E0">
      <w:pPr>
        <w:rPr>
          <w:vanish/>
        </w:rPr>
      </w:pPr>
      <w:bookmarkStart w:id="3" w:name="PE"/>
      <w:r w:rsidRPr="00DA6CCB">
        <w:rPr>
          <w:vanish/>
        </w:rPr>
        <w:t>PE756.867</w:t>
      </w:r>
      <w:bookmarkEnd w:id="3"/>
    </w:p>
    <w:p w:rsidR="000206E0" w:rsidRPr="00DA6CCB" w:rsidRDefault="000206E0" w:rsidP="000206E0">
      <w:pPr>
        <w:pStyle w:val="ATHeading3"/>
      </w:pPr>
      <w:bookmarkStart w:id="4" w:name="Sujet"/>
      <w:r w:rsidRPr="00DA6CCB">
        <w:t xml:space="preserve">Rezolucja Parlamentu Europejskiego z dnia </w:t>
      </w:r>
      <w:r w:rsidR="001A6B3E">
        <w:t>8 lutego</w:t>
      </w:r>
      <w:r w:rsidRPr="00DA6CCB">
        <w:t xml:space="preserve"> 2024 r. w sprawie </w:t>
      </w:r>
      <w:proofErr w:type="spellStart"/>
      <w:r w:rsidRPr="00DA6CCB">
        <w:t>Russiagate</w:t>
      </w:r>
      <w:proofErr w:type="spellEnd"/>
      <w:r w:rsidRPr="00DA6CCB">
        <w:t>: zarzuty dotyczące rosyjskiej ingerencji w procesy demokratyczne w Unii Europejskiej</w:t>
      </w:r>
      <w:bookmarkEnd w:id="4"/>
      <w:r w:rsidRPr="00DA6CCB">
        <w:t xml:space="preserve"> </w:t>
      </w:r>
      <w:bookmarkStart w:id="5" w:name="References"/>
      <w:r w:rsidRPr="00DA6CCB">
        <w:t>(2024/2548(RSP))</w:t>
      </w:r>
      <w:bookmarkEnd w:id="5"/>
    </w:p>
    <w:p w:rsidR="00CD4E2B" w:rsidRPr="00DA6CCB" w:rsidRDefault="00CD4E2B" w:rsidP="00CD4E2B">
      <w:pPr>
        <w:pStyle w:val="EPComma"/>
      </w:pPr>
      <w:bookmarkStart w:id="6" w:name="TextBodyBegin"/>
      <w:bookmarkEnd w:id="6"/>
      <w:r w:rsidRPr="00DA6CCB">
        <w:rPr>
          <w:i/>
          <w:iCs/>
        </w:rPr>
        <w:t>Parlament Europejski</w:t>
      </w:r>
      <w:r w:rsidRPr="00DA6CCB">
        <w:t>,</w:t>
      </w:r>
    </w:p>
    <w:p w:rsidR="00CD4E2B" w:rsidRPr="00DA6CCB" w:rsidRDefault="00CD4E2B" w:rsidP="00CD4E2B">
      <w:pPr>
        <w:pStyle w:val="NormalHanging12a"/>
      </w:pPr>
      <w:r w:rsidRPr="00DA6CCB">
        <w:t>–</w:t>
      </w:r>
      <w:r w:rsidRPr="00DA6CCB">
        <w:tab/>
        <w:t>uwzględniając swoją decyzję z 13 września 2023 r. w sprawie zmian w Regulaminie Parlamentu Europejskiego służących poprawie uczciwości, niezależności i rozliczalności</w:t>
      </w:r>
      <w:r w:rsidRPr="00DA6CCB">
        <w:rPr>
          <w:rStyle w:val="FootnoteReference"/>
          <w:rFonts w:eastAsiaTheme="minorHAnsi"/>
        </w:rPr>
        <w:footnoteReference w:id="1"/>
      </w:r>
      <w:r w:rsidRPr="00DA6CCB">
        <w:t xml:space="preserve">, </w:t>
      </w:r>
    </w:p>
    <w:p w:rsidR="00CD4E2B" w:rsidRPr="00DA6CCB" w:rsidRDefault="00CD4E2B" w:rsidP="00CD4E2B">
      <w:pPr>
        <w:pStyle w:val="NormalHanging12a"/>
      </w:pPr>
      <w:r w:rsidRPr="00DA6CCB">
        <w:t>–</w:t>
      </w:r>
      <w:r w:rsidRPr="00DA6CCB">
        <w:tab/>
        <w:t>uwzględniając swoją rezolucję z 13 lipca 2023 r. w sprawie zaleceń dotyczących reformy przepisów Parlamentu Europejskiego w zakresie przejrzystości, uczciwości, odpowiedzialności i walki z korupcją</w:t>
      </w:r>
      <w:r w:rsidRPr="00DA6CCB">
        <w:rPr>
          <w:rStyle w:val="FootnoteReference"/>
          <w:rFonts w:eastAsiaTheme="minorHAnsi"/>
        </w:rPr>
        <w:footnoteReference w:id="2"/>
      </w:r>
      <w:r w:rsidRPr="00DA6CCB">
        <w:t xml:space="preserve">, </w:t>
      </w:r>
    </w:p>
    <w:p w:rsidR="00CD4E2B" w:rsidRPr="00DA6CCB" w:rsidRDefault="00CD4E2B" w:rsidP="00CD4E2B">
      <w:pPr>
        <w:pStyle w:val="NormalHanging12a"/>
      </w:pPr>
      <w:r w:rsidRPr="00DA6CCB">
        <w:t>–</w:t>
      </w:r>
      <w:r w:rsidRPr="00DA6CCB">
        <w:tab/>
        <w:t>uwzględniając swoją rezolucję z 1 czerwca 2023 r. w sprawie obcych ingerencji we wszystkie procesy demokratyczne w Unii Europejskiej, w tym dezinformacji</w:t>
      </w:r>
      <w:r w:rsidRPr="00DA6CCB">
        <w:rPr>
          <w:rStyle w:val="FootnoteReference"/>
          <w:rFonts w:eastAsiaTheme="minorHAnsi"/>
        </w:rPr>
        <w:footnoteReference w:id="3"/>
      </w:r>
      <w:r w:rsidRPr="00DA6CCB">
        <w:t xml:space="preserve">, </w:t>
      </w:r>
    </w:p>
    <w:p w:rsidR="00CD4E2B" w:rsidRPr="00DA6CCB" w:rsidRDefault="00CD4E2B" w:rsidP="00CD4E2B">
      <w:pPr>
        <w:pStyle w:val="NormalHanging12a"/>
      </w:pPr>
      <w:r w:rsidRPr="00DA6CCB">
        <w:t>–</w:t>
      </w:r>
      <w:r w:rsidRPr="00DA6CCB">
        <w:tab/>
        <w:t>uwzględniając swoją rezolucję z 9 marca 2022 r. w sprawie obcych ingerencji we wszystkie procesy demokratyczne w Unii Europejskiej, w tym dezinformacji</w:t>
      </w:r>
      <w:r w:rsidRPr="00DA6CCB">
        <w:rPr>
          <w:rStyle w:val="FootnoteReference"/>
          <w:rFonts w:eastAsiaTheme="minorHAnsi"/>
        </w:rPr>
        <w:footnoteReference w:id="4"/>
      </w:r>
      <w:r w:rsidRPr="00DA6CCB">
        <w:t xml:space="preserve">, </w:t>
      </w:r>
    </w:p>
    <w:p w:rsidR="00CD4E2B" w:rsidRPr="00DA6CCB" w:rsidRDefault="00CD4E2B" w:rsidP="00CD4E2B">
      <w:pPr>
        <w:pStyle w:val="NormalHanging12a"/>
      </w:pPr>
      <w:r w:rsidRPr="00DA6CCB">
        <w:t>–</w:t>
      </w:r>
      <w:r w:rsidRPr="00DA6CCB">
        <w:tab/>
        <w:t>uwzględniając swoje wcześniejsze rezolucje w sprawie stosunków UE-Rosja, zwłaszcza rezolucję z 23 listopada 2022 r. w sprawie uznania Federacji Rosyjskiej za państwo sponsorujące terroryzm</w:t>
      </w:r>
      <w:r w:rsidRPr="00DA6CCB">
        <w:rPr>
          <w:rStyle w:val="FootnoteReference"/>
          <w:rFonts w:eastAsiaTheme="minorHAnsi"/>
        </w:rPr>
        <w:footnoteReference w:id="5"/>
      </w:r>
      <w:r w:rsidRPr="00DA6CCB">
        <w:t xml:space="preserve">, </w:t>
      </w:r>
    </w:p>
    <w:p w:rsidR="00CD4E2B" w:rsidRPr="00DA6CCB" w:rsidRDefault="00CD4E2B" w:rsidP="00CD4E2B">
      <w:pPr>
        <w:pStyle w:val="NormalHanging12a"/>
      </w:pPr>
      <w:r w:rsidRPr="00DA6CCB">
        <w:t>–</w:t>
      </w:r>
      <w:r w:rsidRPr="00DA6CCB">
        <w:tab/>
        <w:t>uwzględniając swoją rezolucję z 19 września 2019 r. w sprawie znaczenia europejskiej pamięci historycznej dla przyszłości Europy</w:t>
      </w:r>
      <w:r w:rsidRPr="00DA6CCB">
        <w:rPr>
          <w:rStyle w:val="FootnoteReference"/>
          <w:rFonts w:eastAsiaTheme="minorHAnsi"/>
        </w:rPr>
        <w:footnoteReference w:id="6"/>
      </w:r>
      <w:r w:rsidRPr="00DA6CCB">
        <w:t>,</w:t>
      </w:r>
    </w:p>
    <w:p w:rsidR="00CD4E2B" w:rsidRPr="00DA6CCB" w:rsidRDefault="00CD4E2B" w:rsidP="00CD4E2B">
      <w:pPr>
        <w:pStyle w:val="NormalHanging12a"/>
      </w:pPr>
      <w:r w:rsidRPr="00DA6CCB">
        <w:t>–</w:t>
      </w:r>
      <w:r w:rsidRPr="00DA6CCB">
        <w:tab/>
        <w:t xml:space="preserve">uwzględniając swoją rezolucję z 17 stycznia 2024 r. w sprawie europejskiej </w:t>
      </w:r>
      <w:r w:rsidRPr="00DA6CCB">
        <w:lastRenderedPageBreak/>
        <w:t>świadomości historycznej</w:t>
      </w:r>
      <w:r w:rsidRPr="00DA6CCB">
        <w:rPr>
          <w:rStyle w:val="FootnoteReference"/>
          <w:rFonts w:eastAsiaTheme="minorHAnsi"/>
        </w:rPr>
        <w:footnoteReference w:id="7"/>
      </w:r>
      <w:r w:rsidRPr="00DA6CCB">
        <w:t>,</w:t>
      </w:r>
    </w:p>
    <w:p w:rsidR="00CD4E2B" w:rsidRPr="00DA6CCB" w:rsidRDefault="00CD4E2B" w:rsidP="00CD4E2B">
      <w:pPr>
        <w:pStyle w:val="NormalHanging12a"/>
      </w:pPr>
      <w:r w:rsidRPr="00DA6CCB">
        <w:t>–</w:t>
      </w:r>
      <w:r w:rsidRPr="00DA6CCB">
        <w:tab/>
        <w:t>uwzględniając swoją rezolucję z 1 marca 2022 r. w sprawie rosyjskiej agresji na Ukrainę</w:t>
      </w:r>
      <w:r w:rsidRPr="00DA6CCB">
        <w:rPr>
          <w:rStyle w:val="FootnoteReference"/>
          <w:rFonts w:eastAsiaTheme="minorHAnsi"/>
        </w:rPr>
        <w:footnoteReference w:id="8"/>
      </w:r>
      <w:r w:rsidRPr="00DA6CCB">
        <w:t xml:space="preserve">, </w:t>
      </w:r>
    </w:p>
    <w:p w:rsidR="00CD4E2B" w:rsidRPr="00DA6CCB" w:rsidRDefault="00CD4E2B" w:rsidP="00CD4E2B">
      <w:pPr>
        <w:pStyle w:val="NormalHanging12a"/>
        <w:rPr>
          <w:rFonts w:eastAsiaTheme="minorHAnsi"/>
          <w:szCs w:val="22"/>
        </w:rPr>
      </w:pPr>
      <w:r w:rsidRPr="00DA6CCB">
        <w:t>–</w:t>
      </w:r>
      <w:r w:rsidRPr="00DA6CCB">
        <w:tab/>
        <w:t xml:space="preserve">uwzględniając sprawozdanie Europejskiej Służby Działań Zewnętrznych z 23 stycznia 2024 r. zatytułowane „Drugie sprawozdanie ESDZ na temat zagranicznych manipulacji informacjami i zagrożeń ingerencjami – ramy obrony w sieci”, </w:t>
      </w:r>
    </w:p>
    <w:p w:rsidR="00CD4E2B" w:rsidRPr="00DA6CCB" w:rsidRDefault="00CD4E2B" w:rsidP="00CD4E2B">
      <w:pPr>
        <w:pStyle w:val="NormalHanging12a"/>
      </w:pPr>
      <w:r w:rsidRPr="00DA6CCB">
        <w:t>–</w:t>
      </w:r>
      <w:r w:rsidRPr="00DA6CCB">
        <w:tab/>
        <w:t xml:space="preserve">uwzględniając komunikat Komisji z 12 grudnia 2023 r. w sprawie obrony demokracji (COM(2023)0630), </w:t>
      </w:r>
    </w:p>
    <w:p w:rsidR="00CD4E2B" w:rsidRPr="00DA6CCB" w:rsidRDefault="00CD4E2B" w:rsidP="00CD4E2B">
      <w:pPr>
        <w:pStyle w:val="NormalHanging12a"/>
      </w:pPr>
      <w:r w:rsidRPr="00DA6CCB">
        <w:t>–</w:t>
      </w:r>
      <w:r w:rsidRPr="00DA6CCB">
        <w:tab/>
        <w:t>uwzględniając wniosek Komisji z 12 grudnia 2023 r. w sprawie dyrektywy Parlamentu Europejskiego i Rady ustanawiającej zharmonizowane wymogi na rynku wewnętrznym dotyczące przejrzystości reprezentacji interesów w imieniu państw trzecich oraz zmieniającej dyr</w:t>
      </w:r>
      <w:r w:rsidR="00136B3A">
        <w:t>ektywę (UE) 2019/1937 (COM(2023)</w:t>
      </w:r>
      <w:bookmarkStart w:id="7" w:name="_GoBack"/>
      <w:bookmarkEnd w:id="7"/>
      <w:r w:rsidRPr="00DA6CCB">
        <w:t xml:space="preserve">0637), </w:t>
      </w:r>
    </w:p>
    <w:p w:rsidR="00CD4E2B" w:rsidRPr="00DA6CCB" w:rsidRDefault="00CD4E2B" w:rsidP="00CD4E2B">
      <w:pPr>
        <w:pStyle w:val="NormalHanging12a"/>
        <w:rPr>
          <w:rFonts w:eastAsiaTheme="minorHAnsi"/>
          <w:szCs w:val="22"/>
        </w:rPr>
      </w:pPr>
      <w:r w:rsidRPr="00DA6CCB">
        <w:t>–</w:t>
      </w:r>
      <w:r w:rsidRPr="00DA6CCB">
        <w:tab/>
        <w:t xml:space="preserve">uwzględniając komunikat Komisji z 3 grudnia 2020 r. w sprawie europejskiego planu działania na rzecz demokracji (COM(2020)0790), </w:t>
      </w:r>
    </w:p>
    <w:p w:rsidR="00CD4E2B" w:rsidRPr="00DA6CCB" w:rsidRDefault="00CD4E2B" w:rsidP="00CD4E2B">
      <w:pPr>
        <w:pStyle w:val="NormalHanging12a"/>
      </w:pPr>
      <w:r w:rsidRPr="00DA6CCB">
        <w:t>–</w:t>
      </w:r>
      <w:r w:rsidRPr="00DA6CCB">
        <w:tab/>
        <w:t xml:space="preserve">uwzględniając prawną zasadę domniemania niewinności, </w:t>
      </w:r>
    </w:p>
    <w:p w:rsidR="00CD4E2B" w:rsidRPr="00DA6CCB" w:rsidRDefault="00CD4E2B" w:rsidP="00CD4E2B">
      <w:pPr>
        <w:pStyle w:val="NormalHanging12a"/>
      </w:pPr>
      <w:r w:rsidRPr="00DA6CCB">
        <w:t>–</w:t>
      </w:r>
      <w:r w:rsidRPr="00DA6CCB">
        <w:tab/>
        <w:t xml:space="preserve">uwzględniając swój Regulamin i Kodeks postępowania posłów do Parlamentu Europejskiego, </w:t>
      </w:r>
    </w:p>
    <w:p w:rsidR="00CD4E2B" w:rsidRPr="00DA6CCB" w:rsidRDefault="00CD4E2B" w:rsidP="00CD4E2B">
      <w:pPr>
        <w:pStyle w:val="NormalHanging12a"/>
      </w:pPr>
      <w:r w:rsidRPr="00DA6CCB">
        <w:t>–</w:t>
      </w:r>
      <w:r w:rsidRPr="00DA6CCB">
        <w:tab/>
        <w:t>uwzględniając swoją rezolucję z 16 września 2021 r. w sprawie wzmocnienia przejrzystości i uczciwości w instytucjach UE poprzez ustanowienie niezależnego unijnego organu ds. etyki</w:t>
      </w:r>
      <w:r w:rsidRPr="00DA6CCB">
        <w:rPr>
          <w:rStyle w:val="FootnoteReference"/>
          <w:rFonts w:eastAsiaTheme="minorHAnsi"/>
        </w:rPr>
        <w:footnoteReference w:id="9"/>
      </w:r>
      <w:r w:rsidRPr="00DA6CCB">
        <w:t>,</w:t>
      </w:r>
    </w:p>
    <w:p w:rsidR="00CD4E2B" w:rsidRPr="00DA6CCB" w:rsidRDefault="00CD4E2B" w:rsidP="00CD4E2B">
      <w:pPr>
        <w:pStyle w:val="NormalHanging12a"/>
      </w:pPr>
      <w:r w:rsidRPr="00DA6CCB">
        <w:t>–</w:t>
      </w:r>
      <w:r w:rsidRPr="00DA6CCB">
        <w:tab/>
        <w:t>uwzględniając art. 132 ust. 2 i 4 Regulaminu,</w:t>
      </w:r>
    </w:p>
    <w:p w:rsidR="00CD4E2B" w:rsidRPr="00DA6CCB" w:rsidRDefault="00CD4E2B" w:rsidP="00CD4E2B">
      <w:pPr>
        <w:pStyle w:val="NormalHanging12a"/>
      </w:pPr>
      <w:r w:rsidRPr="00DA6CCB">
        <w:t>A.</w:t>
      </w:r>
      <w:r w:rsidRPr="00DA6CCB">
        <w:tab/>
      </w:r>
      <w:proofErr w:type="gramStart"/>
      <w:r w:rsidRPr="00DA6CCB">
        <w:t>mając</w:t>
      </w:r>
      <w:proofErr w:type="gramEnd"/>
      <w:r w:rsidRPr="00DA6CCB">
        <w:t xml:space="preserve"> na uwadze, że zagraniczna ingerencja, manipulowanie informacją i dezinformacja stanowią poważne naruszenie powszechnych wartości i zasad, na których opiera się Unia, takich jak godność człowieka, wolność, równość, solidarność, poszanowanie praw człowieka i podstawowych wolności, demokracja i praworządność; mając na uwadze, że zaufanie do uczciwości i praworządności Parlamentu ma zasadnicze znaczenie dla funkcjonowania demokracji europejskiej; </w:t>
      </w:r>
    </w:p>
    <w:p w:rsidR="00CD4E2B" w:rsidRPr="00DA6CCB" w:rsidRDefault="00CD4E2B" w:rsidP="00CD4E2B">
      <w:pPr>
        <w:pStyle w:val="NormalHanging12a"/>
      </w:pPr>
      <w:r w:rsidRPr="00DA6CCB">
        <w:t>B.</w:t>
      </w:r>
      <w:r w:rsidRPr="00DA6CCB">
        <w:tab/>
        <w:t xml:space="preserve">mając na uwadze, że istnieją dowody na rosyjską ingerencję i manipulacje w wielu demokracjach, a także na praktyczne wsparcie ze strony Rosji dla sił ekstremistycznych i podmiotów o radykalnych poglądach mających destabilizować Unię; </w:t>
      </w:r>
    </w:p>
    <w:p w:rsidR="00CD4E2B" w:rsidRPr="00DA6CCB" w:rsidRDefault="00CD4E2B" w:rsidP="00CD4E2B">
      <w:pPr>
        <w:pStyle w:val="NormalHanging12a"/>
      </w:pPr>
      <w:r w:rsidRPr="00DA6CCB">
        <w:t>C.</w:t>
      </w:r>
      <w:r w:rsidRPr="00DA6CCB">
        <w:tab/>
      </w:r>
      <w:proofErr w:type="gramStart"/>
      <w:r w:rsidRPr="00DA6CCB">
        <w:t>mając</w:t>
      </w:r>
      <w:proofErr w:type="gramEnd"/>
      <w:r w:rsidRPr="00DA6CCB">
        <w:t xml:space="preserve"> na uwadze, że Komisja Specjalna Parlamentu Europejskiego ds. Obcych Ingerencji we Wszystkie Procesy Demokratyczne w UE, w tym Dezinformacji szczegółowo ujawniła kierowane przez Rosję działania i operacje mające na celu infiltrację europejskich demokracji i instytucji UE, wpływanie na nie i ingerowanie w nie; mając na uwadze, że Parlament Europejski z większą czujnością reaguje na zagraniczne ingerencje; mając jednak na uwadze, że jeszcze nie podjęto bardziej </w:t>
      </w:r>
      <w:r w:rsidRPr="00DA6CCB">
        <w:lastRenderedPageBreak/>
        <w:t xml:space="preserve">zdecydowanych środków ani reform wewnętrznych, które zapewniłyby skuteczną ochronę przed niepożądanymi wpływami zewnętrznymi; </w:t>
      </w:r>
    </w:p>
    <w:p w:rsidR="00CD4E2B" w:rsidRPr="00DA6CCB" w:rsidRDefault="00CD4E2B" w:rsidP="00CD4E2B">
      <w:pPr>
        <w:pStyle w:val="NormalHanging12a"/>
        <w:rPr>
          <w:rFonts w:eastAsiaTheme="minorHAnsi"/>
          <w:szCs w:val="22"/>
        </w:rPr>
      </w:pPr>
      <w:r w:rsidRPr="00DA6CCB">
        <w:t>D.</w:t>
      </w:r>
      <w:r w:rsidRPr="00DA6CCB">
        <w:tab/>
      </w:r>
      <w:proofErr w:type="gramStart"/>
      <w:r w:rsidRPr="00DA6CCB">
        <w:t>mając</w:t>
      </w:r>
      <w:proofErr w:type="gramEnd"/>
      <w:r w:rsidRPr="00DA6CCB">
        <w:t xml:space="preserve"> na uwadze, że Rosja, aby osiągnąć swoje cele, stosuje szeroką gamę metod wojny hybrydowej, będących elementem szerszej strategii, która ma doprowadzić do osłabienia właściwego funkcjonowania europejskich procesów demokratycznych; mając na uwadze, że już przed niesprowokowaną wojną napastniczą Rosji przeciwko Ukrainie stosowano zagraniczne ingerencje i manipulowanie informacjami, aby wywołać podziały w społeczeństwach demokratycznych, a od tego czasu ich intensywność jeszcze wzrosła; mając na uwadze, że rozpowszechnianie dezinformacji przez Rosję zarówno za pośrednictwem tradycyjnych mediów, jak i platform mediów społecznościowych, przeciąganie elit na swoją stronę, ataki </w:t>
      </w:r>
      <w:proofErr w:type="spellStart"/>
      <w:r w:rsidRPr="00DA6CCB">
        <w:t>hakerskie</w:t>
      </w:r>
      <w:proofErr w:type="spellEnd"/>
      <w:r w:rsidRPr="00DA6CCB">
        <w:t xml:space="preserve"> na kandydatów w wyborach i cyberataki nasiliły się do bezprecedensowego poziomu; </w:t>
      </w:r>
    </w:p>
    <w:p w:rsidR="00CD4E2B" w:rsidRPr="00DA6CCB" w:rsidRDefault="00CD4E2B" w:rsidP="00CD4E2B">
      <w:pPr>
        <w:pStyle w:val="NormalHanging12a"/>
      </w:pPr>
      <w:r w:rsidRPr="00DA6CCB">
        <w:t>E.</w:t>
      </w:r>
      <w:r w:rsidRPr="00DA6CCB">
        <w:tab/>
      </w:r>
      <w:proofErr w:type="gramStart"/>
      <w:r w:rsidRPr="00DA6CCB">
        <w:t>mając</w:t>
      </w:r>
      <w:proofErr w:type="gramEnd"/>
      <w:r w:rsidRPr="00DA6CCB">
        <w:t xml:space="preserve"> na uwadze, że systematyczne fałszowanie historii jest od dziesięcioleci elementem rosyjskiej wojny informacyjnej;</w:t>
      </w:r>
    </w:p>
    <w:p w:rsidR="00CD4E2B" w:rsidRPr="00DA6CCB" w:rsidRDefault="00CD4E2B" w:rsidP="00CD4E2B">
      <w:pPr>
        <w:pStyle w:val="NormalHanging12a"/>
      </w:pPr>
      <w:r w:rsidRPr="00DA6CCB">
        <w:t>F.</w:t>
      </w:r>
      <w:r w:rsidRPr="00DA6CCB">
        <w:tab/>
      </w:r>
      <w:proofErr w:type="gramStart"/>
      <w:r w:rsidRPr="00DA6CCB">
        <w:t>mając</w:t>
      </w:r>
      <w:proofErr w:type="gramEnd"/>
      <w:r w:rsidRPr="00DA6CCB">
        <w:t xml:space="preserve"> na uwadze, że Kreml ma w całej UE rozległą sieć agentów wpływów, którzy oddziałują na procesy wyborcze i politykę w kluczowych kwestiach strategicznych, takich jak infrastruktura energetyczna; mając na uwadze, że ci agenci wpływu aktywnie obierają za cel działalności wszystkie dziedziny życia publicznego, zwłaszcza kulturę, pamięć historyczną, media i wspólnoty religijne, a także polityków i ich rodziny; mając na uwadze, że w dziesiątkach dochodzeń udowodniono powiązania prominentnych aktywnych lub emerytowanych europejskich polityków i osób publicznych z Kremlem; </w:t>
      </w:r>
    </w:p>
    <w:p w:rsidR="00CD4E2B" w:rsidRPr="00DA6CCB" w:rsidRDefault="00CD4E2B" w:rsidP="00CD4E2B">
      <w:pPr>
        <w:pStyle w:val="NormalHanging12a"/>
      </w:pPr>
      <w:r w:rsidRPr="00DA6CCB">
        <w:t>G.</w:t>
      </w:r>
      <w:r w:rsidRPr="00DA6CCB">
        <w:tab/>
        <w:t xml:space="preserve">mając na uwadze, że wciąż pojawiają się nowe informacje na temat finansowania działalności politycznej i polityków w Unii Europejskiej przed i po 24 lutego 2022 r. ze źródeł spoza UE, w szczególności z Rosji; mając na uwadze, że finansowanie to stwarza zagrożenie dla uczciwości procesów demokratycznych w państwach członkowskich UE i wymaga gruntownego zbadania, aby pociągnąć współwinnych do odpowiedzialności; mając na uwadze, że Kreml sponsoruje i wspiera szereg skrajnie prawicowych </w:t>
      </w:r>
      <w:r w:rsidR="006E38AC" w:rsidRPr="006E38AC">
        <w:t>i skrajnie lewicowych partii i polityków</w:t>
      </w:r>
      <w:r w:rsidRPr="00DA6CCB">
        <w:t xml:space="preserve"> w Europie i między innymi pozwolił, aby partia Marine Le Pen otrzymała w 2013 r. z banku rosyjskiego pożyczkę w wysokości 9,4 mln EUR; mając na uwadze, że od tego czasu Le Pen i członkowie jej partii wielokrotnie zajmowali prokremlowskie stanowisko; </w:t>
      </w:r>
    </w:p>
    <w:p w:rsidR="00CD4E2B" w:rsidRDefault="00CD4E2B" w:rsidP="00CD4E2B">
      <w:pPr>
        <w:pStyle w:val="NormalHanging12a"/>
      </w:pPr>
      <w:r w:rsidRPr="00DA6CCB">
        <w:t>H.</w:t>
      </w:r>
      <w:r w:rsidRPr="00DA6CCB">
        <w:tab/>
      </w:r>
      <w:proofErr w:type="gramStart"/>
      <w:r w:rsidRPr="00DA6CCB">
        <w:t>mając</w:t>
      </w:r>
      <w:proofErr w:type="gramEnd"/>
      <w:r w:rsidRPr="00DA6CCB">
        <w:t xml:space="preserve"> na uwadze, że Rosja nawiązała kontakty z partiami, osobistościami i ruchami, aby przy pomocy podmiotów w instytucjach unijnych sankcjonować rosyjskie stanowiska, wspierać ruchy niepodległościowe i rządy per procura, a także naciskać na złagodzenie sankcji i konsekwencji izolacji na arenie międzynarodowej; mając na uwadze, że posłowie do PE z niektórych grup politycznych, a także niektórzy posłowie niezrzeszeni rozpowszechniają w Parlamencie </w:t>
      </w:r>
      <w:r w:rsidR="006E38AC">
        <w:t>jawną propagandę prokremlowską;</w:t>
      </w:r>
    </w:p>
    <w:p w:rsidR="006E38AC" w:rsidRPr="00DA6CCB" w:rsidRDefault="007215D7" w:rsidP="00CD4E2B">
      <w:pPr>
        <w:pStyle w:val="NormalHanging12a"/>
      </w:pPr>
      <w:r>
        <w:t>I</w:t>
      </w:r>
      <w:r w:rsidR="006E38AC" w:rsidRPr="006E38AC">
        <w:t>.</w:t>
      </w:r>
      <w:r w:rsidR="006E38AC" w:rsidRPr="006E38AC">
        <w:tab/>
      </w:r>
      <w:proofErr w:type="gramStart"/>
      <w:r w:rsidR="006E38AC" w:rsidRPr="006E38AC">
        <w:t>mając</w:t>
      </w:r>
      <w:proofErr w:type="gramEnd"/>
      <w:r w:rsidR="006E38AC" w:rsidRPr="006E38AC">
        <w:t xml:space="preserve"> na uwadze, że do głównych partii politycznych również należą politycy określani mianem „</w:t>
      </w:r>
      <w:proofErr w:type="spellStart"/>
      <w:r w:rsidR="006E38AC" w:rsidRPr="006E38AC">
        <w:t>Russlandversteher</w:t>
      </w:r>
      <w:proofErr w:type="spellEnd"/>
      <w:r w:rsidR="006E38AC" w:rsidRPr="006E38AC">
        <w:t xml:space="preserve">” (rozumiejący Rosję); mając na uwadze, że kilka osób publicznych z państw członkowskich UE, w tym byli szefowie rządów i członkowie gabinetu, w szczególności Gerhard Schröder, zajmuje dobrze płatne stanowiska w kontrolowanych przez Kreml przedsiębiorstwach energetycznych; mając na uwadze, że nawet po </w:t>
      </w:r>
      <w:proofErr w:type="spellStart"/>
      <w:r w:rsidR="006E38AC" w:rsidRPr="006E38AC">
        <w:t>pełnoskalowej</w:t>
      </w:r>
      <w:proofErr w:type="spellEnd"/>
      <w:r w:rsidR="006E38AC" w:rsidRPr="006E38AC">
        <w:t xml:space="preserve"> inwazji na Ukrainę niektóre z tych osób postanowiły nie rezygnować ze stanowisk i nadal otrzymują splamione krwią pieniądze Kremla przy milczącym współudziale swoich partii politycznych; mając na uwadze, że wciąż </w:t>
      </w:r>
      <w:r w:rsidR="006E38AC" w:rsidRPr="006E38AC">
        <w:lastRenderedPageBreak/>
        <w:t>wykorzystują one swoje prorosyjskie wpływy zarówno na krajowych, jak i europejskich scenach politycznych;</w:t>
      </w:r>
    </w:p>
    <w:p w:rsidR="00CD4E2B" w:rsidRPr="00DA6CCB" w:rsidRDefault="007215D7" w:rsidP="00CD4E2B">
      <w:pPr>
        <w:pStyle w:val="NormalHanging12a"/>
      </w:pPr>
      <w:r>
        <w:t>J</w:t>
      </w:r>
      <w:r w:rsidR="00CD4E2B" w:rsidRPr="00DA6CCB">
        <w:t>.</w:t>
      </w:r>
      <w:r w:rsidR="00CD4E2B" w:rsidRPr="00DA6CCB">
        <w:tab/>
        <w:t xml:space="preserve">mając na uwadze, że w doniesieniach niezależnych mediów z 29 stycznia 2024 r. przedstawiono konkretne dowody potwierdzające, że posłanka do PE </w:t>
      </w:r>
      <w:proofErr w:type="spellStart"/>
      <w:r w:rsidR="00CD4E2B" w:rsidRPr="00DA6CCB">
        <w:t>Tatjana</w:t>
      </w:r>
      <w:proofErr w:type="spellEnd"/>
      <w:r w:rsidR="00CD4E2B" w:rsidRPr="00DA6CCB">
        <w:t xml:space="preserve"> </w:t>
      </w:r>
      <w:proofErr w:type="spellStart"/>
      <w:r w:rsidR="00CD4E2B" w:rsidRPr="00DA6CCB">
        <w:t>Ždanoka</w:t>
      </w:r>
      <w:proofErr w:type="spellEnd"/>
      <w:r w:rsidR="00CD4E2B" w:rsidRPr="00DA6CCB">
        <w:t xml:space="preserve"> mogła działać jako informatorka V Służby Federalnej Służby Bezpieczeństwa Federacji Rosyjskiej (FSB) co najmniej od 2004 r. do 2017 r.; </w:t>
      </w:r>
    </w:p>
    <w:p w:rsidR="00CD4E2B" w:rsidRPr="00DA6CCB" w:rsidRDefault="007215D7" w:rsidP="00CD4E2B">
      <w:pPr>
        <w:pStyle w:val="NormalHanging12a"/>
      </w:pPr>
      <w:r>
        <w:t>K</w:t>
      </w:r>
      <w:r w:rsidR="00CD4E2B" w:rsidRPr="00DA6CCB">
        <w:t>.</w:t>
      </w:r>
      <w:r w:rsidR="00CD4E2B" w:rsidRPr="00DA6CCB">
        <w:tab/>
        <w:t xml:space="preserve">mając na uwadze, że jej działania, jak opisano, obejmowały orędownictwo polityczne na rzecz Federacji Rosyjskiej poprzez organizację wydarzeń, a także dostarczanie informacji na temat wewnętrznego funkcjonowania Parlamentu; mając na uwadze, że w raporcie ze śledztwa sugeruje się, iż wspomniana posłanka do PE co najmniej raz zażądała od swoich kontaktów zapłaty na pokrycie kosztów świadczonych usług; </w:t>
      </w:r>
    </w:p>
    <w:p w:rsidR="00CD4E2B" w:rsidRPr="00DA6CCB" w:rsidRDefault="007215D7" w:rsidP="00CD4E2B">
      <w:pPr>
        <w:pStyle w:val="NormalHanging12a"/>
      </w:pPr>
      <w:r>
        <w:t>L</w:t>
      </w:r>
      <w:r w:rsidR="00CD4E2B" w:rsidRPr="00DA6CCB">
        <w:t>.</w:t>
      </w:r>
      <w:r w:rsidR="00CD4E2B" w:rsidRPr="00DA6CCB">
        <w:tab/>
      </w:r>
      <w:proofErr w:type="gramStart"/>
      <w:r w:rsidR="00CD4E2B" w:rsidRPr="00DA6CCB">
        <w:t>mając</w:t>
      </w:r>
      <w:proofErr w:type="gramEnd"/>
      <w:r w:rsidR="00CD4E2B" w:rsidRPr="00DA6CCB">
        <w:t xml:space="preserve"> na uwadze, że według opisu zarzuty te opierają się m.in. na wyciekach e-maili wymienianych, począwszy od 3 października 2005 r., między wspomnianą posłanką a dwoma agentami prowadzącymi z V Służby FSB; </w:t>
      </w:r>
    </w:p>
    <w:p w:rsidR="00CD4E2B" w:rsidRPr="00DA6CCB" w:rsidRDefault="007215D7" w:rsidP="00CD4E2B">
      <w:pPr>
        <w:pStyle w:val="NormalHanging12a"/>
      </w:pPr>
      <w:r>
        <w:t>M</w:t>
      </w:r>
      <w:r w:rsidR="00CD4E2B" w:rsidRPr="00DA6CCB">
        <w:t>.</w:t>
      </w:r>
      <w:r w:rsidR="00CD4E2B" w:rsidRPr="00DA6CCB">
        <w:tab/>
        <w:t xml:space="preserve">mając na uwadze, że posłanka, o którą chodzi, jest dobrze znana z prorosyjskiego stanowiska i konsekwentnego propagowania </w:t>
      </w:r>
      <w:proofErr w:type="spellStart"/>
      <w:r w:rsidR="00CD4E2B" w:rsidRPr="00DA6CCB">
        <w:t>antyłotewskiej</w:t>
      </w:r>
      <w:proofErr w:type="spellEnd"/>
      <w:r w:rsidR="00CD4E2B" w:rsidRPr="00DA6CCB">
        <w:t xml:space="preserve"> i </w:t>
      </w:r>
      <w:proofErr w:type="spellStart"/>
      <w:r w:rsidR="00CD4E2B" w:rsidRPr="00DA6CCB">
        <w:t>antyunijnej</w:t>
      </w:r>
      <w:proofErr w:type="spellEnd"/>
      <w:r w:rsidR="00CD4E2B" w:rsidRPr="00DA6CCB">
        <w:t xml:space="preserve"> narracji podczas sprawowania mandatu posłanki do PE, m.in. wyrażała sprzeciw wobec istnienia Łotwy jako suwerennego państwa i odmówiła potępienia rosyjskiej inwazji na Ukrainę; mając na uwadze, że posłanka ta jest również znana z angażowania się w bardzo wątpliwe działania polityczne, jak m.in. udział w misji obserwacyjnej referendum na okupowanym przez Rosję Krymie w 2014 r., wizyta u syryjskiego dyktatora </w:t>
      </w:r>
      <w:proofErr w:type="spellStart"/>
      <w:r w:rsidR="00CD4E2B" w:rsidRPr="00DA6CCB">
        <w:t>Baszszara</w:t>
      </w:r>
      <w:proofErr w:type="spellEnd"/>
      <w:r w:rsidR="00CD4E2B" w:rsidRPr="00DA6CCB">
        <w:t xml:space="preserve"> al-</w:t>
      </w:r>
      <w:proofErr w:type="spellStart"/>
      <w:r w:rsidR="00CD4E2B" w:rsidRPr="00DA6CCB">
        <w:t>Asada</w:t>
      </w:r>
      <w:proofErr w:type="spellEnd"/>
      <w:r w:rsidR="00CD4E2B" w:rsidRPr="00DA6CCB">
        <w:t xml:space="preserve"> w 2016 r. i udział w prokremlowskich propagandowych programach telewizyjnych w Moskwie; mając na uwadze, że posłanka celowo </w:t>
      </w:r>
      <w:proofErr w:type="gramStart"/>
      <w:r w:rsidR="00CD4E2B" w:rsidRPr="00DA6CCB">
        <w:t>stwarzała</w:t>
      </w:r>
      <w:proofErr w:type="gramEnd"/>
      <w:r w:rsidR="00CD4E2B" w:rsidRPr="00DA6CCB">
        <w:t xml:space="preserve"> wrażenie, że podróże te odbywają się w imieniu Parlamentu Europejskiego lub UE; mając na uwadze, że posłanka ta zorganizowała i promowała wydarzenia w Parlamencie Europejskim z udziałem prokremlowskich przedstawicieli z obwodów donieckiego i </w:t>
      </w:r>
      <w:proofErr w:type="spellStart"/>
      <w:r w:rsidR="00CD4E2B" w:rsidRPr="00DA6CCB">
        <w:t>ługańskiego</w:t>
      </w:r>
      <w:proofErr w:type="spellEnd"/>
      <w:r w:rsidR="00CD4E2B" w:rsidRPr="00DA6CCB">
        <w:t xml:space="preserve"> przed ich nielegalną aneksją; mając na uwadze, że działalność posłanki jest stale sponsorowana przez finansowane przez Kreml fasadowe grupy, takie jak Fundacja </w:t>
      </w:r>
      <w:proofErr w:type="spellStart"/>
      <w:r w:rsidR="00CD4E2B" w:rsidRPr="00DA6CCB">
        <w:t>Russkij</w:t>
      </w:r>
      <w:proofErr w:type="spellEnd"/>
      <w:r w:rsidR="00CD4E2B" w:rsidRPr="00DA6CCB">
        <w:t xml:space="preserve"> Mir; mając na uwadze, że posłanka ta wraz z innymi posłami do PE zorganizowała wydarzenia publiczne i udała się na Litwę, aby zademonstrować poparcie dla Algirdasa </w:t>
      </w:r>
      <w:proofErr w:type="spellStart"/>
      <w:r w:rsidR="00CD4E2B" w:rsidRPr="00DA6CCB">
        <w:t>Paleckisa</w:t>
      </w:r>
      <w:proofErr w:type="spellEnd"/>
      <w:r w:rsidR="00CD4E2B" w:rsidRPr="00DA6CCB">
        <w:t>, obywatela Litwy oraz byłego dyplomaty i polityka, który został skazany za szpiegostwo na rzecz Rosji;</w:t>
      </w:r>
    </w:p>
    <w:p w:rsidR="00CD4E2B" w:rsidRPr="00DA6CCB" w:rsidRDefault="007215D7" w:rsidP="00CD4E2B">
      <w:pPr>
        <w:pStyle w:val="NormalHanging12a"/>
      </w:pPr>
      <w:r>
        <w:t>N</w:t>
      </w:r>
      <w:r w:rsidR="00CD4E2B" w:rsidRPr="00DA6CCB">
        <w:t>.</w:t>
      </w:r>
      <w:r w:rsidR="00CD4E2B" w:rsidRPr="00DA6CCB">
        <w:tab/>
      </w:r>
      <w:r w:rsidR="006E38AC" w:rsidRPr="006E38AC">
        <w:t xml:space="preserve">mając na uwadze, że w doniesieniach prasowych od dawna zwraca się uwagę na kontakty i bliskie relacje osobiste między separatystami w Katalonii, w tym władzami rządowymi wspólnoty autonomicznej Katalonii, a Kremlem; mając na uwadze, że dziennikarze śledczy podali, iż były rosyjski dyplomata Nikołaj </w:t>
      </w:r>
      <w:proofErr w:type="spellStart"/>
      <w:r w:rsidR="006E38AC" w:rsidRPr="006E38AC">
        <w:t>Sadownikow</w:t>
      </w:r>
      <w:proofErr w:type="spellEnd"/>
      <w:r w:rsidR="006E38AC" w:rsidRPr="006E38AC">
        <w:t xml:space="preserve"> spotkał się z byłym przywódcą separatystów, a obecnie czynnym posłem do PE </w:t>
      </w:r>
      <w:proofErr w:type="spellStart"/>
      <w:r w:rsidR="006E38AC" w:rsidRPr="006E38AC">
        <w:t>Carlesem</w:t>
      </w:r>
      <w:proofErr w:type="spellEnd"/>
      <w:r w:rsidR="006E38AC" w:rsidRPr="006E38AC">
        <w:t xml:space="preserve"> </w:t>
      </w:r>
      <w:proofErr w:type="spellStart"/>
      <w:r w:rsidR="006E38AC" w:rsidRPr="006E38AC">
        <w:t>Puigdemontem</w:t>
      </w:r>
      <w:proofErr w:type="spellEnd"/>
      <w:r w:rsidR="006E38AC" w:rsidRPr="006E38AC">
        <w:t xml:space="preserve"> w Barcelonie w przeddzień nielegalnego referendum w Katalonii w październiku 2017 r.; mając na uwadze, że Rosja, poprzez pogłębianie kontaktów i stosunków, dąży do budowy wpływów politycznych i gospodarczych w celu destabilizacji demokracji w Unii Europejskiej; mając na uwadze, że sąd śledczy </w:t>
      </w:r>
      <w:proofErr w:type="gramStart"/>
      <w:r w:rsidR="006E38AC" w:rsidRPr="006E38AC">
        <w:t>nr</w:t>
      </w:r>
      <w:proofErr w:type="gramEnd"/>
      <w:r w:rsidR="006E38AC" w:rsidRPr="006E38AC">
        <w:t xml:space="preserve"> 1 w Barcelonie, który prowadzi dochodzenie w sprawie </w:t>
      </w:r>
      <w:proofErr w:type="spellStart"/>
      <w:r w:rsidR="006E38AC" w:rsidRPr="006E38AC">
        <w:t>Voloh</w:t>
      </w:r>
      <w:proofErr w:type="spellEnd"/>
      <w:r w:rsidR="006E38AC" w:rsidRPr="006E38AC">
        <w:t xml:space="preserve"> dotyczącej powiązań m.in. byłego prezydenta Katalonii i jego otoczenia z Rosją, niedawno przedłużył dochodzenie o sześć miesięcy;</w:t>
      </w:r>
      <w:r w:rsidR="006E38AC">
        <w:t xml:space="preserve"> </w:t>
      </w:r>
      <w:r w:rsidR="006E38AC" w:rsidRPr="006E38AC">
        <w:t xml:space="preserve">mając na uwadze, że przedstawiciele grupy katalońskich separatystów w Hiszpanii, którzy utrzymują stosunki z osobistościami zbliżonymi do Kremla, w tym ze wspomnianą posłanką do PE, domagają się amnestii za ich domniemane </w:t>
      </w:r>
      <w:r w:rsidR="006E38AC" w:rsidRPr="006E38AC">
        <w:lastRenderedPageBreak/>
        <w:t>przestępstwa;</w:t>
      </w:r>
      <w:r w:rsidR="00CD4E2B" w:rsidRPr="00DA6CCB">
        <w:t xml:space="preserve"> </w:t>
      </w:r>
    </w:p>
    <w:p w:rsidR="00CD4E2B" w:rsidRPr="00DA6CCB" w:rsidRDefault="007215D7" w:rsidP="00CD4E2B">
      <w:pPr>
        <w:pStyle w:val="NormalHanging12a"/>
      </w:pPr>
      <w:r>
        <w:t>O</w:t>
      </w:r>
      <w:r w:rsidR="00CD4E2B" w:rsidRPr="00DA6CCB">
        <w:t>.</w:t>
      </w:r>
      <w:r w:rsidR="00CD4E2B" w:rsidRPr="00DA6CCB">
        <w:tab/>
      </w:r>
      <w:proofErr w:type="gramStart"/>
      <w:r w:rsidR="00CD4E2B" w:rsidRPr="00DA6CCB">
        <w:t>mając</w:t>
      </w:r>
      <w:proofErr w:type="gramEnd"/>
      <w:r w:rsidR="00CD4E2B" w:rsidRPr="00DA6CCB">
        <w:t xml:space="preserve"> na uwadze, że wspomniana posłanka do PE została wykluczona ze swojej grupy politycznej i obecnie zasiada wśród posłów niezrzeszonych; mając na uwadze, że posłanka ta uzyskała poparcie innych posłów do PE, których publiczne stanowisko w kwestiach międzynarodowych jest podobne do jej własnego; </w:t>
      </w:r>
    </w:p>
    <w:p w:rsidR="00CD4E2B" w:rsidRPr="00DA6CCB" w:rsidRDefault="007215D7" w:rsidP="00CD4E2B">
      <w:pPr>
        <w:pStyle w:val="NormalHanging12a"/>
      </w:pPr>
      <w:r>
        <w:t>P</w:t>
      </w:r>
      <w:r w:rsidR="00CD4E2B" w:rsidRPr="00DA6CCB">
        <w:t>.</w:t>
      </w:r>
      <w:r w:rsidR="00CD4E2B" w:rsidRPr="00DA6CCB">
        <w:tab/>
        <w:t xml:space="preserve">mając na uwadze, że w następstwie tych doniesień przewodnicząca Parlamentu Europejskiego natychmiast ogłosiła wszczęcie wewnętrznego dochodzenia, w tym skierowanie sprawy do Komitetu Doradczego ds. Kodeksu Postępowania; mając na uwadze, że dochodzenie jest w toku; mając na uwadze, że Regulamin przewiduje w takiej sytuacji sankcje w postaci m.in. utraty prawa do diety dziennej, czasowego zawieszenia uczestnictwa w całości lub w części prac Parlamentu i ograniczenia prawa dostępu do informacji poufnych lub niejawnych; mając na uwadze, że zbadanie zarzutów zapowiedziała łotewska służba bezpieczeństwa; </w:t>
      </w:r>
    </w:p>
    <w:p w:rsidR="00CD4E2B" w:rsidRPr="00DA6CCB" w:rsidRDefault="007215D7" w:rsidP="00CD4E2B">
      <w:pPr>
        <w:pStyle w:val="NormalHanging12a"/>
      </w:pPr>
      <w:r>
        <w:t>Q</w:t>
      </w:r>
      <w:r w:rsidR="00CD4E2B" w:rsidRPr="00DA6CCB">
        <w:t>.</w:t>
      </w:r>
      <w:r w:rsidR="00CD4E2B" w:rsidRPr="00DA6CCB">
        <w:tab/>
      </w:r>
      <w:proofErr w:type="gramStart"/>
      <w:r w:rsidR="00CD4E2B" w:rsidRPr="00DA6CCB">
        <w:t>mając</w:t>
      </w:r>
      <w:proofErr w:type="gramEnd"/>
      <w:r w:rsidR="00CD4E2B" w:rsidRPr="00DA6CCB">
        <w:t xml:space="preserve"> na uwadze, że oprócz wspomnianej posłanki również inni posłowie do Parlamentu Europejskiego angażowali się w działania takie jak udział w fałszywych misjach obserwacji wyborów w różnych krajach i wywoływali wrażenie, że działania te są oficjalnymi misjami Parlamentu Europejskiego; mając na uwadze, że kilku posłów do PE zostało ukaranych za to wykroczenie w ramach procedury Zespołu ds. Wspierania Demokracji i Koordynacji Wyborów; mając na uwadze, że wizyty te odbywały się z reguły w Rosji i na terytoriach okupowanych przez Rosję; </w:t>
      </w:r>
    </w:p>
    <w:p w:rsidR="00CD4E2B" w:rsidRPr="00DA6CCB" w:rsidRDefault="007215D7" w:rsidP="00CD4E2B">
      <w:pPr>
        <w:pStyle w:val="NormalHanging12a"/>
      </w:pPr>
      <w:r>
        <w:t>R</w:t>
      </w:r>
      <w:r w:rsidR="00CD4E2B" w:rsidRPr="00DA6CCB">
        <w:t>.</w:t>
      </w:r>
      <w:r w:rsidR="00CD4E2B" w:rsidRPr="00DA6CCB">
        <w:tab/>
        <w:t xml:space="preserve">mając na uwadze doniesienia o przypadkach, gdy posłowie do PE korzystali z zasobów Parlamentu, aby wspierać i propagować działalność bezpośrednio lub pośrednio związaną z przypadkami ingerencji zagranicznej, na przykład w grudniu 2022 r., kiedy białoruski państwowy kanał propagandowy STV uzyskał dostęp do budynków Parlamentu i do studia nagrań </w:t>
      </w:r>
      <w:proofErr w:type="spellStart"/>
      <w:r w:rsidR="00CD4E2B" w:rsidRPr="00DA6CCB">
        <w:t>VoxBox</w:t>
      </w:r>
      <w:proofErr w:type="spellEnd"/>
      <w:r w:rsidR="00CD4E2B" w:rsidRPr="00DA6CCB">
        <w:t xml:space="preserve"> w Parlamencie i w rezultacie kilku posłów do PE wykorzystało pomieszczenia Parlamentu do tworzenia prokremlowskich i </w:t>
      </w:r>
      <w:proofErr w:type="spellStart"/>
      <w:r w:rsidR="00CD4E2B" w:rsidRPr="00DA6CCB">
        <w:t>antyunijnych</w:t>
      </w:r>
      <w:proofErr w:type="spellEnd"/>
      <w:r w:rsidR="00CD4E2B" w:rsidRPr="00DA6CCB">
        <w:t xml:space="preserve"> treści dezinformacyjnych;</w:t>
      </w:r>
    </w:p>
    <w:p w:rsidR="00CD4E2B" w:rsidRPr="00DA6CCB" w:rsidRDefault="007215D7" w:rsidP="00CD4E2B">
      <w:pPr>
        <w:pStyle w:val="NormalHanging12a"/>
      </w:pPr>
      <w:r>
        <w:t>S</w:t>
      </w:r>
      <w:r w:rsidR="00CD4E2B" w:rsidRPr="00DA6CCB">
        <w:t>.</w:t>
      </w:r>
      <w:r w:rsidR="00CD4E2B" w:rsidRPr="00DA6CCB">
        <w:tab/>
        <w:t xml:space="preserve">mając na uwadze, że w 2016 r. partia rządząca w Rosji, Jedna Rosja, podpisała umowę o współpracy ze skrajnie prawicową Wolnościową Partią Austrii (FPÖ), wzywając do zacieśnienia współpracy między obiema partiami oraz silniejszych więzi politycznych i gospodarczych między Wiedniem a Moskwą; mając na uwadze, że umowę tę podpisano w obecności posła do PE z ramienia FPÖ, który od tego czasu wielokrotnie wzywał do złagodzenia sankcji UE wobec Rosji i rozpowszechniał prokremlowską dezinformację; </w:t>
      </w:r>
    </w:p>
    <w:p w:rsidR="00CD4E2B" w:rsidRPr="00DA6CCB" w:rsidRDefault="007215D7" w:rsidP="00CD4E2B">
      <w:pPr>
        <w:pStyle w:val="NormalHanging12a"/>
      </w:pPr>
      <w:r>
        <w:t>T</w:t>
      </w:r>
      <w:r w:rsidR="00CD4E2B" w:rsidRPr="00DA6CCB">
        <w:t>.</w:t>
      </w:r>
      <w:r w:rsidR="00CD4E2B" w:rsidRPr="00DA6CCB">
        <w:tab/>
        <w:t>mając na uwadze, że niemieckie Ministerstwo Spraw Zagranicznych ujawniło szeroko zakrojoną kampanię dezinformacyjną na platformie X (dawniej Twitter), prawdopodobnie organizowaną przez Rosję, mającą na celu manipulowanie opinią publiczną; mając na uwadze, że renomowane niemieckie media ujawniły, że pracownik zatrudniony przez posła do niemieckiego Bundestagu, należącego do partii Alternatywa dla Niemiec (</w:t>
      </w:r>
      <w:proofErr w:type="spellStart"/>
      <w:r w:rsidR="00CD4E2B" w:rsidRPr="00DA6CCB">
        <w:t>Alternative</w:t>
      </w:r>
      <w:proofErr w:type="spellEnd"/>
      <w:r w:rsidR="00CD4E2B" w:rsidRPr="00DA6CCB">
        <w:t xml:space="preserve"> </w:t>
      </w:r>
      <w:proofErr w:type="spellStart"/>
      <w:r w:rsidR="00CD4E2B" w:rsidRPr="00DA6CCB">
        <w:t>für</w:t>
      </w:r>
      <w:proofErr w:type="spellEnd"/>
      <w:r w:rsidR="00CD4E2B" w:rsidRPr="00DA6CCB">
        <w:t xml:space="preserve"> </w:t>
      </w:r>
      <w:proofErr w:type="spellStart"/>
      <w:r w:rsidR="00CD4E2B" w:rsidRPr="00DA6CCB">
        <w:t>Deutschland</w:t>
      </w:r>
      <w:proofErr w:type="spellEnd"/>
      <w:r w:rsidR="00CD4E2B" w:rsidRPr="00DA6CCB">
        <w:t xml:space="preserve"> – </w:t>
      </w:r>
      <w:proofErr w:type="spellStart"/>
      <w:r w:rsidR="00CD4E2B" w:rsidRPr="00DA6CCB">
        <w:t>AfD</w:t>
      </w:r>
      <w:proofErr w:type="spellEnd"/>
      <w:r w:rsidR="00CD4E2B" w:rsidRPr="00DA6CCB">
        <w:t xml:space="preserve">), został zidentyfikowany jako osoba kontaktowa rosyjskiej FSB; </w:t>
      </w:r>
    </w:p>
    <w:p w:rsidR="00CD4E2B" w:rsidRPr="00DA6CCB" w:rsidRDefault="007215D7" w:rsidP="00CD4E2B">
      <w:pPr>
        <w:pStyle w:val="NormalHanging12a"/>
      </w:pPr>
      <w:r>
        <w:t>U</w:t>
      </w:r>
      <w:r w:rsidR="00CD4E2B" w:rsidRPr="00DA6CCB">
        <w:t>.</w:t>
      </w:r>
      <w:r w:rsidR="00CD4E2B" w:rsidRPr="00DA6CCB">
        <w:tab/>
      </w:r>
      <w:proofErr w:type="gramStart"/>
      <w:r w:rsidR="00CD4E2B" w:rsidRPr="00DA6CCB">
        <w:t>mając</w:t>
      </w:r>
      <w:proofErr w:type="gramEnd"/>
      <w:r w:rsidR="00CD4E2B" w:rsidRPr="00DA6CCB">
        <w:t xml:space="preserve"> na uwadze, że przez wiele lat niektórzy posłowie do PE rekrutowali i zatrudniali jako stażystów, akredytowanych asystentów parlamentarnych i doradców grup obywateli Rosji popierających reżim Putina i nie zaprzestali tego nawet po rozpoczęciu rosyjskiej wojny napastniczej przeciwko Ukrainie; mając na uwadze, że w latach 2018 i </w:t>
      </w:r>
      <w:r w:rsidR="00CD4E2B" w:rsidRPr="00DA6CCB">
        <w:lastRenderedPageBreak/>
        <w:t xml:space="preserve">2019 staż u posła do PE odbyła </w:t>
      </w:r>
      <w:proofErr w:type="spellStart"/>
      <w:r w:rsidR="00CD4E2B" w:rsidRPr="00DA6CCB">
        <w:t>Elizawieta</w:t>
      </w:r>
      <w:proofErr w:type="spellEnd"/>
      <w:r w:rsidR="00CD4E2B" w:rsidRPr="00DA6CCB">
        <w:t xml:space="preserve"> Pieskowa, córka rzecznika Władimira Putina Dmitrija Pieskowa;</w:t>
      </w:r>
    </w:p>
    <w:p w:rsidR="00CD4E2B" w:rsidRPr="00DA6CCB" w:rsidRDefault="007215D7" w:rsidP="00CD4E2B">
      <w:pPr>
        <w:pStyle w:val="NormalHanging12a"/>
      </w:pPr>
      <w:r>
        <w:t>V</w:t>
      </w:r>
      <w:r w:rsidR="00CD4E2B" w:rsidRPr="00DA6CCB">
        <w:t>.</w:t>
      </w:r>
      <w:r w:rsidR="00CD4E2B" w:rsidRPr="00DA6CCB">
        <w:tab/>
      </w:r>
      <w:proofErr w:type="gramStart"/>
      <w:r w:rsidR="00CD4E2B" w:rsidRPr="00DA6CCB">
        <w:t>mając</w:t>
      </w:r>
      <w:proofErr w:type="gramEnd"/>
      <w:r w:rsidR="00CD4E2B" w:rsidRPr="00DA6CCB">
        <w:t xml:space="preserve"> na uwadze, że w następstwie doniesień w sprawie </w:t>
      </w:r>
      <w:proofErr w:type="spellStart"/>
      <w:r w:rsidR="00CD4E2B" w:rsidRPr="00DA6CCB">
        <w:t>Katargate</w:t>
      </w:r>
      <w:proofErr w:type="spellEnd"/>
      <w:r w:rsidR="00CD4E2B" w:rsidRPr="00DA6CCB">
        <w:t xml:space="preserve"> Parlament we wrześniu 2023 r. zaktualizował i znacznie wzmocnił swoje wewnętrzne ramy uczciwości, m.in. poprzez gruntowny przegląd Regulaminu, kodeksu postępowania posłów do PE i odpowiednich decyzji Prezydium;</w:t>
      </w:r>
    </w:p>
    <w:p w:rsidR="00CD4E2B" w:rsidRPr="00DA6CCB" w:rsidRDefault="007215D7" w:rsidP="00CD4E2B">
      <w:pPr>
        <w:pStyle w:val="NormalHanging12a"/>
      </w:pPr>
      <w:r>
        <w:t>W</w:t>
      </w:r>
      <w:r w:rsidR="00CD4E2B" w:rsidRPr="00DA6CCB">
        <w:t>.</w:t>
      </w:r>
      <w:r w:rsidR="00CD4E2B" w:rsidRPr="00DA6CCB">
        <w:tab/>
      </w:r>
      <w:proofErr w:type="gramStart"/>
      <w:r w:rsidR="00CD4E2B" w:rsidRPr="00DA6CCB">
        <w:t>mając</w:t>
      </w:r>
      <w:proofErr w:type="gramEnd"/>
      <w:r w:rsidR="00CD4E2B" w:rsidRPr="00DA6CCB">
        <w:t xml:space="preserve"> na uwadze, że 2024 jest kluczowym rokiem wyborczym, a oprócz wyborów europejskich zaplanowanych na 6–9 czerwca </w:t>
      </w:r>
      <w:r w:rsidR="001A6B3E">
        <w:t xml:space="preserve">2024 r. </w:t>
      </w:r>
      <w:r w:rsidR="00CD4E2B" w:rsidRPr="00DA6CCB">
        <w:t xml:space="preserve">w wielu państwach członkowskich mają się odbyć wybory prezydenckie, krajowe, lokalne i regionalne; mając na uwadze, że wybory europejskie w 2024 r. staną się prawdopodobnie szczególnym celem kampanii dezinformacyjnych na szczeblu lokalnym, regionalnym i unijnym; </w:t>
      </w:r>
    </w:p>
    <w:p w:rsidR="00CD4E2B" w:rsidRPr="00DA6CCB" w:rsidRDefault="00CD4E2B" w:rsidP="00CD4E2B">
      <w:pPr>
        <w:pStyle w:val="NormalHanging12a"/>
      </w:pPr>
      <w:r w:rsidRPr="00DA6CCB">
        <w:t>1.</w:t>
      </w:r>
      <w:r w:rsidRPr="00DA6CCB">
        <w:tab/>
      </w:r>
      <w:proofErr w:type="gramStart"/>
      <w:r w:rsidRPr="00DA6CCB">
        <w:t>wyraża</w:t>
      </w:r>
      <w:proofErr w:type="gramEnd"/>
      <w:r w:rsidRPr="00DA6CCB">
        <w:t xml:space="preserve"> najwyższe oburzenie i poważne zaniepokojenie ciągłymi próbami osłabiania demokracji europejskiej przez Rosję; jest zbulwersowany wiarygodnymi doniesieniami, które ukazują, jak Rosja usiłuje pogłębiać podziały między obywatelami europejskimi, rekrutując posłów do PE jako agentów wpływu, a także systematycznie próbuje tworzyć system zależności za pośrednictwem europejskich partii politycznych, które następnie działają jako tuby propagandowe Kremla i służą jego interesom; przypomina, że Rosja, realizując długoterminową strategię zagranicznych ingerencji, próbuje osłabić i ostatecznie zniszczyć demokrację w Europie; zwraca uwagę, że Putin usiłuje doszczętnie zdemontować wszelkie formy demokracji w Rosji, oraz podkreśla, że jest to sygnał ostrzegawczy, by nie lekceważyć jego długofalowych celów i traktować </w:t>
      </w:r>
      <w:proofErr w:type="gramStart"/>
      <w:r w:rsidRPr="00DA6CCB">
        <w:t>te</w:t>
      </w:r>
      <w:proofErr w:type="gramEnd"/>
      <w:r w:rsidRPr="00DA6CCB">
        <w:t xml:space="preserve"> rosyjskie próby ingerencji jako sprawę najwyższej wagi; podkreśla, że taktyki te nie mogą pozostać bez konsekwencji; ponawia swój apel do państw członkowskich o dalszy rozwój i dopracowanie pakietów sankcji przyjętych wobec Federacji Rosyjskiej oraz o usunięcie luk w egzekwowaniu obecnie obowiązujących środków ograniczających;</w:t>
      </w:r>
    </w:p>
    <w:p w:rsidR="00CD4E2B" w:rsidRPr="00DA6CCB" w:rsidRDefault="00CD4E2B" w:rsidP="00CD4E2B">
      <w:pPr>
        <w:pStyle w:val="NormalHanging12a"/>
        <w:rPr>
          <w:rFonts w:eastAsiaTheme="minorHAnsi"/>
          <w:szCs w:val="22"/>
        </w:rPr>
      </w:pPr>
      <w:r w:rsidRPr="00DA6CCB">
        <w:t>2.</w:t>
      </w:r>
      <w:r w:rsidRPr="00DA6CCB">
        <w:tab/>
      </w:r>
      <w:proofErr w:type="gramStart"/>
      <w:r w:rsidR="006E38AC" w:rsidRPr="006E38AC">
        <w:t>jednoznacznie</w:t>
      </w:r>
      <w:proofErr w:type="gramEnd"/>
      <w:r w:rsidR="006E38AC" w:rsidRPr="006E38AC">
        <w:t xml:space="preserve"> potępia nieustające działania Rosji, która wykorzystuje i fałszuje pamięć o najtragiczniejszych okresach w historii Europy, w tym skutki paktu Ribbentrop-Mołotow oraz terror, jaki nastąpił po jego podpisaniu na terytoriach zajętych przez nazistowskie Niemcy i komunistyczną Rosję, aby próbować usprawiedliwić obecną brutalną, nielegalną i nieludzką agresję oraz ekspansjonistyczną politykę;</w:t>
      </w:r>
    </w:p>
    <w:p w:rsidR="00CD4E2B" w:rsidRPr="00DA6CCB" w:rsidRDefault="00CD4E2B" w:rsidP="00CD4E2B">
      <w:pPr>
        <w:pStyle w:val="NormalHanging12a"/>
      </w:pPr>
      <w:r w:rsidRPr="00DA6CCB">
        <w:t>3.</w:t>
      </w:r>
      <w:r w:rsidRPr="00DA6CCB">
        <w:tab/>
      </w:r>
      <w:proofErr w:type="gramStart"/>
      <w:r w:rsidRPr="00DA6CCB">
        <w:t>wyraża</w:t>
      </w:r>
      <w:proofErr w:type="gramEnd"/>
      <w:r w:rsidRPr="00DA6CCB">
        <w:t xml:space="preserve"> głębokie zaniepokojenie doniesieniami o tym, że posłanka do PE </w:t>
      </w:r>
      <w:proofErr w:type="spellStart"/>
      <w:r w:rsidRPr="00DA6CCB">
        <w:t>Tatjana</w:t>
      </w:r>
      <w:proofErr w:type="spellEnd"/>
      <w:r w:rsidRPr="00DA6CCB">
        <w:t xml:space="preserve"> </w:t>
      </w:r>
      <w:proofErr w:type="spellStart"/>
      <w:r w:rsidRPr="00DA6CCB">
        <w:t>Ždanoka</w:t>
      </w:r>
      <w:proofErr w:type="spellEnd"/>
      <w:r w:rsidRPr="00DA6CCB">
        <w:t xml:space="preserve"> mogła być informatorką V Służby FSB, jednocześnie będąc posłanką do Parlamentu Europejskiego; podkreśla, że informator FSB mający dostęp do korzyści i informacji jako poseł do Parlamentu Europejskiego stanowiłby poważne zagrożenie dla bezpieczeństwa i demokracji w Unii; podkreśla, że Parlament Europejski i władze łotewskie muszą dokładnie zbadać tę sprawę w celu niezwłocznego określenia odpowiednich sankcji i wszczęcia postępowania karnego; </w:t>
      </w:r>
    </w:p>
    <w:p w:rsidR="00CD4E2B" w:rsidRPr="00DA6CCB" w:rsidRDefault="00CD4E2B" w:rsidP="00CD4E2B">
      <w:pPr>
        <w:pStyle w:val="NormalHanging12a"/>
      </w:pPr>
      <w:r w:rsidRPr="00DA6CCB">
        <w:t>4.</w:t>
      </w:r>
      <w:r w:rsidRPr="00DA6CCB">
        <w:tab/>
      </w:r>
      <w:proofErr w:type="gramStart"/>
      <w:r w:rsidRPr="00DA6CCB">
        <w:t>podkreśla</w:t>
      </w:r>
      <w:proofErr w:type="gramEnd"/>
      <w:r w:rsidRPr="00DA6CCB">
        <w:t xml:space="preserve">, że wspomniana posłanka do PE została wykluczona ze swojej grupy politycznej z powodów związanych z jej stanowiskiem w sprawie Rosji i Ukrainy i obecnie jest niezrzeszona; podkreśla, że zdecydowana większość posłów do PE nie podziela jej opinii i w przeważającej większości potępiła nielegalną inwazję Rosji na Ukrainę, stosowanie przez Rosję taktyki wojny hybrydowej przeciwko europejskiej demokracji oraz inne agresywne i antydemokratyczne decyzje polityczne w ostatnich latach; zauważa jednak, że niewielka liczba posłów do PE uczestniczyła w działaniach </w:t>
      </w:r>
      <w:r w:rsidRPr="00DA6CCB">
        <w:lastRenderedPageBreak/>
        <w:t xml:space="preserve">wspólnie ze wspomnianą posłanką do PE, wyrażając podobne poglądy i jawnie opowiadając się po stronie Rosji; </w:t>
      </w:r>
    </w:p>
    <w:p w:rsidR="00CD4E2B" w:rsidRPr="00DA6CCB" w:rsidRDefault="00CD4E2B" w:rsidP="00CD4E2B">
      <w:pPr>
        <w:pStyle w:val="NormalHanging12a"/>
      </w:pPr>
      <w:r w:rsidRPr="00DA6CCB">
        <w:t>5.</w:t>
      </w:r>
      <w:r w:rsidRPr="00DA6CCB">
        <w:tab/>
      </w:r>
      <w:proofErr w:type="gramStart"/>
      <w:r w:rsidRPr="00DA6CCB">
        <w:t>zobowiązuje</w:t>
      </w:r>
      <w:proofErr w:type="gramEnd"/>
      <w:r w:rsidRPr="00DA6CCB">
        <w:t xml:space="preserve"> się do zapewnienia pełnego wsparcia i współpracy z władzami łotewskimi w ich dochodzeniu w sprawie postępowania wspomnianej posłanki do PE; wzywa właściwe władze do zbadania, czy posłanka do PE podlega ściganiu na mocy krajowego prawa karnego, i pozostaje gotowy do zapewnienia pełnego wsparcia i współpracy w tym zakresie; </w:t>
      </w:r>
    </w:p>
    <w:p w:rsidR="00CD4E2B" w:rsidRPr="00DA6CCB" w:rsidRDefault="00CD4E2B" w:rsidP="00CD4E2B">
      <w:pPr>
        <w:pStyle w:val="NormalHanging12a"/>
      </w:pPr>
      <w:r w:rsidRPr="00DA6CCB">
        <w:t>6.</w:t>
      </w:r>
      <w:r w:rsidRPr="00DA6CCB">
        <w:tab/>
      </w:r>
      <w:proofErr w:type="gramStart"/>
      <w:r w:rsidRPr="00DA6CCB">
        <w:t>z</w:t>
      </w:r>
      <w:proofErr w:type="gramEnd"/>
      <w:r w:rsidRPr="00DA6CCB">
        <w:t xml:space="preserve"> zadowoleniem przyjmuje skierowanie sprawy wspomnianej posłanki do PE do komitetu doradczego ds. postępowania posłów; zobowiązuje się do pełnego egzekwowania obowiązujących wewnętrznych ram sankcji; zauważa, że do zarzuconych czynów doszło przed niedawnym przyjęciem reformy ram uczciwości Parlamentu; uważa, że same przepisy nie zapobiegłyby domniemanemu nagannemu zachowaniu posłanki do PE; pozostaje jednak gotowy przeprowadzić dalszą ocenę oraz dopracować funkcjonowanie i sankcjonowanie ram uczciwości Parlamentu, które zostały wzmocnione w następstwie </w:t>
      </w:r>
      <w:proofErr w:type="spellStart"/>
      <w:r w:rsidRPr="00DA6CCB">
        <w:t>Katargate</w:t>
      </w:r>
      <w:proofErr w:type="spellEnd"/>
      <w:r w:rsidRPr="00DA6CCB">
        <w:t xml:space="preserve">; </w:t>
      </w:r>
    </w:p>
    <w:p w:rsidR="00CD4E2B" w:rsidRPr="00DA6CCB" w:rsidRDefault="00CD4E2B" w:rsidP="00CD4E2B">
      <w:pPr>
        <w:pStyle w:val="NormalHanging12a"/>
      </w:pPr>
      <w:r w:rsidRPr="00DA6CCB">
        <w:t>7.</w:t>
      </w:r>
      <w:r w:rsidRPr="00DA6CCB">
        <w:tab/>
      </w:r>
      <w:proofErr w:type="gramStart"/>
      <w:r w:rsidRPr="00DA6CCB">
        <w:t>popiera</w:t>
      </w:r>
      <w:proofErr w:type="gramEnd"/>
      <w:r w:rsidRPr="00DA6CCB">
        <w:t xml:space="preserve"> toczące się dochodzenie, lecz podkreśla, że należy przestrzegać zasad sprawiedliwości proceduralnej i praworządności oraz praw podstawowych; przypomina, że nie można kryminalizować wyborów politycznych ani dodatkowo ograniczać posłów do PE, kiedy wyrażają swoje opinie w ramach prawomocnego mandatu; </w:t>
      </w:r>
    </w:p>
    <w:p w:rsidR="00CD4E2B" w:rsidRPr="00DA6CCB" w:rsidRDefault="00CD4E2B" w:rsidP="00CD4E2B">
      <w:pPr>
        <w:pStyle w:val="NormalHanging12a"/>
      </w:pPr>
      <w:r w:rsidRPr="00DA6CCB">
        <w:t>8.</w:t>
      </w:r>
      <w:r w:rsidRPr="00DA6CCB">
        <w:tab/>
      </w:r>
      <w:proofErr w:type="gramStart"/>
      <w:r w:rsidRPr="00DA6CCB">
        <w:t>zwraca</w:t>
      </w:r>
      <w:proofErr w:type="gramEnd"/>
      <w:r w:rsidRPr="00DA6CCB">
        <w:t xml:space="preserve"> uwagę na inne przypadki, w których posłowie do PE świadomie służą interesom Rosji; podkreśla, że działania tych posłów do PE szkodzą bezpieczeństwu, wiarygodności i odporności demokratycznej UE; wyraża głębokie zaniepokojenie powiązaniami, jakie wspomniana posłanka mogła mieć z innymi posłami do PE, i stanowczo potępia wszelkie wewnętrzne skoordynowane próby realizacji programu politycznego Kremla w Parlamencie; uważa, że należy natychmiast przeprowadzić szczegółowe dochodzenie wewnętrzne, aby zbadać wszystkie możliwe przypadki zagranicznej ingerencji ze strony Rosji i inne rodzaje szkodliwej ingerencji w prace Parlamentu Europejskiego; </w:t>
      </w:r>
    </w:p>
    <w:p w:rsidR="00CD4E2B" w:rsidRPr="00DA6CCB" w:rsidRDefault="00CD4E2B" w:rsidP="00CD4E2B">
      <w:pPr>
        <w:pStyle w:val="NormalHanging12a"/>
      </w:pPr>
      <w:r w:rsidRPr="00DA6CCB">
        <w:t>9.</w:t>
      </w:r>
      <w:r w:rsidRPr="00DA6CCB">
        <w:tab/>
      </w:r>
      <w:proofErr w:type="gramStart"/>
      <w:r w:rsidRPr="00DA6CCB">
        <w:t>wyraża</w:t>
      </w:r>
      <w:proofErr w:type="gramEnd"/>
      <w:r w:rsidRPr="00DA6CCB">
        <w:t xml:space="preserve"> szczególne zaniepokojenie niedawnymi doniesieniami o tym, że władze rosyjskie dostarczają konkretne przekazy skrajnie prawicowym partiom i podmiotom politycznym w różnych państwach UE, zwłaszcza w Niemczech i we Francji, co ma na celu podważenie publicznego poparcia dla Ukrainy po </w:t>
      </w:r>
      <w:proofErr w:type="spellStart"/>
      <w:r w:rsidRPr="00DA6CCB">
        <w:t>pełnoskalowej</w:t>
      </w:r>
      <w:proofErr w:type="spellEnd"/>
      <w:r w:rsidRPr="00DA6CCB">
        <w:t xml:space="preserve"> inwazji Rosji w 2022 r.; podkreśla wagę powiązań Rosji z partiami i politykami w Unii oraz jej rozległe ingerencje w ruchy separatystyczne na terytoriach europejskich</w:t>
      </w:r>
      <w:r w:rsidR="006E38AC">
        <w:t xml:space="preserve"> </w:t>
      </w:r>
      <w:r w:rsidR="006E38AC" w:rsidRPr="006E38AC">
        <w:t>takich jak Katalonia</w:t>
      </w:r>
      <w:r w:rsidRPr="00DA6CCB">
        <w:t xml:space="preserve">; </w:t>
      </w:r>
    </w:p>
    <w:p w:rsidR="00CD4E2B" w:rsidRPr="00DA6CCB" w:rsidRDefault="00CD4E2B" w:rsidP="00CD4E2B">
      <w:pPr>
        <w:pStyle w:val="NormalHanging12a"/>
      </w:pPr>
      <w:r w:rsidRPr="00DA6CCB">
        <w:t>10.</w:t>
      </w:r>
      <w:r w:rsidRPr="00DA6CCB">
        <w:tab/>
      </w:r>
      <w:proofErr w:type="gramStart"/>
      <w:r w:rsidRPr="00DA6CCB">
        <w:t>ponownie</w:t>
      </w:r>
      <w:proofErr w:type="gramEnd"/>
      <w:r w:rsidRPr="00DA6CCB">
        <w:t xml:space="preserve"> wyraża oburzenie w związku z regularnymi doniesieniami, według których Rosja masowo finansuje partie polityczne, polityków, urzędników i ruchy w wielu krajach demokratycznych, aby ingerować w procesy wewnętrzne tych państw i zdobyć w nich wypływy; zwraca uwagę, że przytłaczająca większość państw członkowskich wprowadziła całkowity lub częściowy zakaz przyjmowania przez partie polityczne i kandydatów darowizn z zagranicy; wyraża zaniepokojenie rosyjskimi powiązaniami kilku partii politycznych i polityków w UE; przypomina, że nawet gdy prawo ogranicza źródła finansowania politycznego, rosyjskie podmioty znajdują sposoby na jego obejście i oferują wsparcie swoim sojusznikom poprzez zaciąganie pożyczek w bankach zagranicznych (np. w przypadku partii Front Narodowy </w:t>
      </w:r>
      <w:proofErr w:type="gramStart"/>
      <w:r w:rsidRPr="00DA6CCB">
        <w:t>w</w:t>
      </w:r>
      <w:proofErr w:type="gramEnd"/>
      <w:r w:rsidRPr="00DA6CCB">
        <w:t xml:space="preserve"> 2016 r.), zawieranie umów kupna i umów handlowych (np. zarzuty wobec FPÖ ujawnione w „Der Spiegel” i </w:t>
      </w:r>
      <w:r w:rsidRPr="00DA6CCB">
        <w:lastRenderedPageBreak/>
        <w:t>„</w:t>
      </w:r>
      <w:proofErr w:type="spellStart"/>
      <w:r w:rsidRPr="00DA6CCB">
        <w:t>Süddeutsche</w:t>
      </w:r>
      <w:proofErr w:type="spellEnd"/>
      <w:r w:rsidRPr="00DA6CCB">
        <w:t xml:space="preserve"> Zeitung” 17 maja 2019 r. oraz wobec Lega per </w:t>
      </w:r>
      <w:proofErr w:type="spellStart"/>
      <w:r w:rsidRPr="00DA6CCB">
        <w:t>Salvini</w:t>
      </w:r>
      <w:proofErr w:type="spellEnd"/>
      <w:r w:rsidRPr="00DA6CCB">
        <w:t xml:space="preserve"> Premier ujawnione przez „</w:t>
      </w:r>
      <w:proofErr w:type="spellStart"/>
      <w:r w:rsidRPr="00DA6CCB">
        <w:t>Buzzfeed</w:t>
      </w:r>
      <w:proofErr w:type="spellEnd"/>
      <w:r w:rsidRPr="00DA6CCB">
        <w:t>” i „</w:t>
      </w:r>
      <w:proofErr w:type="spellStart"/>
      <w:r w:rsidRPr="00DA6CCB">
        <w:t>L’Espresso</w:t>
      </w:r>
      <w:proofErr w:type="spellEnd"/>
      <w:r w:rsidRPr="00DA6CCB">
        <w:t>” 10 lipca 2019 r.) oraz ułatwianie działalności finansowej (jak donosi brytyjska prasa na temat kampanii Leave.</w:t>
      </w:r>
      <w:proofErr w:type="gramStart"/>
      <w:r w:rsidRPr="00DA6CCB">
        <w:t>eu</w:t>
      </w:r>
      <w:proofErr w:type="gramEnd"/>
      <w:r w:rsidRPr="00DA6CCB">
        <w:t xml:space="preserve">); </w:t>
      </w:r>
    </w:p>
    <w:p w:rsidR="00CD4E2B" w:rsidRPr="00DA6CCB" w:rsidRDefault="00CD4E2B" w:rsidP="00CD4E2B">
      <w:pPr>
        <w:pStyle w:val="NormalHanging12a"/>
      </w:pPr>
      <w:r w:rsidRPr="00DA6CCB">
        <w:t>11.</w:t>
      </w:r>
      <w:r w:rsidRPr="00DA6CCB">
        <w:tab/>
      </w:r>
      <w:proofErr w:type="gramStart"/>
      <w:r w:rsidRPr="00DA6CCB">
        <w:t>jest</w:t>
      </w:r>
      <w:proofErr w:type="gramEnd"/>
      <w:r w:rsidRPr="00DA6CCB">
        <w:t xml:space="preserve"> głęboko zaniepokojony domniemanymi stosunkami katalońskich separatystów z administracją rosyjską; zauważa, że gdyby potwierdziła się rosyjska ingerencja w Katalonii, byłaby to część szerszej strategii Rosji mającej doprowadzić do wewnętrznej destabilizacji i rozłamów w UE; wyraża głębokie zaniepokojenie kampaniami dezinformacyjnymi prowadzonymi na szeroką skalę przez Rosję w Katalonii, a także intensywnymi kontaktami i liczbą spotkań agentów odpowiedzialnych za rosyjską ingerencję z ruchem na rzecz niepodległości Katalonii</w:t>
      </w:r>
      <w:r w:rsidR="006E38AC">
        <w:t xml:space="preserve"> </w:t>
      </w:r>
      <w:r w:rsidR="006E38AC" w:rsidRPr="006E38AC">
        <w:t>oraz rządem regionalnym wspólnoty autonomicznej Katalonii</w:t>
      </w:r>
      <w:r w:rsidRPr="00DA6CCB">
        <w:t>; wzywa właściwe organy sądowe do skutecznego zbadania związków między posłami do PE mającymi domniemane powiązania z Kremlem a rosyjskimi próbami destabilizacji i ingerencji w UE i jej państwach członkowskich; ubolewa nad wszystkimi atakami na sędziów, którzy prowadzą dochodzenia w sprawie ingerencji</w:t>
      </w:r>
      <w:r w:rsidR="006E38AC">
        <w:t xml:space="preserve"> </w:t>
      </w:r>
      <w:r w:rsidR="006E38AC" w:rsidRPr="006E38AC">
        <w:t>apeluje, aby sprawy wspomnianych katalońskich posłów do PE przekazano komitetowi doradczemu ds. postępowania posłów</w:t>
      </w:r>
      <w:proofErr w:type="gramStart"/>
      <w:r w:rsidR="006E38AC" w:rsidRPr="006E38AC">
        <w:t>;</w:t>
      </w:r>
      <w:r w:rsidRPr="00DA6CCB">
        <w:t>;</w:t>
      </w:r>
      <w:proofErr w:type="gramEnd"/>
      <w:r w:rsidRPr="00DA6CCB">
        <w:t xml:space="preserve"> </w:t>
      </w:r>
    </w:p>
    <w:p w:rsidR="00CD4E2B" w:rsidRPr="00DA6CCB" w:rsidRDefault="00CD4E2B" w:rsidP="00CD4E2B">
      <w:pPr>
        <w:pStyle w:val="NormalHanging12a"/>
      </w:pPr>
      <w:r w:rsidRPr="00DA6CCB">
        <w:t>12.</w:t>
      </w:r>
      <w:r w:rsidRPr="00DA6CCB">
        <w:tab/>
      </w:r>
      <w:proofErr w:type="gramStart"/>
      <w:r w:rsidRPr="00DA6CCB">
        <w:t>zdecydowanie</w:t>
      </w:r>
      <w:proofErr w:type="gramEnd"/>
      <w:r w:rsidRPr="00DA6CCB">
        <w:t xml:space="preserve"> potępia niedawny incydent na Słowacji, gdzie podczas ciszy wyborczej rosyjska Służba Wywiadu Zagranicznego wydała prowokacyjne oświadczenie, w którym podała w wątpliwość uczciwość procesu wyborczego w Republice Słowackiej; wyraża zaniepokojenie widoczną i bezpośrednią rolą rosyjskiej dyplomacji w słowackim życiu publicznym i politycznym od czasu wyborów parlamentarnych we wrześniu 2023 r.; </w:t>
      </w:r>
    </w:p>
    <w:p w:rsidR="00CD4E2B" w:rsidRPr="00DA6CCB" w:rsidRDefault="00CD4E2B" w:rsidP="00CD4E2B">
      <w:pPr>
        <w:pStyle w:val="NormalHanging12a"/>
      </w:pPr>
      <w:r w:rsidRPr="00DA6CCB">
        <w:t>13.</w:t>
      </w:r>
      <w:r w:rsidRPr="00DA6CCB">
        <w:tab/>
      </w:r>
      <w:proofErr w:type="gramStart"/>
      <w:r w:rsidRPr="00DA6CCB">
        <w:t>zdecydowanie</w:t>
      </w:r>
      <w:proofErr w:type="gramEnd"/>
      <w:r w:rsidRPr="00DA6CCB">
        <w:t xml:space="preserve"> potępia szeroko zakrojoną kampanię dezinformacyjną ujawnioną przez niemieckie Ministerstwo Spraw Zagranicznych, którą Rosja miała prowadzić na platformie X, aby manipulować niemiecką opinią publiczną; </w:t>
      </w:r>
    </w:p>
    <w:p w:rsidR="00CD4E2B" w:rsidRPr="00DA6CCB" w:rsidRDefault="00CD4E2B" w:rsidP="00CD4E2B">
      <w:pPr>
        <w:pStyle w:val="NormalHanging12a"/>
      </w:pPr>
      <w:r w:rsidRPr="00DA6CCB">
        <w:t>14.</w:t>
      </w:r>
      <w:r w:rsidRPr="00DA6CCB">
        <w:tab/>
      </w:r>
      <w:proofErr w:type="gramStart"/>
      <w:r w:rsidRPr="00DA6CCB">
        <w:t>z</w:t>
      </w:r>
      <w:proofErr w:type="gramEnd"/>
      <w:r w:rsidRPr="00DA6CCB">
        <w:t xml:space="preserve"> zaniepokojeniem zauważa, że platforma X przestała przestrzegać dobrowolnego kodeksu postępowania w zakresie zwalczania dezinformacji; jest zaniepokojony szerzącą się dezinformacją i nielegalnymi treściami na platformie;</w:t>
      </w:r>
    </w:p>
    <w:p w:rsidR="00CD4E2B" w:rsidRPr="00DA6CCB" w:rsidRDefault="00CD4E2B" w:rsidP="00CD4E2B">
      <w:pPr>
        <w:pStyle w:val="NormalHanging12a"/>
      </w:pPr>
      <w:r w:rsidRPr="00DA6CCB">
        <w:t>15.</w:t>
      </w:r>
      <w:r w:rsidRPr="00DA6CCB">
        <w:tab/>
      </w:r>
      <w:proofErr w:type="gramStart"/>
      <w:r w:rsidRPr="00DA6CCB">
        <w:t>przypomina</w:t>
      </w:r>
      <w:proofErr w:type="gramEnd"/>
      <w:r w:rsidRPr="00DA6CCB">
        <w:t xml:space="preserve"> swoje wcześniejsze stanowisko, zgodnie z którym wyjątkowy charakter rosyjskich ingerencji zagranicznych wymaga szczególnych działań ze strony instytucji krajowych i unijnych, w tym Parlamentu Europejskiego, w celu zidentyfikowania tego konkretnego zagrożenia, zajęcia się nim i przezwyciężenia go;</w:t>
      </w:r>
    </w:p>
    <w:p w:rsidR="00CD4E2B" w:rsidRPr="00DA6CCB" w:rsidRDefault="00CD4E2B" w:rsidP="00CD4E2B">
      <w:pPr>
        <w:pStyle w:val="NormalHanging12a"/>
      </w:pPr>
      <w:r w:rsidRPr="00DA6CCB">
        <w:t>16.</w:t>
      </w:r>
      <w:r w:rsidRPr="00DA6CCB">
        <w:tab/>
      </w:r>
      <w:proofErr w:type="gramStart"/>
      <w:r w:rsidRPr="00DA6CCB">
        <w:t>zdecydowanie</w:t>
      </w:r>
      <w:proofErr w:type="gramEnd"/>
      <w:r w:rsidRPr="00DA6CCB">
        <w:t xml:space="preserve"> potępia, że – jak wynika z niepokojących doniesień poważnych niemieckich mediów – pracownik powiązany z partią </w:t>
      </w:r>
      <w:proofErr w:type="spellStart"/>
      <w:r w:rsidRPr="00DA6CCB">
        <w:t>AfD</w:t>
      </w:r>
      <w:proofErr w:type="spellEnd"/>
      <w:r w:rsidRPr="00DA6CCB">
        <w:t xml:space="preserve"> oraz z posłem do niemieckiego Bundestagu miał współpracować z FSB, co budzi poważne obawy co do możliwych zagranicznych wpływów w niemieckiej polityce; </w:t>
      </w:r>
    </w:p>
    <w:p w:rsidR="00CD4E2B" w:rsidRPr="00DA6CCB" w:rsidRDefault="00CD4E2B" w:rsidP="00CD4E2B">
      <w:pPr>
        <w:pStyle w:val="NormalHanging12a"/>
      </w:pPr>
      <w:r w:rsidRPr="00DA6CCB">
        <w:t>17.</w:t>
      </w:r>
      <w:r w:rsidRPr="00DA6CCB">
        <w:tab/>
      </w:r>
      <w:proofErr w:type="gramStart"/>
      <w:r w:rsidR="006E38AC" w:rsidRPr="006E38AC">
        <w:t>przypomina</w:t>
      </w:r>
      <w:proofErr w:type="gramEnd"/>
      <w:r w:rsidR="006E38AC" w:rsidRPr="006E38AC">
        <w:t xml:space="preserve">, że obce ingerencje są zagrożeniem systemowym, któremu należy energicznie przeciwdziałać; podkreśla, że wojna hybrydowa oraz zagraniczne manipulacje informacjami i ingerencje w informacje to więcej niż problem polityki zagranicznej i bezpieczeństwa: to zagrożenie dla podstaw demokracji; wzywa instytucje UE do stałego stosowania podejścia przekrojowego, co pozwoli skuteczniej zwalczać zagraniczne manipulacje informacjami i ingerencje w informacje; uważa, że skutki ingerencji wyborczej w jednym państwie członkowskim dotyczą całej UE, ponieważ mogą mieć wpływ na skład unijnych instytucji; uważa, że organy krajowe nie mogą w </w:t>
      </w:r>
      <w:r w:rsidR="006E38AC" w:rsidRPr="006E38AC">
        <w:lastRenderedPageBreak/>
        <w:t>pojedynkę stawić czoła tym zagrożeniom, a samoregulacja sektora prywatnego nie jest skutecznym rozwiązaniem; z zadowoleniem przyjmuje działalność Europejskiej Służby Działań Zewnętrznych przedstawioną w jej drugim sprawozdaniu o zagranicznej manipulacji informacjami i zagrożeniu ingerencją opublikowanym 23 stycznia 2024 r. oraz zaleca ściślejszą współpracę z NATO w tym zakresie; jest zdecydowany kontynuować wysiłki na rzecz zwalczania zagranicznych ingerencji w UE w nadchodzących latach, m.in. za pośrednictwem specjalnego organu parlamentarnego;</w:t>
      </w:r>
      <w:r w:rsidRPr="00DA6CCB">
        <w:t xml:space="preserve"> </w:t>
      </w:r>
    </w:p>
    <w:p w:rsidR="00CD4E2B" w:rsidRDefault="00CD4E2B" w:rsidP="00CD4E2B">
      <w:pPr>
        <w:pStyle w:val="NormalHanging12a"/>
      </w:pPr>
      <w:r w:rsidRPr="00DA6CCB">
        <w:t>18.</w:t>
      </w:r>
      <w:r w:rsidRPr="00DA6CCB">
        <w:tab/>
      </w:r>
      <w:proofErr w:type="gramStart"/>
      <w:r w:rsidRPr="00DA6CCB">
        <w:t>wciąż</w:t>
      </w:r>
      <w:proofErr w:type="gramEnd"/>
      <w:r w:rsidRPr="00DA6CCB">
        <w:t xml:space="preserve"> zdecydowanie popiera wysiłki na rzecz poprawy i egzekwowania przepisów chroniących integralność tej instytucji jako filaru demokracji europejskiej; uważa, że zarzuty dotyczące wspomnianej posłanki do PE podkreślają potrzebę wzmocnienia kultury bezpieczeństwa w Parlamencie Europejskim; apeluje o poświęcenie najwyższej uwagi politycznej i administracyjnej zaleceniom odnoszącym się do reformy przepisów Parlamentu Europejskiego dotyczących przejrzystości, uczciwości, rozliczalności i walki z korupcją z 13 lipca 2023 r. oraz wzywa do pełnego wdrożenia zaproponowanych środków, w tym obowiązkowych i regularnych szkoleń dla posłów do PE i pracowników, odpowiedniego poświadczenia bezpieczeństwa i wzmocnionej kontroli pracowników, w szczególności pracowników, którzy uczestniczą w posiedzeniach przy drzwiach zamkniętych; apeluje o ściślejszą </w:t>
      </w:r>
      <w:proofErr w:type="gramStart"/>
      <w:r w:rsidRPr="00DA6CCB">
        <w:t>kontrolę</w:t>
      </w:r>
      <w:proofErr w:type="gramEnd"/>
      <w:r w:rsidRPr="00DA6CCB">
        <w:t xml:space="preserve"> organizowanych wydarzeń, zapraszanych do Parlamentu gości zewnętrznych oraz dostępu do platform komunikacyjnych Parlamentu; wzywa organy krajowe, aby stosowały procedury i wspólny harmonogram, gdy wpływa do nich wniosek o poświadczenie bezpieczeństwa w przypadku posłów i pracowników PE, a także gdy prowadzą kontrole bezpieczeństwa związane z instytucjami UE; jest głęboko przekonany, że zasoby Parlamentu, takie jak sponsorowane wydarzenia i wycieczki, dostęp do studiów nagrań wideo i innych platform komunikacyjnych oraz finansowanie projektów komunikacyjnych grup politycznych lub posłów do PE, nie mogą być wykorzystywane do podważania wartości UE ani do rozpowszechniania wrogich informacji przez reżimy autorytarne; </w:t>
      </w:r>
      <w:r w:rsidR="006E38AC" w:rsidRPr="006E38AC">
        <w:t xml:space="preserve">ponownie apeluje o bardziej rygorystyczne zasady </w:t>
      </w:r>
      <w:proofErr w:type="gramStart"/>
      <w:r w:rsidR="006E38AC" w:rsidRPr="006E38AC">
        <w:t>dotyczące</w:t>
      </w:r>
      <w:proofErr w:type="gramEnd"/>
      <w:r w:rsidR="006E38AC" w:rsidRPr="006E38AC">
        <w:t xml:space="preserve"> podróży posłów do PE, które są opłacane przez obce państwa i zagraniczne podmioty; uważa, że podobne zasady należy opracować w odniesieniu do podróży odbywanych przez akredytowanych asystentów parlamentarnych lub pracowników grup politycznych;</w:t>
      </w:r>
    </w:p>
    <w:p w:rsidR="006E38AC" w:rsidRPr="00DA6CCB" w:rsidRDefault="007215D7" w:rsidP="00CD4E2B">
      <w:pPr>
        <w:pStyle w:val="NormalHanging12a"/>
      </w:pPr>
      <w:r>
        <w:t>19</w:t>
      </w:r>
      <w:r w:rsidR="006E38AC" w:rsidRPr="006E38AC">
        <w:t>.</w:t>
      </w:r>
      <w:r w:rsidR="006E38AC" w:rsidRPr="006E38AC">
        <w:tab/>
      </w:r>
      <w:proofErr w:type="gramStart"/>
      <w:r w:rsidR="006E38AC" w:rsidRPr="006E38AC">
        <w:t>ponownie</w:t>
      </w:r>
      <w:proofErr w:type="gramEnd"/>
      <w:r w:rsidR="006E38AC" w:rsidRPr="006E38AC">
        <w:t xml:space="preserve"> stwierdza, że jest zdeterminowany nadal wprowadzać poważne i konkretne reformy w Parlamencie Europejskim, aby zlikwidować tolerancję dla korupcji i korupcjogennej ingerencji politycznej oraz chronić demokrację europejską;</w:t>
      </w:r>
    </w:p>
    <w:p w:rsidR="00CD4E2B" w:rsidRPr="00DA6CCB" w:rsidRDefault="007215D7" w:rsidP="00CD4E2B">
      <w:pPr>
        <w:pStyle w:val="NormalHanging12a"/>
      </w:pPr>
      <w:r>
        <w:t>20</w:t>
      </w:r>
      <w:r w:rsidR="00CD4E2B" w:rsidRPr="00DA6CCB">
        <w:t>.</w:t>
      </w:r>
      <w:r w:rsidR="00CD4E2B" w:rsidRPr="00DA6CCB">
        <w:tab/>
      </w:r>
      <w:proofErr w:type="gramStart"/>
      <w:r w:rsidR="00CD4E2B" w:rsidRPr="00DA6CCB">
        <w:t>przypomina</w:t>
      </w:r>
      <w:proofErr w:type="gramEnd"/>
      <w:r w:rsidR="00CD4E2B" w:rsidRPr="00DA6CCB">
        <w:t xml:space="preserve"> o swoim poparciu dla jak najszybszego ustanowienia niezależnego organu ds. etyki zgodnie z rezolucją z 16 września 2021 r.; wzywa wszystkie instytucje UE, aby bardziej ambitnie podeszły do kwestii powołania tego organu; </w:t>
      </w:r>
    </w:p>
    <w:p w:rsidR="00CD4E2B" w:rsidRPr="00DA6CCB" w:rsidRDefault="007215D7" w:rsidP="00CD4E2B">
      <w:pPr>
        <w:pStyle w:val="NormalHanging12a"/>
      </w:pPr>
      <w:r>
        <w:t>21</w:t>
      </w:r>
      <w:r w:rsidR="00CD4E2B" w:rsidRPr="00DA6CCB">
        <w:t>.</w:t>
      </w:r>
      <w:r w:rsidR="00CD4E2B" w:rsidRPr="00DA6CCB">
        <w:tab/>
      </w:r>
      <w:proofErr w:type="gramStart"/>
      <w:r w:rsidR="00CD4E2B" w:rsidRPr="00DA6CCB">
        <w:t>wzywa</w:t>
      </w:r>
      <w:proofErr w:type="gramEnd"/>
      <w:r w:rsidR="00CD4E2B" w:rsidRPr="00DA6CCB">
        <w:t xml:space="preserve"> sekretariat unijnego rejestru służącego przejrzystości do zakazania działalności wszelkim podmiotom, które mają bezpośrednie lub pośrednie stosunki z rządem Rosji, zgodnie z decyzją Rady z 3 czerwca 2022 r. w sprawie środków ograniczających</w:t>
      </w:r>
      <w:r w:rsidR="00CD4E2B" w:rsidRPr="00DA6CCB">
        <w:rPr>
          <w:rStyle w:val="FootnoteReference"/>
          <w:rFonts w:eastAsiaTheme="minorHAnsi"/>
        </w:rPr>
        <w:footnoteReference w:id="10"/>
      </w:r>
      <w:r w:rsidR="00CD4E2B" w:rsidRPr="00DA6CCB">
        <w:t xml:space="preserve">; </w:t>
      </w:r>
    </w:p>
    <w:p w:rsidR="00CD4E2B" w:rsidRPr="00DA6CCB" w:rsidRDefault="007215D7" w:rsidP="00CD4E2B">
      <w:pPr>
        <w:pStyle w:val="NormalHanging12a"/>
        <w:rPr>
          <w:szCs w:val="22"/>
        </w:rPr>
      </w:pPr>
      <w:r>
        <w:t>22</w:t>
      </w:r>
      <w:r w:rsidR="00CD4E2B" w:rsidRPr="00DA6CCB">
        <w:t>.</w:t>
      </w:r>
      <w:r w:rsidR="00CD4E2B" w:rsidRPr="00DA6CCB">
        <w:tab/>
      </w:r>
      <w:proofErr w:type="gramStart"/>
      <w:r w:rsidR="00CD4E2B" w:rsidRPr="00DA6CCB">
        <w:t>oczekuje</w:t>
      </w:r>
      <w:proofErr w:type="gramEnd"/>
      <w:r w:rsidR="00CD4E2B" w:rsidRPr="00DA6CCB">
        <w:t xml:space="preserve"> od Komisji i Rady wprowadzenia w życie pakietu na rzecz obrony demokracji, </w:t>
      </w:r>
      <w:r w:rsidR="00CD4E2B" w:rsidRPr="00DA6CCB">
        <w:lastRenderedPageBreak/>
        <w:t xml:space="preserve">aby można było pilnie podjąć działania i zlikwidować liczne luki w unijnych przepisach dotyczących finansowania partii, wprowadzić obowiązkowy system regulacyjny dla dużych platform oraz poprawić stan </w:t>
      </w:r>
      <w:proofErr w:type="spellStart"/>
      <w:r w:rsidR="00CD4E2B" w:rsidRPr="00DA6CCB">
        <w:t>cyberobronności</w:t>
      </w:r>
      <w:proofErr w:type="spellEnd"/>
      <w:r w:rsidR="00CD4E2B" w:rsidRPr="00DA6CCB">
        <w:t xml:space="preserve"> w UE przed ewentualnymi atakami na europejski system wyborczy; wzywa instytucje UE i państwa członkowskie, aby przeprowadziły znaczne i trwałe inwestycje we wzmacnianie naszej odporności demokratycznej i praworządności, w tym dzięki środkom zorientowanym na zwiększenie zdolności kontrwywiadu UE;</w:t>
      </w:r>
    </w:p>
    <w:p w:rsidR="00CD4E2B" w:rsidRPr="00DA6CCB" w:rsidRDefault="007215D7" w:rsidP="00CD4E2B">
      <w:pPr>
        <w:pStyle w:val="NormalHanging12a"/>
      </w:pPr>
      <w:r>
        <w:t>23</w:t>
      </w:r>
      <w:r w:rsidR="00CD4E2B" w:rsidRPr="00DA6CCB">
        <w:t>.</w:t>
      </w:r>
      <w:r w:rsidR="00CD4E2B" w:rsidRPr="00DA6CCB">
        <w:tab/>
      </w:r>
      <w:proofErr w:type="gramStart"/>
      <w:r w:rsidR="00CD4E2B" w:rsidRPr="00DA6CCB">
        <w:t>potępia</w:t>
      </w:r>
      <w:proofErr w:type="gramEnd"/>
      <w:r w:rsidR="00CD4E2B" w:rsidRPr="00DA6CCB">
        <w:t xml:space="preserve"> wszystkie rodzaje przeciągania elit na swoją stronę i technikę zjednywania sobie urzędników służby cywilnej najwyższego szczebla i byłych polityków UE, między innymi poprzez zapewnienie im lukratywnych miejsc pracy w przedsiębiorstwach powiązanych z rządami, które są aktywnie zaangażowane w ingerencje przeciwko UE; </w:t>
      </w:r>
      <w:r w:rsidR="006E38AC" w:rsidRPr="006E38AC">
        <w:t>apeluje o zakazanie posłom do PE wykonywania płatnej pracy dodatkowej lub działalności w imieniu organizacji lub osób wpisanych do rejestru służącego przejrzystości lub w imieniu państw trzecich, aby ograniczyć potencjalne konflikty interesów i ingerencje zagraniczne;</w:t>
      </w:r>
    </w:p>
    <w:p w:rsidR="00CD4E2B" w:rsidRPr="00DA6CCB" w:rsidRDefault="007215D7" w:rsidP="00CD4E2B">
      <w:pPr>
        <w:pStyle w:val="NormalHanging12a"/>
      </w:pPr>
      <w:r>
        <w:t>24</w:t>
      </w:r>
      <w:r w:rsidR="00CD4E2B" w:rsidRPr="00DA6CCB">
        <w:t>.</w:t>
      </w:r>
      <w:r w:rsidR="00CD4E2B" w:rsidRPr="00DA6CCB">
        <w:tab/>
      </w:r>
      <w:proofErr w:type="gramStart"/>
      <w:r w:rsidR="00CD4E2B" w:rsidRPr="00DA6CCB">
        <w:t>zauważa</w:t>
      </w:r>
      <w:proofErr w:type="gramEnd"/>
      <w:r w:rsidR="00CD4E2B" w:rsidRPr="00DA6CCB">
        <w:t xml:space="preserve">, że przepisy mają zasadnicze znaczenie dla walki z korupcją i </w:t>
      </w:r>
      <w:proofErr w:type="spellStart"/>
      <w:r w:rsidR="00CD4E2B" w:rsidRPr="00DA6CCB">
        <w:t>zachowaniami</w:t>
      </w:r>
      <w:proofErr w:type="spellEnd"/>
      <w:r w:rsidR="00CD4E2B" w:rsidRPr="00DA6CCB">
        <w:t xml:space="preserve"> przestępczymi, ale same w sobie nie mogą zapobiegać przestępstwom i nieetycznym działaniom podejmowanym przez poszczególnych posłów do PE; podkreśla, że wszystkie grupy polityczne w Parlamencie Europejskim są współodpowiedzialne za monitorowanie działań swoich posłów, i w związku z tym przypomina wszystkim grupom, że jeżeli dowiedzą się, iż posłowie podejmowali działania, które podają w wątpliwość ich uczciwość, powinny szybko podjąć odpowiednie działania; wzywa w tym kontekście wszystkich posłów do PE i wszystkie grupy do pełnej współpracy z właściwymi organami krajowymi i unijnymi;</w:t>
      </w:r>
    </w:p>
    <w:p w:rsidR="00CD4E2B" w:rsidRPr="00DA6CCB" w:rsidRDefault="007215D7" w:rsidP="00CD4E2B">
      <w:pPr>
        <w:pStyle w:val="NormalHanging12a"/>
      </w:pPr>
      <w:r>
        <w:t>25</w:t>
      </w:r>
      <w:r w:rsidR="00CD4E2B" w:rsidRPr="00DA6CCB">
        <w:t>.</w:t>
      </w:r>
      <w:r w:rsidR="00CD4E2B" w:rsidRPr="00DA6CCB">
        <w:tab/>
      </w:r>
      <w:proofErr w:type="gramStart"/>
      <w:r w:rsidR="00CD4E2B" w:rsidRPr="00DA6CCB">
        <w:t>uważa</w:t>
      </w:r>
      <w:proofErr w:type="gramEnd"/>
      <w:r w:rsidR="00CD4E2B" w:rsidRPr="00DA6CCB">
        <w:t>, że wolne i uczciwe wybory to centralny element procesu demokratycznego, i dlatego wzywa instytucje UE i państwa członkowskie do zdecydowanych działań w celu dopilnowania, by wyłącznie wola obywateli stanowiła podstawę władzy, bez obcych ingerencji ze strony wrogo nastawionych podmiotów, ze szczególnym naciskiem na przygotowania do wyborów europejskich, które odbędą się w dniach 6–9 czerwca 2024 r.; wzywa państwa członkowskie i instytucje UE, aby wdrożyły strategie odporności z myślą o wyborach, a także podkreśla, że należy wzmocnić wysiłki na rzecz stałego monitorowania oraz usprawnić wdrażanie strategii na długo przed wyborami, referendami i innymi ważnymi procesami politycznymi w całej Europie;</w:t>
      </w:r>
    </w:p>
    <w:p w:rsidR="00CD4E2B" w:rsidRPr="00DA6CCB" w:rsidRDefault="007215D7" w:rsidP="00CD4E2B">
      <w:pPr>
        <w:pStyle w:val="NormalHanging12a"/>
        <w:rPr>
          <w:szCs w:val="24"/>
        </w:rPr>
      </w:pPr>
      <w:r>
        <w:t>26</w:t>
      </w:r>
      <w:r w:rsidR="00CD4E2B" w:rsidRPr="00DA6CCB">
        <w:t>.</w:t>
      </w:r>
      <w:r w:rsidR="00CD4E2B" w:rsidRPr="00DA6CCB">
        <w:tab/>
      </w:r>
      <w:proofErr w:type="gramStart"/>
      <w:r w:rsidR="00CD4E2B" w:rsidRPr="00DA6CCB">
        <w:t>podkreśla</w:t>
      </w:r>
      <w:proofErr w:type="gramEnd"/>
      <w:r w:rsidR="00CD4E2B" w:rsidRPr="00DA6CCB">
        <w:t xml:space="preserve"> kluczową rolę dziennikarstwa śledczego w ujawnianiu prób zagranicznych ingerencji i niejawnych działań; ponawia swój apel do instytucji UE i państw członkowskich o zapewnienie wystarczającego i stabilnego finansowania dziennikarstwa śledczego;</w:t>
      </w:r>
    </w:p>
    <w:p w:rsidR="00CD4E2B" w:rsidRPr="00DA6CCB" w:rsidRDefault="007215D7" w:rsidP="00CD4E2B">
      <w:pPr>
        <w:pStyle w:val="NormalHanging12a"/>
      </w:pPr>
      <w:r>
        <w:t>27</w:t>
      </w:r>
      <w:r w:rsidR="00CD4E2B" w:rsidRPr="00DA6CCB">
        <w:t>.</w:t>
      </w:r>
      <w:r w:rsidR="00CD4E2B" w:rsidRPr="00DA6CCB">
        <w:tab/>
      </w:r>
      <w:proofErr w:type="gramStart"/>
      <w:r w:rsidR="00CD4E2B" w:rsidRPr="00DA6CCB">
        <w:t>zobowiązuje</w:t>
      </w:r>
      <w:proofErr w:type="gramEnd"/>
      <w:r w:rsidR="00CD4E2B" w:rsidRPr="00DA6CCB">
        <w:t xml:space="preserve"> swoją przewodniczącą do przekazania niniejszej rezolucji Radzie, Komisji i wiceprzewodniczącemu Komisji / wysokiemu przedstawicielowi Unii do spraw zagranicznych i polityki bezpieczeństwa.</w:t>
      </w:r>
    </w:p>
    <w:p w:rsidR="00E365E1" w:rsidRPr="00DA6CCB" w:rsidRDefault="00E365E1" w:rsidP="000206E0">
      <w:bookmarkStart w:id="8" w:name="TextBodyEnd"/>
      <w:bookmarkEnd w:id="8"/>
    </w:p>
    <w:sectPr w:rsidR="00E365E1" w:rsidRPr="00DA6CCB" w:rsidSect="00DA6CCB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Page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206E0" w:rsidRPr="00DA6CCB" w:rsidRDefault="000206E0">
      <w:r w:rsidRPr="00DA6CCB">
        <w:separator/>
      </w:r>
    </w:p>
  </w:endnote>
  <w:endnote w:type="continuationSeparator" w:id="0">
    <w:p w:rsidR="000206E0" w:rsidRPr="00DA6CCB" w:rsidRDefault="000206E0">
      <w:r w:rsidRPr="00DA6CCB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PMingLiU">
    <w:altName w:val="新細明體"/>
    <w:panose1 w:val="02010601000101010101"/>
    <w:charset w:val="88"/>
    <w:family w:val="auto"/>
    <w:pitch w:val="variable"/>
    <w:sig w:usb0="00000000" w:usb1="08080000" w:usb2="00000010" w:usb3="00000000" w:csb0="001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DA6CCB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DA6CCB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DA6CCB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206E0" w:rsidRPr="00DA6CCB" w:rsidRDefault="000206E0">
      <w:r w:rsidRPr="00DA6CCB">
        <w:separator/>
      </w:r>
    </w:p>
  </w:footnote>
  <w:footnote w:type="continuationSeparator" w:id="0">
    <w:p w:rsidR="000206E0" w:rsidRPr="00DA6CCB" w:rsidRDefault="000206E0">
      <w:r w:rsidRPr="00DA6CCB">
        <w:continuationSeparator/>
      </w:r>
    </w:p>
  </w:footnote>
  <w:footnote w:id="1">
    <w:p w:rsidR="00CD4E2B" w:rsidRPr="00DA6CCB" w:rsidRDefault="00CD4E2B" w:rsidP="00DA6CCB">
      <w:pPr>
        <w:pStyle w:val="FootnoteText"/>
        <w:ind w:left="567" w:hanging="567"/>
        <w:rPr>
          <w:sz w:val="24"/>
          <w:lang w:val="pl-PL"/>
        </w:rPr>
      </w:pPr>
      <w:r w:rsidRPr="00DA6CCB">
        <w:rPr>
          <w:rStyle w:val="FootnoteReference"/>
          <w:sz w:val="24"/>
          <w:lang w:val="pl-PL"/>
        </w:rPr>
        <w:footnoteRef/>
      </w:r>
      <w:r w:rsidR="00DA6CCB" w:rsidRPr="00DA6CCB">
        <w:rPr>
          <w:sz w:val="24"/>
          <w:lang w:val="pl-PL"/>
        </w:rPr>
        <w:t xml:space="preserve"> </w:t>
      </w:r>
      <w:r w:rsidR="00DA6CCB" w:rsidRPr="00DA6CCB">
        <w:rPr>
          <w:sz w:val="24"/>
          <w:lang w:val="pl-PL"/>
        </w:rPr>
        <w:tab/>
      </w:r>
      <w:r w:rsidRPr="00DA6CCB">
        <w:rPr>
          <w:sz w:val="24"/>
          <w:lang w:val="pl-PL"/>
        </w:rPr>
        <w:t>Teksty przyjęte, P9_TA(2023)0316.</w:t>
      </w:r>
    </w:p>
  </w:footnote>
  <w:footnote w:id="2">
    <w:p w:rsidR="00CD4E2B" w:rsidRPr="00DA6CCB" w:rsidRDefault="00CD4E2B" w:rsidP="00DA6CCB">
      <w:pPr>
        <w:pStyle w:val="FootnoteText"/>
        <w:ind w:left="567" w:hanging="567"/>
        <w:rPr>
          <w:sz w:val="24"/>
          <w:lang w:val="pl-PL"/>
        </w:rPr>
      </w:pPr>
      <w:r w:rsidRPr="00DA6CCB">
        <w:rPr>
          <w:rStyle w:val="FootnoteReference"/>
          <w:sz w:val="24"/>
          <w:lang w:val="pl-PL"/>
        </w:rPr>
        <w:footnoteRef/>
      </w:r>
      <w:r w:rsidR="00DA6CCB" w:rsidRPr="00DA6CCB">
        <w:rPr>
          <w:sz w:val="24"/>
          <w:lang w:val="pl-PL"/>
        </w:rPr>
        <w:t xml:space="preserve"> </w:t>
      </w:r>
      <w:r w:rsidR="00DA6CCB" w:rsidRPr="00DA6CCB">
        <w:rPr>
          <w:sz w:val="24"/>
          <w:lang w:val="pl-PL"/>
        </w:rPr>
        <w:tab/>
      </w:r>
      <w:r w:rsidRPr="00DA6CCB">
        <w:rPr>
          <w:sz w:val="24"/>
          <w:lang w:val="pl-PL"/>
        </w:rPr>
        <w:t>Teksty przyjęte, P9_TA(2023)0292.</w:t>
      </w:r>
    </w:p>
  </w:footnote>
  <w:footnote w:id="3">
    <w:p w:rsidR="00CD4E2B" w:rsidRPr="006E38AC" w:rsidRDefault="00CD4E2B" w:rsidP="00DA6CCB">
      <w:pPr>
        <w:pStyle w:val="FootnoteText"/>
        <w:ind w:left="567" w:hanging="567"/>
        <w:rPr>
          <w:sz w:val="24"/>
          <w:lang w:val="fi-FI"/>
        </w:rPr>
      </w:pPr>
      <w:r w:rsidRPr="00DA6CCB">
        <w:rPr>
          <w:rStyle w:val="FootnoteReference"/>
          <w:sz w:val="24"/>
          <w:lang w:val="pl-PL"/>
        </w:rPr>
        <w:footnoteRef/>
      </w:r>
      <w:r w:rsidR="00DA6CCB" w:rsidRPr="006E38AC">
        <w:rPr>
          <w:sz w:val="24"/>
          <w:lang w:val="fi-FI"/>
        </w:rPr>
        <w:t xml:space="preserve"> </w:t>
      </w:r>
      <w:r w:rsidR="00DA6CCB" w:rsidRPr="006E38AC">
        <w:rPr>
          <w:sz w:val="24"/>
          <w:lang w:val="fi-FI"/>
        </w:rPr>
        <w:tab/>
      </w:r>
      <w:r w:rsidRPr="006E38AC">
        <w:rPr>
          <w:sz w:val="24"/>
          <w:lang w:val="fi-FI"/>
        </w:rPr>
        <w:t>Dz.U. C, C/2023/1226, 21.12.2023, ELI: http://data.europa.eu/eli/C/2023/1226/oj.</w:t>
      </w:r>
    </w:p>
  </w:footnote>
  <w:footnote w:id="4">
    <w:p w:rsidR="00CD4E2B" w:rsidRPr="00DA6CCB" w:rsidRDefault="00CD4E2B" w:rsidP="00DA6CCB">
      <w:pPr>
        <w:pStyle w:val="FootnoteText"/>
        <w:ind w:left="567" w:hanging="567"/>
        <w:rPr>
          <w:sz w:val="24"/>
          <w:lang w:val="pl-PL"/>
        </w:rPr>
      </w:pPr>
      <w:r w:rsidRPr="00DA6CCB">
        <w:rPr>
          <w:rStyle w:val="FootnoteReference"/>
          <w:sz w:val="24"/>
          <w:lang w:val="pl-PL"/>
        </w:rPr>
        <w:footnoteRef/>
      </w:r>
      <w:r w:rsidR="00DA6CCB" w:rsidRPr="00DA6CCB">
        <w:rPr>
          <w:sz w:val="24"/>
          <w:lang w:val="pl-PL"/>
        </w:rPr>
        <w:t xml:space="preserve"> </w:t>
      </w:r>
      <w:r w:rsidR="00DA6CCB" w:rsidRPr="00DA6CCB">
        <w:rPr>
          <w:sz w:val="24"/>
          <w:lang w:val="pl-PL"/>
        </w:rPr>
        <w:tab/>
      </w:r>
      <w:r w:rsidRPr="00DA6CCB">
        <w:rPr>
          <w:sz w:val="24"/>
          <w:lang w:val="pl-PL"/>
        </w:rPr>
        <w:t xml:space="preserve">Dz.U. C 347 z 9.9.2022, </w:t>
      </w:r>
      <w:proofErr w:type="gramStart"/>
      <w:r w:rsidRPr="00DA6CCB">
        <w:rPr>
          <w:sz w:val="24"/>
          <w:lang w:val="pl-PL"/>
        </w:rPr>
        <w:t>s</w:t>
      </w:r>
      <w:proofErr w:type="gramEnd"/>
      <w:r w:rsidRPr="00DA6CCB">
        <w:rPr>
          <w:sz w:val="24"/>
          <w:lang w:val="pl-PL"/>
        </w:rPr>
        <w:t>. 61.</w:t>
      </w:r>
    </w:p>
  </w:footnote>
  <w:footnote w:id="5">
    <w:p w:rsidR="00CD4E2B" w:rsidRPr="00DA6CCB" w:rsidRDefault="00CD4E2B" w:rsidP="00DA6CCB">
      <w:pPr>
        <w:pStyle w:val="FootnoteText"/>
        <w:ind w:left="567" w:hanging="567"/>
        <w:rPr>
          <w:sz w:val="24"/>
          <w:lang w:val="pl-PL"/>
        </w:rPr>
      </w:pPr>
      <w:r w:rsidRPr="00DA6CCB">
        <w:rPr>
          <w:rStyle w:val="FootnoteReference"/>
          <w:sz w:val="24"/>
          <w:lang w:val="pl-PL"/>
        </w:rPr>
        <w:footnoteRef/>
      </w:r>
      <w:r w:rsidR="00DA6CCB" w:rsidRPr="00DA6CCB">
        <w:rPr>
          <w:sz w:val="24"/>
          <w:lang w:val="pl-PL"/>
        </w:rPr>
        <w:t xml:space="preserve"> </w:t>
      </w:r>
      <w:r w:rsidR="00DA6CCB" w:rsidRPr="00DA6CCB">
        <w:rPr>
          <w:sz w:val="24"/>
          <w:lang w:val="pl-PL"/>
        </w:rPr>
        <w:tab/>
      </w:r>
      <w:r w:rsidRPr="00DA6CCB">
        <w:rPr>
          <w:sz w:val="24"/>
          <w:lang w:val="pl-PL"/>
        </w:rPr>
        <w:t xml:space="preserve">Dz.U. C 167 z 11.5.2023, </w:t>
      </w:r>
      <w:proofErr w:type="gramStart"/>
      <w:r w:rsidRPr="00DA6CCB">
        <w:rPr>
          <w:sz w:val="24"/>
          <w:lang w:val="pl-PL"/>
        </w:rPr>
        <w:t>s</w:t>
      </w:r>
      <w:proofErr w:type="gramEnd"/>
      <w:r w:rsidRPr="00DA6CCB">
        <w:rPr>
          <w:sz w:val="24"/>
          <w:lang w:val="pl-PL"/>
        </w:rPr>
        <w:t>. 18.</w:t>
      </w:r>
    </w:p>
  </w:footnote>
  <w:footnote w:id="6">
    <w:p w:rsidR="00CD4E2B" w:rsidRPr="00DA6CCB" w:rsidRDefault="00CD4E2B" w:rsidP="00DA6CCB">
      <w:pPr>
        <w:pStyle w:val="FootnoteText"/>
        <w:ind w:left="567" w:hanging="567"/>
        <w:rPr>
          <w:sz w:val="24"/>
          <w:lang w:val="pl-PL"/>
        </w:rPr>
      </w:pPr>
      <w:r w:rsidRPr="00DA6CCB">
        <w:rPr>
          <w:rStyle w:val="FootnoteReference"/>
          <w:sz w:val="24"/>
          <w:lang w:val="pl-PL"/>
        </w:rPr>
        <w:footnoteRef/>
      </w:r>
      <w:r w:rsidR="00DA6CCB" w:rsidRPr="00DA6CCB">
        <w:rPr>
          <w:sz w:val="24"/>
          <w:lang w:val="pl-PL"/>
        </w:rPr>
        <w:t xml:space="preserve"> </w:t>
      </w:r>
      <w:r w:rsidR="00DA6CCB" w:rsidRPr="00DA6CCB">
        <w:rPr>
          <w:sz w:val="24"/>
          <w:lang w:val="pl-PL"/>
        </w:rPr>
        <w:tab/>
      </w:r>
      <w:r w:rsidRPr="00DA6CCB">
        <w:rPr>
          <w:sz w:val="24"/>
          <w:lang w:val="pl-PL"/>
        </w:rPr>
        <w:t xml:space="preserve">Dz.U. C 171 z 6.5.2021, </w:t>
      </w:r>
      <w:proofErr w:type="gramStart"/>
      <w:r w:rsidRPr="00DA6CCB">
        <w:rPr>
          <w:sz w:val="24"/>
          <w:lang w:val="pl-PL"/>
        </w:rPr>
        <w:t>s</w:t>
      </w:r>
      <w:proofErr w:type="gramEnd"/>
      <w:r w:rsidRPr="00DA6CCB">
        <w:rPr>
          <w:sz w:val="24"/>
          <w:lang w:val="pl-PL"/>
        </w:rPr>
        <w:t>. 25.</w:t>
      </w:r>
    </w:p>
  </w:footnote>
  <w:footnote w:id="7">
    <w:p w:rsidR="00CD4E2B" w:rsidRPr="00DA6CCB" w:rsidRDefault="00CD4E2B" w:rsidP="00DA6CCB">
      <w:pPr>
        <w:pStyle w:val="FootnoteText"/>
        <w:ind w:left="567" w:hanging="567"/>
        <w:rPr>
          <w:sz w:val="24"/>
          <w:lang w:val="pl-PL"/>
        </w:rPr>
      </w:pPr>
      <w:r w:rsidRPr="00DA6CCB">
        <w:rPr>
          <w:rStyle w:val="FootnoteReference"/>
          <w:sz w:val="24"/>
          <w:lang w:val="pl-PL"/>
        </w:rPr>
        <w:footnoteRef/>
      </w:r>
      <w:r w:rsidR="00DA6CCB" w:rsidRPr="00DA6CCB">
        <w:rPr>
          <w:sz w:val="24"/>
          <w:lang w:val="pl-PL"/>
        </w:rPr>
        <w:t xml:space="preserve"> </w:t>
      </w:r>
      <w:r w:rsidR="00DA6CCB" w:rsidRPr="00DA6CCB">
        <w:rPr>
          <w:sz w:val="24"/>
          <w:lang w:val="pl-PL"/>
        </w:rPr>
        <w:tab/>
      </w:r>
      <w:r w:rsidRPr="00DA6CCB">
        <w:rPr>
          <w:sz w:val="24"/>
          <w:lang w:val="pl-PL"/>
        </w:rPr>
        <w:t>Teksty przyjęte, P9_TA(2024)0030).</w:t>
      </w:r>
    </w:p>
  </w:footnote>
  <w:footnote w:id="8">
    <w:p w:rsidR="00CD4E2B" w:rsidRPr="00DA6CCB" w:rsidRDefault="00CD4E2B" w:rsidP="00DA6CCB">
      <w:pPr>
        <w:pStyle w:val="FootnoteText"/>
        <w:ind w:left="567" w:hanging="567"/>
        <w:rPr>
          <w:sz w:val="24"/>
          <w:lang w:val="pl-PL"/>
        </w:rPr>
      </w:pPr>
      <w:r w:rsidRPr="00DA6CCB">
        <w:rPr>
          <w:rStyle w:val="FootnoteReference"/>
          <w:sz w:val="24"/>
          <w:lang w:val="pl-PL"/>
        </w:rPr>
        <w:footnoteRef/>
      </w:r>
      <w:r w:rsidR="00DA6CCB" w:rsidRPr="00DA6CCB">
        <w:rPr>
          <w:sz w:val="24"/>
          <w:lang w:val="pl-PL"/>
        </w:rPr>
        <w:t xml:space="preserve"> </w:t>
      </w:r>
      <w:r w:rsidR="00DA6CCB" w:rsidRPr="00DA6CCB">
        <w:rPr>
          <w:sz w:val="24"/>
          <w:lang w:val="pl-PL"/>
        </w:rPr>
        <w:tab/>
      </w:r>
      <w:r w:rsidRPr="00DA6CCB">
        <w:rPr>
          <w:sz w:val="24"/>
          <w:lang w:val="pl-PL"/>
        </w:rPr>
        <w:t xml:space="preserve">Dz.U. C 125 z 18.3.2022, </w:t>
      </w:r>
      <w:proofErr w:type="gramStart"/>
      <w:r w:rsidRPr="00DA6CCB">
        <w:rPr>
          <w:sz w:val="24"/>
          <w:lang w:val="pl-PL"/>
        </w:rPr>
        <w:t>s</w:t>
      </w:r>
      <w:proofErr w:type="gramEnd"/>
      <w:r w:rsidRPr="00DA6CCB">
        <w:rPr>
          <w:sz w:val="24"/>
          <w:lang w:val="pl-PL"/>
        </w:rPr>
        <w:t>. 2.</w:t>
      </w:r>
    </w:p>
  </w:footnote>
  <w:footnote w:id="9">
    <w:p w:rsidR="00CD4E2B" w:rsidRPr="00DA6CCB" w:rsidRDefault="00CD4E2B" w:rsidP="00DA6CCB">
      <w:pPr>
        <w:pStyle w:val="FootnoteText"/>
        <w:ind w:left="567" w:hanging="567"/>
        <w:rPr>
          <w:sz w:val="24"/>
          <w:lang w:val="pl-PL"/>
        </w:rPr>
      </w:pPr>
      <w:r w:rsidRPr="00DA6CCB">
        <w:rPr>
          <w:rStyle w:val="FootnoteReference"/>
          <w:sz w:val="24"/>
          <w:lang w:val="pl-PL"/>
        </w:rPr>
        <w:footnoteRef/>
      </w:r>
      <w:r w:rsidR="00DA6CCB" w:rsidRPr="00DA6CCB">
        <w:rPr>
          <w:sz w:val="24"/>
          <w:lang w:val="pl-PL"/>
        </w:rPr>
        <w:t xml:space="preserve"> </w:t>
      </w:r>
      <w:r w:rsidR="00DA6CCB" w:rsidRPr="00DA6CCB">
        <w:rPr>
          <w:sz w:val="24"/>
          <w:lang w:val="pl-PL"/>
        </w:rPr>
        <w:tab/>
      </w:r>
      <w:r w:rsidRPr="00DA6CCB">
        <w:rPr>
          <w:sz w:val="24"/>
          <w:lang w:val="pl-PL"/>
        </w:rPr>
        <w:t xml:space="preserve">Dz.U. C 117 z 11.3.2022, </w:t>
      </w:r>
      <w:proofErr w:type="gramStart"/>
      <w:r w:rsidRPr="00DA6CCB">
        <w:rPr>
          <w:sz w:val="24"/>
          <w:lang w:val="pl-PL"/>
        </w:rPr>
        <w:t>s</w:t>
      </w:r>
      <w:proofErr w:type="gramEnd"/>
      <w:r w:rsidRPr="00DA6CCB">
        <w:rPr>
          <w:sz w:val="24"/>
          <w:lang w:val="pl-PL"/>
        </w:rPr>
        <w:t>. 159.</w:t>
      </w:r>
    </w:p>
  </w:footnote>
  <w:footnote w:id="10">
    <w:p w:rsidR="00CD4E2B" w:rsidRPr="00DA6CCB" w:rsidRDefault="00CD4E2B" w:rsidP="00DA6CCB">
      <w:pPr>
        <w:pStyle w:val="FootnoteText"/>
        <w:ind w:left="567" w:hanging="567"/>
        <w:rPr>
          <w:sz w:val="24"/>
          <w:lang w:val="pl-PL"/>
        </w:rPr>
      </w:pPr>
      <w:r w:rsidRPr="00DA6CCB">
        <w:rPr>
          <w:rStyle w:val="FootnoteReference"/>
          <w:sz w:val="24"/>
          <w:lang w:val="pl-PL"/>
        </w:rPr>
        <w:footnoteRef/>
      </w:r>
      <w:r w:rsidR="00DA6CCB" w:rsidRPr="00DA6CCB">
        <w:rPr>
          <w:sz w:val="24"/>
          <w:lang w:val="pl-PL"/>
        </w:rPr>
        <w:t xml:space="preserve"> </w:t>
      </w:r>
      <w:r w:rsidR="00DA6CCB" w:rsidRPr="00DA6CCB">
        <w:rPr>
          <w:sz w:val="24"/>
          <w:lang w:val="pl-PL"/>
        </w:rPr>
        <w:tab/>
      </w:r>
      <w:r w:rsidRPr="00DA6CCB">
        <w:rPr>
          <w:sz w:val="24"/>
          <w:lang w:val="pl-PL"/>
        </w:rPr>
        <w:t>Decyzja Rady (</w:t>
      </w:r>
      <w:proofErr w:type="spellStart"/>
      <w:r w:rsidRPr="00DA6CCB">
        <w:rPr>
          <w:sz w:val="24"/>
          <w:lang w:val="pl-PL"/>
        </w:rPr>
        <w:t>WPZiB</w:t>
      </w:r>
      <w:proofErr w:type="spellEnd"/>
      <w:r w:rsidRPr="00DA6CCB">
        <w:rPr>
          <w:sz w:val="24"/>
          <w:lang w:val="pl-PL"/>
        </w:rPr>
        <w:t>) 2022/884 z dnia 3 czerwca 2022 r. zmieniająca decyzję 2014/512/</w:t>
      </w:r>
      <w:proofErr w:type="spellStart"/>
      <w:r w:rsidRPr="00DA6CCB">
        <w:rPr>
          <w:sz w:val="24"/>
          <w:lang w:val="pl-PL"/>
        </w:rPr>
        <w:t>WPZiB</w:t>
      </w:r>
      <w:proofErr w:type="spellEnd"/>
      <w:r w:rsidRPr="00DA6CCB">
        <w:rPr>
          <w:sz w:val="24"/>
          <w:lang w:val="pl-PL"/>
        </w:rPr>
        <w:t xml:space="preserve"> dotyczącą środków ograniczających w związku z działaniami Rosji destabilizującymi sytuację na Ukrainie (Dz.U. L 153 z 3.6.2022, </w:t>
      </w:r>
      <w:proofErr w:type="gramStart"/>
      <w:r w:rsidRPr="00DA6CCB">
        <w:rPr>
          <w:sz w:val="24"/>
          <w:lang w:val="pl-PL"/>
        </w:rPr>
        <w:t>s</w:t>
      </w:r>
      <w:proofErr w:type="gramEnd"/>
      <w:r w:rsidRPr="00DA6CCB">
        <w:rPr>
          <w:sz w:val="24"/>
          <w:lang w:val="pl-PL"/>
        </w:rPr>
        <w:t>. 128).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DA6CCB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DA6CCB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DA6CCB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Page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B9-0124/2024"/>
    <w:docVar w:name="dvlangue" w:val="PL"/>
    <w:docVar w:name="dvnumam" w:val="0"/>
    <w:docVar w:name="dvpe" w:val="756.867"/>
    <w:docVar w:name="dvtitre" w:val="Rezolucja Parlamentu Europejskiego z dnia  2024 r. w sprawie Russiagate: zarzuty dotyczące rosyjskiej ingerencji w procesy demokratyczne w Unii Europejskiej(2024/2548(RSP))"/>
  </w:docVars>
  <w:rsids>
    <w:rsidRoot w:val="000206E0"/>
    <w:rsid w:val="00002272"/>
    <w:rsid w:val="000206E0"/>
    <w:rsid w:val="00064002"/>
    <w:rsid w:val="000677B9"/>
    <w:rsid w:val="000831BA"/>
    <w:rsid w:val="000A42CC"/>
    <w:rsid w:val="000E7DD9"/>
    <w:rsid w:val="0010095E"/>
    <w:rsid w:val="00125B37"/>
    <w:rsid w:val="00136B3A"/>
    <w:rsid w:val="00187494"/>
    <w:rsid w:val="001A6B3E"/>
    <w:rsid w:val="001F32AE"/>
    <w:rsid w:val="002767FF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6037C0"/>
    <w:rsid w:val="006631B6"/>
    <w:rsid w:val="00680577"/>
    <w:rsid w:val="006E38AC"/>
    <w:rsid w:val="006F74FA"/>
    <w:rsid w:val="007215D7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D4E2B"/>
    <w:rsid w:val="00CF071A"/>
    <w:rsid w:val="00D058B8"/>
    <w:rsid w:val="00D56C11"/>
    <w:rsid w:val="00D834A0"/>
    <w:rsid w:val="00D872DF"/>
    <w:rsid w:val="00D91E21"/>
    <w:rsid w:val="00DA6CCB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  <w:rsid w:val="00FD37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TW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CA92B9D"/>
  <w15:chartTrackingRefBased/>
  <w15:docId w15:val="{44AF27A7-C7DB-411D-8310-5A485F7242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note text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pl-PL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uiPriority w:val="99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uiPriority w:val="99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Hanging12a">
    <w:name w:val="NormalHanging12a"/>
    <w:basedOn w:val="Normal"/>
    <w:link w:val="NormalHanging12aChar"/>
    <w:rsid w:val="00CD4E2B"/>
    <w:pPr>
      <w:spacing w:after="240"/>
      <w:ind w:left="567" w:hanging="567"/>
    </w:pPr>
  </w:style>
  <w:style w:type="paragraph" w:customStyle="1" w:styleId="EPComma">
    <w:name w:val="EPComma"/>
    <w:basedOn w:val="Normal"/>
    <w:rsid w:val="00CD4E2B"/>
    <w:pPr>
      <w:spacing w:before="480" w:after="240"/>
    </w:pPr>
  </w:style>
  <w:style w:type="character" w:customStyle="1" w:styleId="NormalHanging12aChar">
    <w:name w:val="NormalHanging12a Char"/>
    <w:basedOn w:val="DefaultParagraphFont"/>
    <w:link w:val="NormalHanging12a"/>
    <w:rsid w:val="00CD4E2B"/>
    <w:rPr>
      <w:sz w:val="24"/>
      <w:lang w:val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DE62CAD-C949-41E1-A7ED-ED9DCADB755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10</Pages>
  <Words>4071</Words>
  <Characters>26705</Characters>
  <Application>Microsoft Office Word</Application>
  <DocSecurity>4</DocSecurity>
  <Lines>222</Lines>
  <Paragraphs>61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30715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ZALESKI Tomasz</dc:creator>
  <cp:keywords/>
  <cp:lastModifiedBy>Lukas Lemcke</cp:lastModifiedBy>
  <cp:revision>2</cp:revision>
  <cp:lastPrinted>2004-11-19T15:42:00Z</cp:lastPrinted>
  <dcterms:created xsi:type="dcterms:W3CDTF">2024-06-14T09:32:00Z</dcterms:created>
  <dcterms:modified xsi:type="dcterms:W3CDTF">2024-06-14T09:32:00Z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PL</vt:lpwstr>
  </property>
  <property fmtid="{D5CDD505-2E9C-101B-9397-08002B2CF9AE}" pid="3" name="&lt;FdR&gt;">
    <vt:lpwstr>B9-0124/2024</vt:lpwstr>
  </property>
  <property fmtid="{D5CDD505-2E9C-101B-9397-08002B2CF9AE}" pid="4" name="&lt;Type&gt;">
    <vt:lpwstr>RR</vt:lpwstr>
  </property>
</Properties>
</file>