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64FEA" w:rsidTr="0010095E">
        <w:trPr>
          <w:trHeight w:hRule="exact" w:val="1418"/>
        </w:trPr>
        <w:tc>
          <w:tcPr>
            <w:tcW w:w="6804" w:type="dxa"/>
            <w:shd w:val="clear" w:color="auto" w:fill="auto"/>
            <w:vAlign w:val="center"/>
          </w:tcPr>
          <w:p w:rsidR="00751A4A" w:rsidRPr="00B64FEA" w:rsidRDefault="00DF045C" w:rsidP="0010095E">
            <w:pPr>
              <w:pStyle w:val="EPName"/>
            </w:pPr>
            <w:r w:rsidRPr="00B64FEA">
              <w:t>Европейски</w:t>
            </w:r>
            <w:r w:rsidR="000B51AB" w:rsidRPr="00B64FEA">
              <w:t xml:space="preserve"> парламент</w:t>
            </w:r>
          </w:p>
          <w:p w:rsidR="00751A4A" w:rsidRPr="00B64FEA" w:rsidRDefault="00DF045C" w:rsidP="00756632">
            <w:pPr>
              <w:pStyle w:val="EPTerm"/>
              <w:rPr>
                <w:rStyle w:val="HideTWBExt"/>
                <w:noProof w:val="0"/>
                <w:vanish w:val="0"/>
                <w:color w:val="auto"/>
              </w:rPr>
            </w:pPr>
            <w:r>
              <w:t>2019 – </w:t>
            </w:r>
            <w:r w:rsidR="00817416" w:rsidRPr="00B64FEA">
              <w:t>2024</w:t>
            </w:r>
          </w:p>
        </w:tc>
        <w:tc>
          <w:tcPr>
            <w:tcW w:w="2268" w:type="dxa"/>
            <w:shd w:val="clear" w:color="auto" w:fill="auto"/>
          </w:tcPr>
          <w:p w:rsidR="00751A4A" w:rsidRPr="00B64FEA" w:rsidRDefault="00187494" w:rsidP="0010095E">
            <w:pPr>
              <w:pStyle w:val="EPLogo"/>
            </w:pPr>
            <w:r w:rsidRPr="00B64FE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64FEA" w:rsidRDefault="00D058B8" w:rsidP="004C5D52">
      <w:pPr>
        <w:pStyle w:val="LineTop"/>
      </w:pPr>
    </w:p>
    <w:p w:rsidR="00680577" w:rsidRPr="00B64FEA" w:rsidRDefault="000B51AB" w:rsidP="00680577">
      <w:pPr>
        <w:pStyle w:val="EPBodyTA1"/>
      </w:pPr>
      <w:r w:rsidRPr="00B64FEA">
        <w:t>ПРИЕТИ ТЕКСТОВЕ</w:t>
      </w:r>
    </w:p>
    <w:p w:rsidR="00D058B8" w:rsidRPr="00B64FEA" w:rsidRDefault="00D058B8" w:rsidP="00D058B8">
      <w:pPr>
        <w:pStyle w:val="LineBottom"/>
      </w:pPr>
    </w:p>
    <w:p w:rsidR="000B51AB" w:rsidRPr="00B64FEA" w:rsidRDefault="000B51AB" w:rsidP="00B728EF">
      <w:pPr>
        <w:pStyle w:val="ATHeading1"/>
      </w:pPr>
      <w:bookmarkStart w:id="0" w:name="TANumber"/>
      <w:r w:rsidRPr="00B64FEA">
        <w:t>P9_TA(2024)</w:t>
      </w:r>
      <w:bookmarkEnd w:id="0"/>
      <w:r w:rsidR="00B728EF" w:rsidRPr="00B64FEA">
        <w:t>00</w:t>
      </w:r>
      <w:r w:rsidR="00B728EF">
        <w:t>81</w:t>
      </w:r>
    </w:p>
    <w:p w:rsidR="000B51AB" w:rsidRPr="00B64FEA" w:rsidRDefault="000B51AB" w:rsidP="000B51AB">
      <w:pPr>
        <w:pStyle w:val="ATHeading2"/>
      </w:pPr>
      <w:bookmarkStart w:id="1" w:name="title"/>
      <w:r w:rsidRPr="00B64FEA">
        <w:t>Многогодишната финансова рамка за годините 2021—2027</w:t>
      </w:r>
      <w:bookmarkEnd w:id="1"/>
    </w:p>
    <w:p w:rsidR="000B51AB" w:rsidRPr="00B64FEA" w:rsidRDefault="000B51AB" w:rsidP="000B51AB">
      <w:pPr>
        <w:rPr>
          <w:i/>
          <w:vanish/>
        </w:rPr>
      </w:pPr>
      <w:r w:rsidRPr="00B64FEA">
        <w:rPr>
          <w:i/>
        </w:rPr>
        <w:fldChar w:fldCharType="begin"/>
      </w:r>
      <w:r w:rsidRPr="00B64FEA">
        <w:rPr>
          <w:i/>
        </w:rPr>
        <w:instrText xml:space="preserve"> TC"(</w:instrText>
      </w:r>
      <w:bookmarkStart w:id="2" w:name="DocNumber"/>
      <w:r w:rsidRPr="00B64FEA">
        <w:rPr>
          <w:i/>
        </w:rPr>
        <w:instrText>A9-0051/2024</w:instrText>
      </w:r>
      <w:bookmarkEnd w:id="2"/>
      <w:r w:rsidRPr="00B64FEA">
        <w:rPr>
          <w:i/>
        </w:rPr>
        <w:instrText xml:space="preserve"> - </w:instrText>
      </w:r>
      <w:r w:rsidR="00DF045C">
        <w:rPr>
          <w:i/>
        </w:rPr>
        <w:instrText>Съд</w:instrText>
      </w:r>
      <w:r w:rsidRPr="00B64FEA">
        <w:rPr>
          <w:i/>
        </w:rPr>
        <w:instrText>окладчи</w:instrText>
      </w:r>
      <w:r w:rsidR="00DF045C">
        <w:rPr>
          <w:i/>
        </w:rPr>
        <w:instrText>ци</w:instrText>
      </w:r>
      <w:r w:rsidRPr="00B64FEA">
        <w:rPr>
          <w:i/>
        </w:rPr>
        <w:instrText xml:space="preserve">: Ян </w:instrText>
      </w:r>
      <w:proofErr w:type="spellStart"/>
      <w:r w:rsidRPr="00B64FEA">
        <w:rPr>
          <w:i/>
        </w:rPr>
        <w:instrText>Олбрихт</w:instrText>
      </w:r>
      <w:proofErr w:type="spellEnd"/>
      <w:r w:rsidRPr="00B64FEA">
        <w:rPr>
          <w:i/>
        </w:rPr>
        <w:instrText xml:space="preserve">, </w:instrText>
      </w:r>
      <w:proofErr w:type="spellStart"/>
      <w:r w:rsidRPr="00B64FEA">
        <w:rPr>
          <w:i/>
        </w:rPr>
        <w:instrText>Маргарида</w:instrText>
      </w:r>
      <w:proofErr w:type="spellEnd"/>
      <w:r w:rsidRPr="00B64FEA">
        <w:rPr>
          <w:i/>
        </w:rPr>
        <w:instrText xml:space="preserve"> </w:instrText>
      </w:r>
      <w:proofErr w:type="spellStart"/>
      <w:r w:rsidRPr="00B64FEA">
        <w:rPr>
          <w:i/>
        </w:rPr>
        <w:instrText>Маркеш</w:instrText>
      </w:r>
      <w:proofErr w:type="spellEnd"/>
      <w:r w:rsidRPr="00B64FEA">
        <w:rPr>
          <w:i/>
        </w:rPr>
        <w:instrText xml:space="preserve">)"\l3 \n&gt; \* MERGEFORMAT </w:instrText>
      </w:r>
      <w:r w:rsidRPr="00B64FEA">
        <w:rPr>
          <w:i/>
        </w:rPr>
        <w:fldChar w:fldCharType="end"/>
      </w:r>
    </w:p>
    <w:p w:rsidR="000B51AB" w:rsidRPr="00B64FEA" w:rsidRDefault="000B51AB" w:rsidP="000B51AB">
      <w:pPr>
        <w:rPr>
          <w:vanish/>
        </w:rPr>
      </w:pPr>
      <w:bookmarkStart w:id="3" w:name="Commission"/>
      <w:r w:rsidRPr="00B64FEA">
        <w:rPr>
          <w:vanish/>
        </w:rPr>
        <w:t>Комисия по бюджети</w:t>
      </w:r>
      <w:bookmarkEnd w:id="3"/>
    </w:p>
    <w:p w:rsidR="000B51AB" w:rsidRPr="00B64FEA" w:rsidRDefault="000B51AB" w:rsidP="000B51AB">
      <w:pPr>
        <w:rPr>
          <w:vanish/>
        </w:rPr>
      </w:pPr>
      <w:bookmarkStart w:id="4" w:name="PE"/>
      <w:r w:rsidRPr="00B64FEA">
        <w:rPr>
          <w:vanish/>
        </w:rPr>
        <w:t>PE758.992</w:t>
      </w:r>
      <w:bookmarkEnd w:id="4"/>
    </w:p>
    <w:p w:rsidR="000B51AB" w:rsidRPr="00B64FEA" w:rsidRDefault="000B51AB" w:rsidP="000B51AB">
      <w:pPr>
        <w:pStyle w:val="ATHeading3"/>
      </w:pPr>
      <w:bookmarkStart w:id="5" w:name="Sujet"/>
      <w:r w:rsidRPr="00B64FEA">
        <w:t xml:space="preserve">Законодателна резолюция на Европейския парламент от </w:t>
      </w:r>
      <w:r w:rsidR="00DF045C">
        <w:t>27 февруари</w:t>
      </w:r>
      <w:r w:rsidR="00DF045C" w:rsidRPr="00B64FEA">
        <w:t xml:space="preserve"> </w:t>
      </w:r>
      <w:r w:rsidRPr="00B64FEA">
        <w:t>2024 г. относно проекта на регламент на Съвета за изменение на Регламент (EC, Евратом) 2020/2093 за определяне на многогодишната финансова рамка за годините 2021—2027</w:t>
      </w:r>
      <w:bookmarkEnd w:id="5"/>
      <w:r w:rsidRPr="00B64FEA">
        <w:t xml:space="preserve"> </w:t>
      </w:r>
      <w:bookmarkStart w:id="6" w:name="References"/>
      <w:r w:rsidRPr="00B64FEA">
        <w:t>(05818/2024 – C9-0030/2024 – 2023/0201(APP))</w:t>
      </w:r>
      <w:bookmarkEnd w:id="6"/>
    </w:p>
    <w:p w:rsidR="00F638B3" w:rsidRPr="00B64FEA" w:rsidRDefault="00F638B3" w:rsidP="00F638B3">
      <w:pPr>
        <w:pStyle w:val="NormalBold"/>
      </w:pPr>
      <w:bookmarkStart w:id="7" w:name="TextBodyBegin"/>
      <w:bookmarkEnd w:id="7"/>
      <w:r w:rsidRPr="00B64FEA">
        <w:t>(Специална законодателна процедура – одобрение)</w:t>
      </w:r>
    </w:p>
    <w:p w:rsidR="00F638B3" w:rsidRPr="00B64FEA" w:rsidRDefault="00F638B3" w:rsidP="00F638B3">
      <w:pPr>
        <w:pStyle w:val="EPComma"/>
      </w:pPr>
      <w:r w:rsidRPr="00B64FEA">
        <w:rPr>
          <w:i/>
          <w:iCs/>
        </w:rPr>
        <w:t>Европейският парламент</w:t>
      </w:r>
      <w:r w:rsidRPr="00B64FEA">
        <w:t>,</w:t>
      </w:r>
    </w:p>
    <w:p w:rsidR="00F638B3" w:rsidRPr="00B64FEA" w:rsidRDefault="00F638B3" w:rsidP="00F638B3">
      <w:pPr>
        <w:pStyle w:val="NormalHanging12a"/>
      </w:pPr>
      <w:r w:rsidRPr="00B64FEA">
        <w:t>–</w:t>
      </w:r>
      <w:r w:rsidRPr="00B64FEA">
        <w:tab/>
        <w:t>като взе предвид проекта за регламент на Съвета за изменение на Регламент (EC, Евратом) 2020/2093 за определяне на многогодишната финансова рамка за годините 2021—2027 (05818/2024),</w:t>
      </w:r>
    </w:p>
    <w:p w:rsidR="00F638B3" w:rsidRPr="00B64FEA" w:rsidRDefault="00F638B3" w:rsidP="00F638B3">
      <w:pPr>
        <w:pStyle w:val="NormalHanging12a"/>
      </w:pPr>
      <w:r w:rsidRPr="00B64FEA">
        <w:t>–</w:t>
      </w:r>
      <w:r w:rsidRPr="00B64FEA">
        <w:tab/>
        <w:t>като взе предвид искането за одобрение, представено от Съвета в съответствие с член 312, параграф 2 от Договора за функционирането на Европейския съюз (C9-0030/2024),</w:t>
      </w:r>
    </w:p>
    <w:p w:rsidR="00F638B3" w:rsidRPr="00B64FEA" w:rsidRDefault="00F638B3" w:rsidP="00F638B3">
      <w:pPr>
        <w:pStyle w:val="NormalHanging12a"/>
      </w:pPr>
      <w:r w:rsidRPr="00B64FEA">
        <w:t>–</w:t>
      </w:r>
      <w:r w:rsidRPr="00B64FEA">
        <w:tab/>
        <w:t>като взе предвид предложението на Комисията от 20 юни 2023 г. за Регламент на Съвета за изменение на Регламент (EC, Евратом) 2020/2093 за определяне на многогодишната финансова рамка за годините 2021 – 2027 (COM(2023)0337),</w:t>
      </w:r>
    </w:p>
    <w:p w:rsidR="00F638B3" w:rsidRPr="00B64FEA" w:rsidRDefault="00F638B3" w:rsidP="00F638B3">
      <w:pPr>
        <w:pStyle w:val="NormalHanging12a"/>
        <w:rPr>
          <w:snapToGrid w:val="0"/>
          <w:szCs w:val="24"/>
        </w:rPr>
      </w:pPr>
      <w:r w:rsidRPr="00B64FEA">
        <w:t>–</w:t>
      </w:r>
      <w:r w:rsidRPr="00B64FEA">
        <w:tab/>
      </w:r>
      <w:r w:rsidRPr="00B64FEA">
        <w:rPr>
          <w:snapToGrid w:val="0"/>
        </w:rPr>
        <w:t>като взе предвид своята резолюция от 3 октомври 2023 г. относно предложението за междинно преразглеждане на многогодишната финансова рамка за периода 2021—2027 г.</w:t>
      </w:r>
      <w:r w:rsidRPr="00B64FEA">
        <w:rPr>
          <w:snapToGrid w:val="0"/>
          <w:szCs w:val="24"/>
          <w:vertAlign w:val="superscript"/>
        </w:rPr>
        <w:footnoteReference w:id="1"/>
      </w:r>
      <w:r w:rsidRPr="00B64FEA">
        <w:rPr>
          <w:snapToGrid w:val="0"/>
        </w:rPr>
        <w:t>,</w:t>
      </w:r>
    </w:p>
    <w:p w:rsidR="00F638B3" w:rsidRPr="00B64FEA" w:rsidRDefault="00F638B3" w:rsidP="00F638B3">
      <w:pPr>
        <w:pStyle w:val="NormalHanging12a"/>
      </w:pPr>
      <w:r w:rsidRPr="00B64FEA">
        <w:t>–</w:t>
      </w:r>
      <w:r w:rsidRPr="00B64FEA">
        <w:tab/>
        <w:t>като взе предвид член 92 и член 105, параграфи 1 и 4 от своя Правилник за дейността,</w:t>
      </w:r>
    </w:p>
    <w:p w:rsidR="00F638B3" w:rsidRPr="00B64FEA" w:rsidRDefault="00F638B3" w:rsidP="00F638B3">
      <w:pPr>
        <w:pStyle w:val="NormalHanging12a"/>
      </w:pPr>
      <w:r w:rsidRPr="00B64FEA">
        <w:t>–</w:t>
      </w:r>
      <w:r w:rsidRPr="00B64FEA">
        <w:tab/>
        <w:t>като взе предвид препоръката на комисията по бюджети (A9–0051/2024),</w:t>
      </w:r>
    </w:p>
    <w:p w:rsidR="00F638B3" w:rsidRPr="00B64FEA" w:rsidRDefault="00F638B3" w:rsidP="00F638B3">
      <w:pPr>
        <w:pStyle w:val="NormalHanging12a"/>
      </w:pPr>
      <w:r w:rsidRPr="00B64FEA">
        <w:t>1.</w:t>
      </w:r>
      <w:r w:rsidRPr="00B64FEA">
        <w:tab/>
        <w:t>дава своето одобрение за проекта за регламент на Съвета, изложен в приложението към настоящата резолюция;</w:t>
      </w:r>
    </w:p>
    <w:p w:rsidR="00F638B3" w:rsidRPr="00B64FEA" w:rsidRDefault="00F638B3" w:rsidP="00F638B3">
      <w:pPr>
        <w:pStyle w:val="NormalHanging12a"/>
      </w:pPr>
      <w:r w:rsidRPr="00B64FEA">
        <w:t>2.</w:t>
      </w:r>
      <w:r w:rsidRPr="00B64FEA">
        <w:tab/>
        <w:t xml:space="preserve">одобрява съвместната декларация на Парламента, Съвета и Комисията, приложена към </w:t>
      </w:r>
      <w:r w:rsidRPr="00B64FEA">
        <w:lastRenderedPageBreak/>
        <w:t>настоящата резолюция;</w:t>
      </w:r>
    </w:p>
    <w:p w:rsidR="00F638B3" w:rsidRPr="00B64FEA" w:rsidRDefault="00F638B3" w:rsidP="00F638B3">
      <w:pPr>
        <w:pStyle w:val="NormalHanging12a"/>
      </w:pPr>
      <w:r w:rsidRPr="00B64FEA">
        <w:t>3.</w:t>
      </w:r>
      <w:r w:rsidRPr="00B64FEA">
        <w:tab/>
        <w:t>възлага на своя председател да предаде позицията на Парламента съответно на Съвета и на Комисията, както и на националните парламенти.</w:t>
      </w:r>
    </w:p>
    <w:p w:rsidR="00DF045C" w:rsidRDefault="00DF045C" w:rsidP="00F638B3">
      <w:pPr>
        <w:widowControl/>
      </w:pPr>
    </w:p>
    <w:p w:rsidR="00DF045C" w:rsidRDefault="00DF045C" w:rsidP="00F638B3">
      <w:pPr>
        <w:widowControl/>
        <w:sectPr w:rsidR="00DF045C" w:rsidSect="00B64FEA">
          <w:footerReference w:type="even" r:id="rId9"/>
          <w:footerReference w:type="first" r:id="rId10"/>
          <w:footnotePr>
            <w:numRestart w:val="eachSect"/>
          </w:footnotePr>
          <w:pgSz w:w="11907" w:h="16839"/>
          <w:pgMar w:top="1134" w:right="1134" w:bottom="1134" w:left="1134" w:header="567" w:footer="567" w:gutter="0"/>
          <w:cols w:space="720"/>
          <w:docGrid w:linePitch="326"/>
        </w:sectPr>
      </w:pPr>
    </w:p>
    <w:p w:rsidR="00F638B3" w:rsidRPr="00793599" w:rsidRDefault="00F638B3" w:rsidP="00F638B3">
      <w:pPr>
        <w:pStyle w:val="PageHeading"/>
        <w:rPr>
          <w:rFonts w:ascii="Times New Roman" w:hAnsi="Times New Roman" w:cs="Times New Roman"/>
          <w:caps/>
        </w:rPr>
      </w:pPr>
      <w:bookmarkStart w:id="8" w:name="_Toc159572579"/>
      <w:r w:rsidRPr="00793599">
        <w:rPr>
          <w:rFonts w:ascii="Times New Roman" w:hAnsi="Times New Roman" w:cs="Times New Roman"/>
          <w:caps/>
        </w:rPr>
        <w:lastRenderedPageBreak/>
        <w:t xml:space="preserve">ПРИЛОЖЕНИЕ 1: ПРОЕКТ ЗА РЕГЛАМЕНТ НА СЪВЕТА за изменение на Регламент </w:t>
      </w:r>
      <w:r w:rsidR="00793599" w:rsidRPr="00732E69">
        <w:rPr>
          <w:rFonts w:ascii="Times New Roman" w:hAnsi="Times New Roman" w:cs="Times New Roman"/>
          <w:caps/>
        </w:rPr>
        <w:t>(</w:t>
      </w:r>
      <w:r w:rsidR="00793599" w:rsidRPr="00793599">
        <w:rPr>
          <w:rFonts w:ascii="Times New Roman" w:hAnsi="Times New Roman" w:cs="Times New Roman"/>
          <w:caps/>
        </w:rPr>
        <w:t xml:space="preserve">ЕС, ЕВРАТОМ) </w:t>
      </w:r>
      <w:r w:rsidRPr="00793599">
        <w:rPr>
          <w:rFonts w:ascii="Times New Roman" w:hAnsi="Times New Roman" w:cs="Times New Roman"/>
          <w:caps/>
        </w:rPr>
        <w:t>2020/2093 за определяне на многогодишната финансова рамка за годините 2021 – 2027</w:t>
      </w:r>
      <w:bookmarkEnd w:id="8"/>
    </w:p>
    <w:p w:rsidR="00F638B3" w:rsidRPr="00793599" w:rsidRDefault="00F638B3" w:rsidP="00F638B3">
      <w:pPr>
        <w:pStyle w:val="NormalHanging12a"/>
        <w:ind w:left="0" w:firstLine="0"/>
        <w:jc w:val="center"/>
        <w:rPr>
          <w:caps/>
        </w:rPr>
      </w:pPr>
    </w:p>
    <w:p w:rsidR="00F638B3" w:rsidRPr="00B64FEA" w:rsidRDefault="00F638B3" w:rsidP="00F638B3">
      <w:pPr>
        <w:pStyle w:val="Typedudocument"/>
        <w:spacing w:before="0" w:after="240" w:line="240" w:lineRule="auto"/>
      </w:pPr>
      <w:r w:rsidRPr="00B64FEA">
        <w:t>РЕГЛАМЕНТ (ЕС, Евратом) 2024/… НА СЪВЕТА</w:t>
      </w:r>
    </w:p>
    <w:p w:rsidR="00F638B3" w:rsidRPr="00B64FEA" w:rsidRDefault="00F638B3" w:rsidP="00F638B3">
      <w:pPr>
        <w:pStyle w:val="Datedadoption"/>
        <w:spacing w:before="0" w:after="240" w:line="240" w:lineRule="auto"/>
      </w:pPr>
      <w:r w:rsidRPr="00B64FEA">
        <w:t>от …</w:t>
      </w:r>
    </w:p>
    <w:p w:rsidR="00F638B3" w:rsidRPr="00B64FEA" w:rsidRDefault="00F638B3" w:rsidP="00F638B3">
      <w:pPr>
        <w:pStyle w:val="Titreobjet"/>
        <w:spacing w:before="0" w:after="240" w:line="240" w:lineRule="auto"/>
      </w:pPr>
      <w:r w:rsidRPr="00B64FEA">
        <w:t>Изменение на Регламент (ЕС, Евратом) 2020/2093 за определяне на многогодишната финансова рамка за годините 2021 – 2027</w:t>
      </w:r>
    </w:p>
    <w:p w:rsidR="00F638B3" w:rsidRPr="00B64FEA" w:rsidRDefault="00F638B3" w:rsidP="00F638B3">
      <w:pPr>
        <w:pStyle w:val="Institutionquiagit"/>
        <w:spacing w:after="240" w:line="240" w:lineRule="auto"/>
      </w:pPr>
      <w:r w:rsidRPr="00B64FEA">
        <w:t>СЪВЕТЪТ НА ЕВРОПЕЙСКИЯ СЪЮЗ,</w:t>
      </w:r>
    </w:p>
    <w:p w:rsidR="00F638B3" w:rsidRPr="00B64FEA" w:rsidRDefault="00F638B3" w:rsidP="00F638B3">
      <w:pPr>
        <w:spacing w:after="240"/>
      </w:pPr>
      <w:r w:rsidRPr="00B64FEA">
        <w:t>като взе предвид Договора за функционирането на Европейския съюз, и по-специално член 312 от него,</w:t>
      </w:r>
    </w:p>
    <w:p w:rsidR="00F638B3" w:rsidRPr="00B64FEA" w:rsidRDefault="00F638B3" w:rsidP="00F638B3">
      <w:pPr>
        <w:spacing w:after="240"/>
      </w:pPr>
      <w:r w:rsidRPr="00B64FEA">
        <w:t>като взеха предвид Договора за създаване на Европейската общност за атомна енергия, и по-специално член 106a от него,</w:t>
      </w:r>
    </w:p>
    <w:p w:rsidR="00F638B3" w:rsidRPr="00B64FEA" w:rsidRDefault="00F638B3" w:rsidP="00F638B3">
      <w:pPr>
        <w:spacing w:after="240"/>
      </w:pPr>
      <w:r w:rsidRPr="00B64FEA">
        <w:t>като взеха предвид предложението на Европейската комисия,</w:t>
      </w:r>
    </w:p>
    <w:p w:rsidR="00F638B3" w:rsidRPr="00B64FEA" w:rsidRDefault="00F638B3" w:rsidP="00F638B3">
      <w:pPr>
        <w:spacing w:after="240"/>
      </w:pPr>
      <w:r w:rsidRPr="00B64FEA">
        <w:t>като взе предвид одобрението на Европейския парламент,</w:t>
      </w:r>
      <w:r w:rsidRPr="00B64FEA">
        <w:rPr>
          <w:rStyle w:val="FootnoteReference"/>
        </w:rPr>
        <w:footnoteReference w:id="2"/>
      </w:r>
    </w:p>
    <w:p w:rsidR="00F638B3" w:rsidRPr="00B64FEA" w:rsidRDefault="00F638B3" w:rsidP="00F638B3">
      <w:pPr>
        <w:spacing w:after="240"/>
      </w:pPr>
      <w:r w:rsidRPr="00B64FEA">
        <w:t>след предаване на проекта на законодателния акт на националните парламенти,</w:t>
      </w:r>
    </w:p>
    <w:p w:rsidR="00F638B3" w:rsidRPr="00B64FEA" w:rsidRDefault="00F638B3" w:rsidP="00F638B3">
      <w:pPr>
        <w:spacing w:after="240"/>
      </w:pPr>
      <w:r w:rsidRPr="00B64FEA">
        <w:t>в съответствие със специална законодателна процедура,</w:t>
      </w:r>
    </w:p>
    <w:p w:rsidR="00F638B3" w:rsidRPr="00B64FEA" w:rsidRDefault="00F638B3" w:rsidP="00F638B3">
      <w:pPr>
        <w:spacing w:after="240"/>
      </w:pPr>
      <w:r w:rsidRPr="00B64FEA">
        <w:br w:type="page"/>
      </w:r>
      <w:r w:rsidRPr="00B64FEA">
        <w:lastRenderedPageBreak/>
        <w:t>като имат предвид, че:</w:t>
      </w:r>
    </w:p>
    <w:p w:rsidR="00F638B3" w:rsidRPr="00B64FEA" w:rsidRDefault="00F638B3" w:rsidP="00F638B3">
      <w:pPr>
        <w:pStyle w:val="ManualConsidrant"/>
        <w:spacing w:before="0" w:after="240" w:line="240" w:lineRule="auto"/>
      </w:pPr>
      <w:r w:rsidRPr="00B64FEA">
        <w:t>(1)</w:t>
      </w:r>
      <w:r w:rsidRPr="00B64FEA">
        <w:tab/>
        <w:t>Комисията представи преглед на функционирането на многогодишната финансова рамка (МФР) за годините 2021—2027, определена в Регламент (ЕС, Евратом) 2020/2093 на Съвета</w:t>
      </w:r>
      <w:r w:rsidRPr="00B64FEA">
        <w:rPr>
          <w:rStyle w:val="FootnoteReference"/>
        </w:rPr>
        <w:footnoteReference w:id="3"/>
      </w:r>
      <w:r w:rsidRPr="00B64FEA">
        <w:t>, след първите години от нейното изпълнение, включително оценка на устойчивостта на таваните на разходите.</w:t>
      </w:r>
    </w:p>
    <w:p w:rsidR="00F638B3" w:rsidRPr="00B64FEA" w:rsidRDefault="00F638B3" w:rsidP="00F638B3">
      <w:pPr>
        <w:pStyle w:val="ManualConsidrant"/>
        <w:spacing w:before="0" w:after="240" w:line="240" w:lineRule="auto"/>
      </w:pPr>
      <w:r w:rsidRPr="00B64FEA">
        <w:t>(2)</w:t>
      </w:r>
      <w:r w:rsidRPr="00B64FEA">
        <w:tab/>
        <w:t>От декември 2020 г. насам Съюзът е изправен пред поредица от безпрецедентни и неочаквани предизвикателства. Съюзът действа бързо и използва всички средства, с които разполага, но ограничената възможност за гъвкавост на бюджета, заложена в МФР за годините 2021—2027, е почти изчерпана, което възпрепятства способността на бюджета на Съюза за справяне дори с най-неотложните предизвикателства.</w:t>
      </w:r>
    </w:p>
    <w:p w:rsidR="00F638B3" w:rsidRPr="00B64FEA" w:rsidRDefault="00F638B3" w:rsidP="00F638B3">
      <w:pPr>
        <w:pStyle w:val="ManualConsidrant"/>
        <w:spacing w:before="0" w:after="240" w:line="240" w:lineRule="auto"/>
      </w:pPr>
      <w:r w:rsidRPr="00B64FEA">
        <w:t>(3)</w:t>
      </w:r>
      <w:r w:rsidRPr="00B64FEA">
        <w:tab/>
        <w:t>През първите години от изпълнението на МФР бяха широко използвани специалните инструменти за справяне с множество предизвикателства. Необходимостта от предприемане на допълнителни действия продължава да съществува, но средствата в бюджета за справяне с подобни ситуации през оставащия период на МФР са ограничени.</w:t>
      </w:r>
    </w:p>
    <w:p w:rsidR="00F638B3" w:rsidRPr="00B64FEA" w:rsidRDefault="00F638B3" w:rsidP="00F638B3">
      <w:pPr>
        <w:pStyle w:val="ManualConsidrant"/>
        <w:spacing w:before="0" w:after="240" w:line="240" w:lineRule="auto"/>
        <w:ind w:left="851" w:hanging="851"/>
      </w:pPr>
      <w:r w:rsidRPr="00B64FEA">
        <w:br w:type="page"/>
      </w:r>
      <w:r w:rsidRPr="00B64FEA">
        <w:lastRenderedPageBreak/>
        <w:t>(4)</w:t>
      </w:r>
      <w:r w:rsidRPr="00B64FEA">
        <w:tab/>
        <w:t>Бюджетът на Съюза следва да дава възможност на Съюза да предоставя необходимите отговори на политиката на нововъзникващите предизвикателства и да изпълнява правните задължения, които не могат да бъдат изпълнени в рамките на съществуващите тавани или чрез възможности за гъвкавост, които са изчерпани. Таваните на разходите при бюджетните кредити за поети задължения за функции 1, 2, 3, 4, 5 и 6 следва да бъдат изменени за годините 2024, 2025, 2026 и 2027. В резултат на това таваните на разходите при бюджетните кредити за плащания могат да бъдат запазени на сегашното си равнище, а таванът на бюджетните кредити за плащания за Единния инструмент за маржовете за 2026 г. следва да бъде коригиран, за да се избегне рискът от изоставане. Освен това следва да бъде изменен общият размер на допълнително разпределените средства в съответствие със специфичната корекция на програмите, предвиден в член 5, както и в свързаната с него таблица в приложение II към Регламент (EС, Евратом) 2020/2093.</w:t>
      </w:r>
    </w:p>
    <w:p w:rsidR="00F638B3" w:rsidRPr="00B64FEA" w:rsidRDefault="00F638B3" w:rsidP="00F638B3">
      <w:pPr>
        <w:pStyle w:val="ManualConsidrant"/>
        <w:spacing w:before="0" w:after="240" w:line="240" w:lineRule="auto"/>
        <w:ind w:left="851" w:hanging="851"/>
      </w:pPr>
      <w:r w:rsidRPr="00B64FEA">
        <w:t>(5)</w:t>
      </w:r>
      <w:r w:rsidRPr="00B64FEA">
        <w:tab/>
        <w:t xml:space="preserve">Сумите за резерва за приспособяване във връзка с последиците от </w:t>
      </w:r>
      <w:proofErr w:type="spellStart"/>
      <w:r w:rsidRPr="00B64FEA">
        <w:t>Брексит</w:t>
      </w:r>
      <w:proofErr w:type="spellEnd"/>
      <w:r w:rsidRPr="00B64FEA">
        <w:t xml:space="preserve"> и за Европейския фонд за приспособяване към глобализацията също следва да бъдат изменени.</w:t>
      </w:r>
    </w:p>
    <w:p w:rsidR="00F638B3" w:rsidRPr="00B64FEA" w:rsidRDefault="00F638B3" w:rsidP="00F638B3">
      <w:pPr>
        <w:pStyle w:val="ManualConsidrant"/>
        <w:spacing w:before="0" w:after="240" w:line="240" w:lineRule="auto"/>
        <w:ind w:left="851" w:hanging="851"/>
      </w:pPr>
      <w:r w:rsidRPr="00B64FEA">
        <w:t>(6)</w:t>
      </w:r>
      <w:r w:rsidRPr="00B64FEA">
        <w:tab/>
        <w:t>Незаконната агресивна война на Русия срещу Украйна върна войната на европейска земя. Съюзът ще продължи да подкрепя Украйна толкова дълго, колкото е необходимо, и непоколебимо ще помага на Украйна по пътя ѝ към Европа. За тази цел Европейският парламент и Съветът приеха Регламент (ЕС) 2024/... на Европейския парламент и на Съвета</w:t>
      </w:r>
      <w:r w:rsidRPr="00B64FEA">
        <w:rPr>
          <w:rStyle w:val="FootnoteReference"/>
        </w:rPr>
        <w:footnoteReference w:id="4"/>
      </w:r>
      <w:r w:rsidRPr="00B64FEA">
        <w:rPr>
          <w:rStyle w:val="FootnoteReference"/>
        </w:rPr>
        <w:footnoteReference w:customMarkFollows="1" w:id="5"/>
        <w:t>+</w:t>
      </w:r>
      <w:r w:rsidRPr="00B64FEA">
        <w:t xml:space="preserve"> като отговор на Съюза в подкрепа на </w:t>
      </w:r>
      <w:proofErr w:type="spellStart"/>
      <w:r w:rsidRPr="00B64FEA">
        <w:t>макрофинансовата</w:t>
      </w:r>
      <w:proofErr w:type="spellEnd"/>
      <w:r w:rsidRPr="00B64FEA">
        <w:t xml:space="preserve"> стабилност, възстановяването и модернизацията на Украйна, като същевременно се подкрепят усилията на Украйна за реформи като част от пътя ѝ за присъединяване към ЕС (механизъм за Украйна).</w:t>
      </w:r>
    </w:p>
    <w:p w:rsidR="00F638B3" w:rsidRPr="00B64FEA" w:rsidRDefault="00F638B3" w:rsidP="00F638B3">
      <w:pPr>
        <w:pStyle w:val="ManualConsidrant"/>
        <w:spacing w:before="0" w:after="240" w:line="240" w:lineRule="auto"/>
        <w:ind w:left="851" w:hanging="851"/>
      </w:pPr>
      <w:r w:rsidRPr="00B64FEA">
        <w:br w:type="page"/>
      </w:r>
      <w:r w:rsidRPr="00B64FEA">
        <w:lastRenderedPageBreak/>
        <w:t>(7)</w:t>
      </w:r>
      <w:r w:rsidRPr="00B64FEA">
        <w:tab/>
        <w:t>Поради несигурността, свързана с агресивната война на Русия, механизмът за Украйна следва да бъде гъвкав инструмент за осигуряване на подходяща форма и равнище на подкрепа до 2027 г. Подкрепата по линия на механизма за Украйна следва да се предоставя под формата на заеми, безвъзмездна подкрепа и провизиране за бюджетни гаранции.</w:t>
      </w:r>
    </w:p>
    <w:p w:rsidR="00F638B3" w:rsidRPr="00B64FEA" w:rsidRDefault="00F638B3" w:rsidP="00F638B3">
      <w:pPr>
        <w:pStyle w:val="ManualConsidrant"/>
        <w:spacing w:before="0" w:after="240" w:line="240" w:lineRule="auto"/>
      </w:pPr>
      <w:r w:rsidRPr="00B64FEA">
        <w:t>(8)</w:t>
      </w:r>
      <w:r w:rsidRPr="00B64FEA">
        <w:tab/>
        <w:t xml:space="preserve">По отношение на частта от подкрепата по линия на механизма за Украйна, предоставяна под формата на заеми, е целесъобразно срокът на съществуващата гаранция от бюджета на Съюза да се удължи до 2027 г., за да се покрие финансовата помощ, която се предоставя на Украйна. В резултат на това следва да бъде възможно да се мобилизират необходимите бюджетни кредити в бюджета на Съюза над таваните на МФР за финансова помощ за Украйна, които са на разположение до края на 2027 г. В допълнение към покриването на краткосрочното финансово облекчение за Украйна, както вече е предвидено в Регламент (ЕС) 2022/2463, гаранцията от бюджета на Съюза следва да покрива финансова помощ за Украйна в размер до 33 милиарда евро, както е посочено в Регламент (ЕС) 2024/... </w:t>
      </w:r>
      <w:r w:rsidRPr="00B64FEA">
        <w:rPr>
          <w:rStyle w:val="FootnoteReference"/>
        </w:rPr>
        <w:footnoteReference w:customMarkFollows="1" w:id="6"/>
        <w:t>+</w:t>
      </w:r>
      <w:r w:rsidRPr="00B64FEA">
        <w:t>.</w:t>
      </w:r>
    </w:p>
    <w:p w:rsidR="00F638B3" w:rsidRPr="00B64FEA" w:rsidRDefault="00F638B3" w:rsidP="00F638B3">
      <w:pPr>
        <w:pStyle w:val="ManualConsidrant"/>
        <w:spacing w:before="0" w:after="240" w:line="240" w:lineRule="auto"/>
      </w:pPr>
      <w:r w:rsidRPr="00B64FEA">
        <w:br w:type="page"/>
      </w:r>
      <w:r w:rsidRPr="00B64FEA">
        <w:lastRenderedPageBreak/>
        <w:t>(9)</w:t>
      </w:r>
      <w:r w:rsidRPr="00B64FEA">
        <w:tab/>
        <w:t>По отношение на частта от подкрепата по линия на механизма за Украйна, предоставяна под формата на безвъзмездна подкрепа и провизиране на бюджетни гаранции, бюджетните кредити следва да се предоставят чрез нов тематичен специален инструмент — „резерв за Украйна“. Бюджетните кредити за поети задължения и съответстващите им бюджетни кредити за плащания следва да се мобилизират ежегодно в рамките на бюджетната процедура, предвидена в член 314 от Договора за функционирането на Европейския съюз (ДФЕС), над таваните на МФР. За контролираното развитие на разходите, които трябва да бъдат програмирани съгласно съответните разпоредби на Регламент (ЕС) 2024/...</w:t>
      </w:r>
      <w:r w:rsidRPr="00B64FEA">
        <w:rPr>
          <w:rStyle w:val="FootnoteReference"/>
        </w:rPr>
        <w:footnoteReference w:customMarkFollows="1" w:id="7"/>
        <w:t>+</w:t>
      </w:r>
      <w:r w:rsidRPr="00B64FEA">
        <w:t>, и по-специално с оглед на сумите, които ще бъдат определени в плана за Украйна, е целесъобразно да се определят общи и годишни максимални суми, които могат да бъдат предоставени за резерва за Украйна през периода 2024—2027 г. За да се осигурят пълно усвояване и гъвкавост между годините, при съблюдаване на общата сума следва да се предвиди възможност неизползваната част от годишната сума за дадена година да се използва през следващите години до 2027 г. в допълнение към максималната годишна сума за съответната година.</w:t>
      </w:r>
    </w:p>
    <w:p w:rsidR="00F638B3" w:rsidRPr="00B64FEA" w:rsidRDefault="00F638B3" w:rsidP="00F638B3">
      <w:pPr>
        <w:pStyle w:val="ManualConsidrant"/>
        <w:spacing w:before="0" w:after="240" w:line="240" w:lineRule="auto"/>
      </w:pPr>
      <w:r w:rsidRPr="00B64FEA">
        <w:br w:type="page"/>
      </w:r>
      <w:r w:rsidRPr="00B64FEA">
        <w:lastRenderedPageBreak/>
        <w:t>(10)</w:t>
      </w:r>
      <w:r w:rsidRPr="00B64FEA">
        <w:tab/>
        <w:t xml:space="preserve">От 2022 г. насам в Съюза и в повечето големи икономики се наблюдава рязко покачване на лихвените проценти за всички емитенти на облигации, включително за Съюза. В резултат на това разходите за финансиране на взетите заеми по Инструмента на Европейския съюз за възстановяване </w:t>
      </w:r>
      <w:proofErr w:type="spellStart"/>
      <w:r w:rsidRPr="00B64FEA">
        <w:t>NextGenerationEU</w:t>
      </w:r>
      <w:proofErr w:type="spellEnd"/>
      <w:r w:rsidRPr="00B64FEA">
        <w:t xml:space="preserve"> (EURI), които трябва да бъдат поети от бюджета на Съюза съгласно член 5, параграф 2 от Решение (ЕС, Евратом) 2020/2053</w:t>
      </w:r>
      <w:r w:rsidRPr="00B64FEA">
        <w:rPr>
          <w:rStyle w:val="FootnoteReference"/>
        </w:rPr>
        <w:footnoteReference w:id="8"/>
      </w:r>
      <w:r w:rsidRPr="00B64FEA">
        <w:t>, се очаква да надхвърлят прогнозите, първоначално заложени в рамките на таваните на МФР при нейното приемане през декември 2020 г., които бяха съответно 2 332 милиона евро през 2025 г. (по цени от 2018 г.), 3 196 милиона евро през 2026 г. (по цени от 2018 г.) и 4 168 милиона евро през 2027 г. (по цени от 2018 г.).</w:t>
      </w:r>
    </w:p>
    <w:p w:rsidR="00F638B3" w:rsidRPr="00B64FEA" w:rsidRDefault="00F638B3" w:rsidP="00F638B3">
      <w:pPr>
        <w:pStyle w:val="ManualConsidrant"/>
        <w:spacing w:before="0" w:after="240" w:line="240" w:lineRule="auto"/>
      </w:pPr>
      <w:r w:rsidRPr="00B64FEA">
        <w:t>(11)</w:t>
      </w:r>
      <w:r w:rsidRPr="00B64FEA">
        <w:tab/>
        <w:t>Поради несигурността, свързана с бъдещото развитие на лихвените проценти при променящи се пазарни условия, както и поради общите нужди от заеми за финансиране на текущите програми на Съюза, които се финансират от EURI, е целесъобразно да се създаде извънреден и временен механизъм, ограничен за срока на текущата МФР, за покриване на разходите за финансиране на заеми по линия на EURI, които надвишават първоначално програмираните суми, като част от провизиите, необходими за гладко протичане на годишната бюджетна процедура и за гарантиране, че финансовите средства са на разположение, за да може Съюзът да изпълнява правните си задължения. Поради това следва да се създаде нов тематичен специален инструмент – инструмент EURI, чиято единствена цел е да се покрие оставащото превишение на разходите. Този инструмент следва да бъде изключение и не би могъл да служи като прецедент за бъдещи договорености за МФР след 2027 г., по-специално за покриване на разходите за лихвените плащания по средствата, които са взети назаем на пазарите с цел финансиране на EURI.</w:t>
      </w:r>
    </w:p>
    <w:p w:rsidR="00F638B3" w:rsidRPr="00B64FEA" w:rsidRDefault="00F638B3" w:rsidP="00F638B3">
      <w:pPr>
        <w:pStyle w:val="ManualConsidrant"/>
        <w:spacing w:before="0" w:after="240" w:line="240" w:lineRule="auto"/>
      </w:pPr>
      <w:r w:rsidRPr="00B64FEA">
        <w:br w:type="page"/>
      </w:r>
      <w:r w:rsidRPr="00B64FEA">
        <w:lastRenderedPageBreak/>
        <w:t>(12)</w:t>
      </w:r>
      <w:r w:rsidRPr="00B64FEA">
        <w:tab/>
        <w:t>Инструментът EURI следва да бъде мобилизиран от бюджетния орган по време на годишната бюджетна процедура само при необходимост. Без да се засягат правомощията на бюджетния орган, ой следва да бъде мобилизиран, след като са били потърсени други възможности за финансиране, включително възможности, създадени от изпълнението на бюджета на програми и промяната на приоритетите, както и чрез нетематични специални инструменти, за покриване на значителна част от необходимите суми, надхвърлящи предварително определените суми в съществуващия бюджетен ред за EURI във функция 2б, доколкото е възможно, с цел да се мобилизира сума, равна на около 50 % от превишението на разходите за лихвени плащания по EURI като референтен показател. Това ще се извършва в съответствие с приложимите секторни правила и други правни задължения и като се отчитат приоритетите, разумното бюджетиране и доброто финансово управление, които изискват по-специално подходящи маржове за непредвидени разходи. Националните пакети на държавите членки, за които е поето правно задължение, по-специално тези по линия на общата селскостопанска политика и политиката на сближаване, няма да бъдат засегнати. Бюджетните кредити за поети задължения и съответстващите им бюджетни кредити за плащания за инструмента EURI в бюджета на Съюза следва да бъдат предоставени над таваните на МФР. В рамките на инструмента EURI първа следва да се използва сума, равна на отменените бюджетни кредити, различни от външните целеви приходи, направени от началото на текущата МФР. Сумите на отменените бюджетни кредити, предоставени отново в съответствие с действащите разпоредби, не следва да се вземат предвид. Наличната сума на отменените бюджетни кредити за инструмента EURI следва да се изчислява всяка година като част от техническата корекция на МФР, като ясно се представят общите налични средства и сумите, които вече са били взети предвид при предишни мобилизации на инструмента EURI. В неочакваната ситуация на продължаващо превишение необходимата допълнителна сума за пълно финансиране на разходите следва да бъде мобилизирана в рамките на инструмента EURI като предпазен механизъм като крайна мярка. Ако по изключение една или повече държави членки считат, че съществуват сериозни опасения във връзка с мобилизирането на този предпазен механизъм, те могат да поискат от председателя на Европейския съвет въпросът да бъде разгледан на следващото заседание на Европейския съвет. Този процес по правило не следва да отнеме повече от един месец и при него следва да изцяло да се зачитат правомощията на институциите, предвидени в Договорите.</w:t>
      </w:r>
    </w:p>
    <w:p w:rsidR="00F638B3" w:rsidRPr="00B64FEA" w:rsidRDefault="00F638B3" w:rsidP="00F638B3">
      <w:pPr>
        <w:pStyle w:val="ManualConsidrant"/>
        <w:spacing w:before="0" w:after="240" w:line="240" w:lineRule="auto"/>
      </w:pPr>
      <w:r w:rsidRPr="00B64FEA">
        <w:br w:type="page"/>
      </w:r>
      <w:r w:rsidRPr="00B64FEA">
        <w:lastRenderedPageBreak/>
        <w:t>(13)</w:t>
      </w:r>
      <w:r w:rsidRPr="00B64FEA">
        <w:tab/>
        <w:t>С оглед на природните бедствия, които настъпиха в държавите членки и в държави, водещи преговори за присъединяване към Съюза, и на природните бедствия и хуманитарните кризи в трети държави, както и за да се осигури подходящо финансиране и за двете категории, действащият резерв за солидарност и спешна помощ следва да бъде подсилен и разделен на два отделни инструмента: Европейски резерв за солидарност, който предоставя подкрепа на засегнатите държави и региони по линия на фонд „Солидарност“ на Европейския съюз, създаден с Регламент (ЕО) № 2012/2002 на Съвета</w:t>
      </w:r>
      <w:r w:rsidRPr="00B64FEA">
        <w:rPr>
          <w:rStyle w:val="FootnoteReference"/>
        </w:rPr>
        <w:footnoteReference w:id="9"/>
      </w:r>
      <w:r w:rsidRPr="00B64FEA">
        <w:t>, и Резерв за спешна помощ с цел осигуряване на допълнителни бюджетни средства за съответните програми на Съюза в отговор на кризи и извънредни ситуации в Съюза и извън него.</w:t>
      </w:r>
    </w:p>
    <w:p w:rsidR="00F638B3" w:rsidRPr="00B64FEA" w:rsidRDefault="00F638B3" w:rsidP="00F638B3">
      <w:pPr>
        <w:pStyle w:val="ManualConsidrant"/>
        <w:spacing w:before="0" w:after="240" w:line="240" w:lineRule="auto"/>
      </w:pPr>
      <w:r w:rsidRPr="00B64FEA">
        <w:t>(14)</w:t>
      </w:r>
      <w:r w:rsidRPr="00B64FEA">
        <w:tab/>
        <w:t>Инструментът за гъвкавост следва да бъде подсилен, за да се поддържа достатъчен капацитет на Съюза да реагира на непредвидени обстоятелства до 2027 г. Сумите от европейския резерв за солидарност и резерва за спешна помощ, които не могат да се пренасят повече, следва да бъдат предоставени на Инструмента за гъвкавост, считано от 2024 г.</w:t>
      </w:r>
    </w:p>
    <w:p w:rsidR="00F638B3" w:rsidRPr="00B64FEA" w:rsidRDefault="00F638B3" w:rsidP="00F638B3">
      <w:pPr>
        <w:pStyle w:val="ManualConsidrant"/>
        <w:spacing w:before="0" w:after="240" w:line="240" w:lineRule="auto"/>
      </w:pPr>
      <w:r w:rsidRPr="00B64FEA">
        <w:t>(15)</w:t>
      </w:r>
      <w:r w:rsidRPr="00B64FEA">
        <w:tab/>
        <w:t>С оглед на тези неочаквани събития и нови предизвикателства е необходимо да се преразгледа МФР и поради това Регламент (ЕС, Евратом) 2020/2093 следва да бъде съответно изменен.</w:t>
      </w:r>
    </w:p>
    <w:p w:rsidR="00F638B3" w:rsidRPr="00B64FEA" w:rsidRDefault="00F638B3" w:rsidP="00F638B3">
      <w:pPr>
        <w:pStyle w:val="ManualConsidrant"/>
        <w:spacing w:before="0" w:after="240" w:line="240" w:lineRule="auto"/>
      </w:pPr>
      <w:r w:rsidRPr="00B64FEA">
        <w:br w:type="page"/>
      </w:r>
      <w:r w:rsidRPr="00B64FEA">
        <w:lastRenderedPageBreak/>
        <w:t>(16)</w:t>
      </w:r>
      <w:r w:rsidRPr="00B64FEA">
        <w:tab/>
        <w:t>Измененията на Регламент (ЕС, Евратом) 2020/2093 не засягат задължението за спазване на таваните на собствените ресурси, определени в член 3, параграф 1 и Член 6 от Решение (ЕС, Евратом) 2020/2053 на Съвета.</w:t>
      </w:r>
    </w:p>
    <w:p w:rsidR="00F638B3" w:rsidRPr="00B64FEA" w:rsidRDefault="00F638B3" w:rsidP="00F638B3">
      <w:pPr>
        <w:pStyle w:val="ManualConsidrant"/>
        <w:spacing w:before="0" w:after="240" w:line="240" w:lineRule="auto"/>
      </w:pPr>
      <w:r w:rsidRPr="00B64FEA">
        <w:t>(17)</w:t>
      </w:r>
      <w:r w:rsidRPr="00B64FEA">
        <w:tab/>
        <w:t>С оглед на положението в Украйна настоящият регламент следва да влезе в сила по спешност в деня на публикуването му в Официален вестник на Европейския съюз и следва да се прилага с обратно действие от 1 януари 2024 г.,</w:t>
      </w:r>
    </w:p>
    <w:p w:rsidR="00F638B3" w:rsidRPr="00B64FEA" w:rsidRDefault="00F638B3" w:rsidP="00F638B3">
      <w:pPr>
        <w:pStyle w:val="Formuledadoption"/>
        <w:spacing w:before="0" w:after="240" w:line="240" w:lineRule="auto"/>
      </w:pPr>
      <w:r w:rsidRPr="00B64FEA">
        <w:t>ПРИЕ НАСТОЯЩИЯ РЕГЛАМЕНТ:</w:t>
      </w:r>
    </w:p>
    <w:p w:rsidR="00F638B3" w:rsidRPr="00B64FEA" w:rsidRDefault="00F638B3" w:rsidP="00F638B3">
      <w:pPr>
        <w:pStyle w:val="Titrearticle"/>
        <w:spacing w:before="0" w:after="240" w:line="240" w:lineRule="auto"/>
      </w:pPr>
      <w:r w:rsidRPr="00B64FEA">
        <w:br w:type="page"/>
      </w:r>
      <w:r w:rsidRPr="00B64FEA">
        <w:lastRenderedPageBreak/>
        <w:t>Член 1</w:t>
      </w:r>
    </w:p>
    <w:p w:rsidR="00F638B3" w:rsidRPr="00B64FEA" w:rsidRDefault="00F638B3" w:rsidP="00F638B3">
      <w:pPr>
        <w:spacing w:after="240"/>
      </w:pPr>
      <w:r w:rsidRPr="00B64FEA">
        <w:t>Регламент (ЕС, Евратом) 2020/2093 се изменя, както следва:</w:t>
      </w:r>
    </w:p>
    <w:p w:rsidR="00F638B3" w:rsidRPr="00B64FEA" w:rsidRDefault="00F638B3" w:rsidP="00F638B3">
      <w:pPr>
        <w:pStyle w:val="Point0"/>
        <w:spacing w:before="0" w:after="240" w:line="240" w:lineRule="auto"/>
      </w:pPr>
      <w:r w:rsidRPr="00B64FEA">
        <w:t>(1)</w:t>
      </w:r>
      <w:r w:rsidRPr="00B64FEA">
        <w:tab/>
        <w:t>Член 2 се изменя, както следва:</w:t>
      </w:r>
    </w:p>
    <w:p w:rsidR="00F638B3" w:rsidRPr="00B64FEA" w:rsidRDefault="00F638B3" w:rsidP="00F638B3">
      <w:pPr>
        <w:pStyle w:val="Point1"/>
        <w:spacing w:before="0" w:after="240" w:line="240" w:lineRule="auto"/>
      </w:pPr>
      <w:r w:rsidRPr="00B64FEA">
        <w:t>a)</w:t>
      </w:r>
      <w:r w:rsidRPr="00B64FEA">
        <w:tab/>
        <w:t>в параграф 2 първа алинея се заменя със следното:</w:t>
      </w:r>
    </w:p>
    <w:p w:rsidR="00F638B3" w:rsidRPr="00B64FEA" w:rsidRDefault="00F638B3" w:rsidP="00F638B3">
      <w:pPr>
        <w:pStyle w:val="Point2"/>
        <w:spacing w:before="0" w:after="240" w:line="240" w:lineRule="auto"/>
      </w:pPr>
      <w:r w:rsidRPr="00B64FEA">
        <w:t>,,2.</w:t>
      </w:r>
      <w:r w:rsidRPr="00B64FEA">
        <w:tab/>
        <w:t>Когато е необходимо да се използват средствата от специалните инструменти, предвидени в членове 8, 9, 10, 10a, 10б и 12, бюджетните кредити за поети задължения и съответстващите им бюджетни кредити за плащания се вписват в бюджета над съответните тавани на МФР.“;</w:t>
      </w:r>
    </w:p>
    <w:p w:rsidR="00F638B3" w:rsidRPr="00B64FEA" w:rsidRDefault="00F638B3" w:rsidP="00F638B3">
      <w:pPr>
        <w:pStyle w:val="Point1"/>
        <w:spacing w:before="0" w:after="240" w:line="240" w:lineRule="auto"/>
      </w:pPr>
      <w:r w:rsidRPr="00B64FEA">
        <w:t>б)</w:t>
      </w:r>
      <w:r w:rsidRPr="00B64FEA">
        <w:tab/>
        <w:t>в параграф 3 се добавя следната алинея:</w:t>
      </w:r>
    </w:p>
    <w:p w:rsidR="00F638B3" w:rsidRPr="00B64FEA" w:rsidRDefault="00F638B3" w:rsidP="00F638B3">
      <w:pPr>
        <w:pStyle w:val="Text2"/>
        <w:spacing w:before="0" w:after="240" w:line="240" w:lineRule="auto"/>
      </w:pPr>
      <w:r w:rsidRPr="00B64FEA">
        <w:t>„Когато е необходимо да се мобилизира гаранция за финансова помощ за Украйна, която е налична за годините 2024—2027 за годишна сума на заемите до 33 000 милиона евро по текущи цени съгласно Регламент (ЕС) 2024/... на Европейския парламент и на Съвета*</w:t>
      </w:r>
      <w:r w:rsidRPr="00B64FEA">
        <w:rPr>
          <w:rStyle w:val="FootnoteReference"/>
        </w:rPr>
        <w:footnoteReference w:customMarkFollows="1" w:id="10"/>
        <w:t>+</w:t>
      </w:r>
      <w:r w:rsidRPr="00B64FEA">
        <w:t>, която е разрешена в съответствие с член 220, параграф 1 от Финансовия регламент, необходимата сума се мобилизира над таваните на МФР.</w:t>
      </w:r>
    </w:p>
    <w:p w:rsidR="00F638B3" w:rsidRPr="00B64FEA" w:rsidRDefault="00F638B3" w:rsidP="00F638B3">
      <w:pPr>
        <w:pStyle w:val="Text2"/>
        <w:spacing w:before="0" w:after="240" w:line="240" w:lineRule="auto"/>
      </w:pPr>
      <w:r w:rsidRPr="00B64FEA">
        <w:t>________________</w:t>
      </w:r>
    </w:p>
    <w:p w:rsidR="00F638B3" w:rsidRPr="00B64FEA" w:rsidRDefault="00F638B3" w:rsidP="00F638B3">
      <w:pPr>
        <w:pStyle w:val="Point2"/>
        <w:spacing w:before="0" w:after="240" w:line="240" w:lineRule="auto"/>
        <w:ind w:left="1985"/>
      </w:pPr>
      <w:r w:rsidRPr="00B64FEA">
        <w:rPr>
          <w:b/>
          <w:vertAlign w:val="superscript"/>
        </w:rPr>
        <w:t>*</w:t>
      </w:r>
      <w:r w:rsidRPr="00B64FEA">
        <w:tab/>
        <w:t>Регламент (ЕС) 2024/... на Европейския парламент и на Съвета от... г. за създаване на механизъм за Украйна (OВ L, …, ELI: …).“;</w:t>
      </w:r>
    </w:p>
    <w:p w:rsidR="00F638B3" w:rsidRPr="00B64FEA" w:rsidRDefault="00F638B3" w:rsidP="00F638B3">
      <w:pPr>
        <w:pStyle w:val="Point0"/>
        <w:spacing w:before="0" w:after="240" w:line="240" w:lineRule="auto"/>
      </w:pPr>
      <w:r w:rsidRPr="00B64FEA">
        <w:br w:type="page"/>
      </w:r>
      <w:r w:rsidRPr="00B64FEA">
        <w:lastRenderedPageBreak/>
        <w:t>(2)</w:t>
      </w:r>
      <w:r w:rsidRPr="00B64FEA">
        <w:tab/>
        <w:t>в член 4, параграф 1 се добавят следните букви:</w:t>
      </w:r>
    </w:p>
    <w:p w:rsidR="00F638B3" w:rsidRPr="00B64FEA" w:rsidRDefault="00F638B3" w:rsidP="00F638B3">
      <w:pPr>
        <w:pStyle w:val="Point1"/>
        <w:spacing w:before="0" w:after="240" w:line="240" w:lineRule="auto"/>
      </w:pPr>
      <w:r w:rsidRPr="00B64FEA">
        <w:t>„е)</w:t>
      </w:r>
      <w:r w:rsidRPr="00B64FEA">
        <w:tab/>
        <w:t>изчисляване на наличната сума за инструмента EURI в съответствие с член 10а, параграф 3, буква а);</w:t>
      </w:r>
    </w:p>
    <w:p w:rsidR="00F638B3" w:rsidRPr="00B64FEA" w:rsidRDefault="00F638B3" w:rsidP="00F638B3">
      <w:pPr>
        <w:pStyle w:val="Point1"/>
        <w:spacing w:before="0" w:after="240" w:line="240" w:lineRule="auto"/>
      </w:pPr>
      <w:r w:rsidRPr="00B64FEA">
        <w:t>ж)</w:t>
      </w:r>
      <w:r w:rsidRPr="00B64FEA">
        <w:tab/>
        <w:t>изчисляване на сумите, които трябва да бъдат предоставени за Инструмента за гъвкавост съгласно член 12, параграф 1, втора алинея.“</w:t>
      </w:r>
    </w:p>
    <w:p w:rsidR="00F638B3" w:rsidRPr="00B64FEA" w:rsidRDefault="00F638B3" w:rsidP="00F638B3">
      <w:pPr>
        <w:pStyle w:val="Point0"/>
        <w:spacing w:before="0" w:after="240" w:line="240" w:lineRule="auto"/>
      </w:pPr>
      <w:r w:rsidRPr="00B64FEA">
        <w:t>(3)</w:t>
      </w:r>
      <w:r w:rsidRPr="00B64FEA">
        <w:tab/>
        <w:t>В член 5, параграф 1 втората алинея се заменя със следното:</w:t>
      </w:r>
    </w:p>
    <w:p w:rsidR="00F638B3" w:rsidRPr="00B64FEA" w:rsidRDefault="00F638B3" w:rsidP="00F638B3">
      <w:pPr>
        <w:pStyle w:val="Text1"/>
        <w:spacing w:before="0" w:after="240" w:line="240" w:lineRule="auto"/>
      </w:pPr>
      <w:r w:rsidRPr="00B64FEA">
        <w:t>Общият размер на допълнително разпределените средства за периода 2022—2027 г. съответно за бюджетни кредити за поети задължения и за плащания възлиза на 10 155 млн. евро (по цени от 2018 г.). За всяка от годините в периода 2022—2026 г. годишният размер на допълнително разпределените средства съответно за бюджетни кредити за поети задължения и за плащания е най-малко 1 500 млн. евро (по цени от 2018 г.) и не надвишава 2 000 млн. евро (по цени от 2018 г.).</w:t>
      </w:r>
    </w:p>
    <w:p w:rsidR="00F638B3" w:rsidRPr="00B64FEA" w:rsidRDefault="00F638B3" w:rsidP="00F638B3">
      <w:pPr>
        <w:pStyle w:val="Point0"/>
        <w:spacing w:before="0" w:after="240" w:line="240" w:lineRule="auto"/>
      </w:pPr>
      <w:r w:rsidRPr="00B64FEA">
        <w:br w:type="page"/>
      </w:r>
      <w:r w:rsidRPr="00B64FEA">
        <w:lastRenderedPageBreak/>
        <w:t>(4)</w:t>
      </w:r>
      <w:r w:rsidRPr="00B64FEA">
        <w:tab/>
        <w:t>Членове 8 и 9 се заменят със следното:</w:t>
      </w:r>
    </w:p>
    <w:p w:rsidR="00F638B3" w:rsidRPr="00B64FEA" w:rsidRDefault="00F638B3" w:rsidP="00F638B3">
      <w:pPr>
        <w:pStyle w:val="Text1"/>
        <w:spacing w:before="0" w:after="240" w:line="240" w:lineRule="auto"/>
      </w:pPr>
      <w:r w:rsidRPr="00B64FEA">
        <w:rPr>
          <w:i/>
          <w:iCs/>
        </w:rPr>
        <w:t>„Член 8</w:t>
      </w:r>
      <w:r w:rsidRPr="00B64FEA">
        <w:rPr>
          <w:i/>
          <w:iCs/>
        </w:rPr>
        <w:br/>
        <w:t>Европейски фонд за приспособяване към глобализацията</w:t>
      </w:r>
    </w:p>
    <w:p w:rsidR="00F638B3" w:rsidRPr="00B64FEA" w:rsidRDefault="00F638B3" w:rsidP="00F638B3">
      <w:pPr>
        <w:pStyle w:val="Point1"/>
        <w:spacing w:before="0" w:after="240" w:line="240" w:lineRule="auto"/>
      </w:pPr>
      <w:r w:rsidRPr="00B64FEA">
        <w:t>1.</w:t>
      </w:r>
      <w:r w:rsidRPr="00B64FEA">
        <w:tab/>
        <w:t>Европейският фонд за приспособяване към глобализацията, чиито цели и обхват са определени в Регламент (ЕС) 2021/691 на Европейския парламент и на Съвета*, не надхвърля максималната годишна сума от 30 милиона евро (по цени от 2018 г.).</w:t>
      </w:r>
    </w:p>
    <w:p w:rsidR="00F638B3" w:rsidRPr="00B64FEA" w:rsidRDefault="00F638B3" w:rsidP="00F638B3">
      <w:pPr>
        <w:pStyle w:val="Point1"/>
        <w:spacing w:before="0" w:after="240" w:line="240" w:lineRule="auto"/>
      </w:pPr>
      <w:r w:rsidRPr="00B64FEA">
        <w:t>2.</w:t>
      </w:r>
      <w:r w:rsidRPr="00B64FEA">
        <w:tab/>
        <w:t xml:space="preserve">Бюджетните кредити за Европейския фонд за приспособяване към глобализацията се вписват в общия бюджет на Съюза като </w:t>
      </w:r>
      <w:proofErr w:type="spellStart"/>
      <w:r w:rsidRPr="00B64FEA">
        <w:t>провизия</w:t>
      </w:r>
      <w:proofErr w:type="spellEnd"/>
      <w:r w:rsidRPr="00B64FEA">
        <w:t>.</w:t>
      </w:r>
    </w:p>
    <w:p w:rsidR="00F638B3" w:rsidRPr="00B64FEA" w:rsidRDefault="00F638B3" w:rsidP="00F638B3">
      <w:pPr>
        <w:pStyle w:val="Text1"/>
        <w:spacing w:before="0" w:after="240" w:line="240" w:lineRule="auto"/>
      </w:pPr>
      <w:r w:rsidRPr="00B64FEA">
        <w:rPr>
          <w:i/>
        </w:rPr>
        <w:t>Член 9</w:t>
      </w:r>
      <w:r w:rsidRPr="00B64FEA">
        <w:rPr>
          <w:i/>
        </w:rPr>
        <w:br/>
        <w:t>Резерв за солидарност и спешна помощ</w:t>
      </w:r>
    </w:p>
    <w:p w:rsidR="00F638B3" w:rsidRPr="00B64FEA" w:rsidRDefault="00F638B3" w:rsidP="00F638B3">
      <w:pPr>
        <w:pStyle w:val="Point1"/>
        <w:spacing w:before="0" w:after="240" w:line="240" w:lineRule="auto"/>
      </w:pPr>
      <w:r w:rsidRPr="00B64FEA">
        <w:t>1.</w:t>
      </w:r>
      <w:r w:rsidRPr="00B64FEA">
        <w:tab/>
        <w:t>Резервът за солидарност и спешна помощ се състои от два инструмента, които могат да се използват за финансиране съответно на:</w:t>
      </w:r>
    </w:p>
    <w:p w:rsidR="00F638B3" w:rsidRPr="00B64FEA" w:rsidRDefault="00F638B3" w:rsidP="00F638B3">
      <w:pPr>
        <w:pStyle w:val="Point2"/>
        <w:spacing w:before="0" w:after="240" w:line="240" w:lineRule="auto"/>
      </w:pPr>
      <w:r w:rsidRPr="00B64FEA">
        <w:t>a)</w:t>
      </w:r>
      <w:r w:rsidRPr="00B64FEA">
        <w:tab/>
        <w:t>помощ за реагиране при извънредни ситуации в резултат на големи бедствия, попадащи в приложното поле на фонд „Солидарност“ на Европейския съюз, чиито цели и обхват са определени в Регламент (ЕО) № 2012/2002 на Съвета* („Европейски резерв за солидарност“); и</w:t>
      </w:r>
    </w:p>
    <w:p w:rsidR="00F638B3" w:rsidRPr="00B64FEA" w:rsidRDefault="00F638B3" w:rsidP="00F638B3">
      <w:pPr>
        <w:pStyle w:val="Point2"/>
        <w:spacing w:before="0" w:after="240" w:line="240" w:lineRule="auto"/>
      </w:pPr>
      <w:r w:rsidRPr="00B64FEA">
        <w:br w:type="page"/>
      </w:r>
      <w:r w:rsidRPr="00B64FEA">
        <w:lastRenderedPageBreak/>
        <w:t>б)</w:t>
      </w:r>
      <w:r w:rsidRPr="00B64FEA">
        <w:tab/>
        <w:t>бърз отговор при определени спешни нужди в Съюза или в трети държави вследствие на събития, които не са могли да бъдат предвидени в момента на изготвянето на бюджета, по-специално операции за спешна реакция и подкрепа след природни бедствия, които не са обхванати от буква а), причинени от човека бедствия, хуманитарни кризи в случай на мащабни заплахи за общественото здраве, здравето на животните или на растенията, както и в ситуации на особен натиск върху външните граници на Съюза в резултат на миграционни потоци, когато обстоятелствата го налагат („Резерв за спешна помощ“).</w:t>
      </w:r>
    </w:p>
    <w:p w:rsidR="00F638B3" w:rsidRPr="00B64FEA" w:rsidRDefault="00F638B3" w:rsidP="00F638B3">
      <w:pPr>
        <w:pStyle w:val="Point1"/>
        <w:spacing w:before="0" w:after="240" w:line="240" w:lineRule="auto"/>
      </w:pPr>
      <w:r w:rsidRPr="00B64FEA">
        <w:t>2.</w:t>
      </w:r>
      <w:r w:rsidRPr="00B64FEA">
        <w:tab/>
        <w:t>Европейският резерв за солидарност не надхвърля максимална годишна сума от 1 016 милиона евро (по цени от 2018 г.). Неусвоената през годината n част от годишната сума може да се усвои до годината n+1. Частта от годишната сума, произтичаща от предходната година, се използва първа. Всяка част от годишната сума от година n, която не е усвоена през година n+1, не може да се пренася повече.</w:t>
      </w:r>
    </w:p>
    <w:p w:rsidR="00F638B3" w:rsidRPr="00B64FEA" w:rsidRDefault="00F638B3" w:rsidP="00F638B3">
      <w:pPr>
        <w:pStyle w:val="Text2"/>
        <w:spacing w:before="0" w:after="240" w:line="240" w:lineRule="auto"/>
      </w:pPr>
      <w:r w:rsidRPr="00B64FEA">
        <w:t>На 1 октомври всяка година най-малко една четвърт от годишната сума за Европейския резерв за солидарност остава на разположение, за да покрие възникващите нужди до края на същата година.</w:t>
      </w:r>
    </w:p>
    <w:p w:rsidR="00F638B3" w:rsidRPr="00B64FEA" w:rsidRDefault="00F638B3" w:rsidP="00F638B3">
      <w:pPr>
        <w:pStyle w:val="Text2"/>
        <w:spacing w:before="0" w:after="240" w:line="240" w:lineRule="auto"/>
      </w:pPr>
      <w:r w:rsidRPr="00B64FEA">
        <w:br w:type="page"/>
      </w:r>
      <w:r w:rsidRPr="00B64FEA">
        <w:lastRenderedPageBreak/>
        <w:t>В изключителни случаи и ако оставащите налични финансови средства не са достатъчни да покрият сумите, считани за необходими, през годината на възникване на бедствието, посочено в параграф 1, буква а), Комисията може да предложи разликата да се финансира чрез посочените в първата алинея годишни суми, налични за следващата година, до максимален размер от 400 милиона евро (по цени от 2018 г.).</w:t>
      </w:r>
    </w:p>
    <w:p w:rsidR="00F638B3" w:rsidRPr="00B64FEA" w:rsidRDefault="00F638B3" w:rsidP="00F638B3">
      <w:pPr>
        <w:pStyle w:val="Point1"/>
        <w:spacing w:before="0" w:after="240" w:line="240" w:lineRule="auto"/>
      </w:pPr>
      <w:r w:rsidRPr="00B64FEA">
        <w:t>3.</w:t>
      </w:r>
      <w:r w:rsidRPr="00B64FEA">
        <w:tab/>
        <w:t>Резервът за спешна помощ не надхвърля максимална годишна сума от 508 милиона евро (по цени от 2018 г.). Неусвоената през годината n част от годишната сума може да се усвои до годината n+1. Частта от годишната сума, произтичаща от предходната година, се използва първа. Всяка част от годишната сума от година n, която не е усвоена през година n+1, не може да се пренася повече.</w:t>
      </w:r>
    </w:p>
    <w:p w:rsidR="00F638B3" w:rsidRPr="00B64FEA" w:rsidRDefault="00F638B3" w:rsidP="00F638B3">
      <w:pPr>
        <w:pStyle w:val="Point1"/>
        <w:spacing w:before="0" w:after="240" w:line="240" w:lineRule="auto"/>
      </w:pPr>
      <w:r w:rsidRPr="00B64FEA">
        <w:t>4.</w:t>
      </w:r>
      <w:r w:rsidRPr="00B64FEA">
        <w:tab/>
        <w:t>Бюджетните кредити за Европейския резерв за солидарност и за Резерва за спешна помощ се вписват в общия бюджет на Съюза като провизии.</w:t>
      </w:r>
    </w:p>
    <w:p w:rsidR="00F638B3" w:rsidRPr="00B64FEA" w:rsidRDefault="00F638B3" w:rsidP="00F638B3">
      <w:pPr>
        <w:pStyle w:val="Text1"/>
        <w:spacing w:before="0" w:after="240" w:line="240" w:lineRule="auto"/>
      </w:pPr>
      <w:r w:rsidRPr="00B64FEA">
        <w:t>________________</w:t>
      </w:r>
    </w:p>
    <w:p w:rsidR="00F638B3" w:rsidRPr="00B64FEA" w:rsidRDefault="00F638B3" w:rsidP="00F638B3">
      <w:pPr>
        <w:pStyle w:val="Point1"/>
        <w:spacing w:before="0" w:after="240" w:line="240" w:lineRule="auto"/>
        <w:ind w:left="1418"/>
      </w:pPr>
      <w:r w:rsidRPr="00B64FEA">
        <w:rPr>
          <w:b/>
          <w:vertAlign w:val="superscript"/>
        </w:rPr>
        <w:t>*</w:t>
      </w:r>
      <w:r w:rsidRPr="00B64FEA">
        <w:tab/>
        <w:t>Регламент (ЕС) 2021/691 на Европейския парламент и на Съвета от 28 април 2021 г. относно Европейския фонд за приспособяване към глобализацията за съкратени работници (ЕФПГ) и за отмяна на Регламент (ЕС) № 1309/2013, ОВ L 153, 3.5.2021 г., стр. 48.</w:t>
      </w:r>
    </w:p>
    <w:p w:rsidR="00F638B3" w:rsidRPr="00B64FEA" w:rsidRDefault="00F638B3" w:rsidP="00F638B3">
      <w:pPr>
        <w:pStyle w:val="Point1"/>
        <w:spacing w:before="0" w:after="240" w:line="240" w:lineRule="auto"/>
        <w:ind w:left="1418"/>
      </w:pPr>
      <w:r w:rsidRPr="00B64FEA">
        <w:rPr>
          <w:b/>
          <w:vertAlign w:val="superscript"/>
        </w:rPr>
        <w:t>**</w:t>
      </w:r>
      <w:r w:rsidRPr="00B64FEA">
        <w:tab/>
        <w:t>Регламент (ЕО) № 2012/2002 на Съвета от 11 ноември 2002 г. за създаване на фонд „Солидарност“ на Европейския съюз (ОВ L 311, 14.11.2002 г., стр. 3).“;</w:t>
      </w:r>
    </w:p>
    <w:p w:rsidR="00F638B3" w:rsidRPr="00B64FEA" w:rsidRDefault="00F638B3" w:rsidP="00F638B3">
      <w:pPr>
        <w:pStyle w:val="Point0"/>
        <w:spacing w:before="0" w:after="240" w:line="240" w:lineRule="auto"/>
      </w:pPr>
      <w:r w:rsidRPr="00B64FEA">
        <w:t>(5)</w:t>
      </w:r>
      <w:r w:rsidRPr="00B64FEA">
        <w:tab/>
        <w:t>В член 10 параграф 2 се заменя със следното:</w:t>
      </w:r>
    </w:p>
    <w:p w:rsidR="00F638B3" w:rsidRPr="00B64FEA" w:rsidRDefault="00F638B3" w:rsidP="00F638B3">
      <w:pPr>
        <w:pStyle w:val="Point1"/>
        <w:spacing w:before="0" w:after="240" w:line="240" w:lineRule="auto"/>
      </w:pPr>
      <w:r w:rsidRPr="00B64FEA">
        <w:t>,,2.</w:t>
      </w:r>
      <w:r w:rsidRPr="00B64FEA">
        <w:tab/>
        <w:t xml:space="preserve">Резервът за приспособяване във връзка с последиците от </w:t>
      </w:r>
      <w:proofErr w:type="spellStart"/>
      <w:r w:rsidRPr="00B64FEA">
        <w:t>Брексит</w:t>
      </w:r>
      <w:proofErr w:type="spellEnd"/>
      <w:r w:rsidRPr="00B64FEA">
        <w:t xml:space="preserve"> не надхвърля сумата от 4 491 милиона евро (по цени от 2018 г.).“;</w:t>
      </w:r>
    </w:p>
    <w:p w:rsidR="00F638B3" w:rsidRPr="00B64FEA" w:rsidRDefault="00F638B3" w:rsidP="00F638B3">
      <w:pPr>
        <w:pStyle w:val="Point0"/>
        <w:spacing w:before="0" w:after="240" w:line="240" w:lineRule="auto"/>
      </w:pPr>
      <w:r w:rsidRPr="00B64FEA">
        <w:br w:type="page"/>
      </w:r>
      <w:r w:rsidRPr="00B64FEA">
        <w:lastRenderedPageBreak/>
        <w:t>(6)</w:t>
      </w:r>
      <w:r w:rsidRPr="00B64FEA">
        <w:tab/>
        <w:t>вмъкват се следните членове:</w:t>
      </w:r>
    </w:p>
    <w:p w:rsidR="00F638B3" w:rsidRPr="00B64FEA" w:rsidRDefault="00F638B3" w:rsidP="00F638B3">
      <w:pPr>
        <w:pStyle w:val="Text1"/>
        <w:spacing w:before="0" w:after="240" w:line="240" w:lineRule="auto"/>
      </w:pPr>
      <w:r w:rsidRPr="00B64FEA">
        <w:rPr>
          <w:i/>
          <w:iCs/>
        </w:rPr>
        <w:t xml:space="preserve">„Член 10a </w:t>
      </w:r>
      <w:r w:rsidRPr="00B64FEA">
        <w:rPr>
          <w:i/>
          <w:iCs/>
        </w:rPr>
        <w:br/>
        <w:t>Инструмент EURI</w:t>
      </w:r>
    </w:p>
    <w:p w:rsidR="00F638B3" w:rsidRPr="00B64FEA" w:rsidRDefault="00F638B3" w:rsidP="00F638B3">
      <w:pPr>
        <w:pStyle w:val="Point1"/>
        <w:spacing w:before="0" w:after="240" w:line="240" w:lineRule="auto"/>
      </w:pPr>
      <w:r w:rsidRPr="00B64FEA">
        <w:t>1.</w:t>
      </w:r>
      <w:r w:rsidRPr="00B64FEA">
        <w:tab/>
        <w:t>Считано от 2025 г., инструментът EURI може да се използва за финансиране за дадена година на част от разходите за лихвени и купонни плащания, дължими по отношение на заетите на капиталовите пазари средства в съответствие с член 5, параграф 2 от Решение (ЕС, Евратом) 2020/2053 на Съвета*. Инструментът EURI може да бъде мобилизиран само през дадена година за покриване до степента, посочена в следващите параграфи, на размера на тези разходи, надвишаващи следните суми (по цени от 2018 г.):</w:t>
      </w:r>
    </w:p>
    <w:p w:rsidR="00F638B3" w:rsidRPr="00B64FEA" w:rsidRDefault="00F638B3" w:rsidP="00F638B3">
      <w:pPr>
        <w:pStyle w:val="Tiret2"/>
        <w:numPr>
          <w:ilvl w:val="0"/>
          <w:numId w:val="0"/>
        </w:numPr>
        <w:tabs>
          <w:tab w:val="left" w:pos="1984"/>
        </w:tabs>
        <w:spacing w:before="0" w:after="240" w:line="240" w:lineRule="auto"/>
        <w:ind w:left="1984" w:hanging="567"/>
      </w:pPr>
      <w:r w:rsidRPr="00B64FEA">
        <w:rPr>
          <w:bdr w:val="none" w:sz="0" w:space="0" w:color="auto" w:frame="1"/>
        </w:rPr>
        <w:t>–</w:t>
      </w:r>
      <w:r w:rsidRPr="00B64FEA">
        <w:rPr>
          <w:bdr w:val="none" w:sz="0" w:space="0" w:color="auto" w:frame="1"/>
        </w:rPr>
        <w:tab/>
      </w:r>
      <w:r w:rsidRPr="00B64FEA">
        <w:t>2025 г. — 2 332 милиона евро,</w:t>
      </w:r>
    </w:p>
    <w:p w:rsidR="00F638B3" w:rsidRPr="00B64FEA" w:rsidRDefault="00F638B3" w:rsidP="00F638B3">
      <w:pPr>
        <w:pStyle w:val="Tiret2"/>
        <w:numPr>
          <w:ilvl w:val="0"/>
          <w:numId w:val="0"/>
        </w:numPr>
        <w:tabs>
          <w:tab w:val="left" w:pos="1984"/>
        </w:tabs>
        <w:spacing w:before="0" w:after="240" w:line="240" w:lineRule="auto"/>
        <w:ind w:left="1984" w:hanging="567"/>
      </w:pPr>
      <w:r w:rsidRPr="00B64FEA">
        <w:rPr>
          <w:bdr w:val="none" w:sz="0" w:space="0" w:color="auto" w:frame="1"/>
        </w:rPr>
        <w:t>–</w:t>
      </w:r>
      <w:r w:rsidRPr="00B64FEA">
        <w:rPr>
          <w:bdr w:val="none" w:sz="0" w:space="0" w:color="auto" w:frame="1"/>
        </w:rPr>
        <w:tab/>
      </w:r>
      <w:r w:rsidRPr="00B64FEA">
        <w:t>2026 г. — 3 196 милиона евро,</w:t>
      </w:r>
    </w:p>
    <w:p w:rsidR="00F638B3" w:rsidRPr="00B64FEA" w:rsidRDefault="00F638B3" w:rsidP="00F638B3">
      <w:pPr>
        <w:pStyle w:val="Tiret2"/>
        <w:numPr>
          <w:ilvl w:val="0"/>
          <w:numId w:val="0"/>
        </w:numPr>
        <w:tabs>
          <w:tab w:val="left" w:pos="1984"/>
        </w:tabs>
        <w:spacing w:before="0" w:after="240" w:line="240" w:lineRule="auto"/>
        <w:ind w:left="1984" w:hanging="567"/>
      </w:pPr>
      <w:r w:rsidRPr="00B64FEA">
        <w:rPr>
          <w:bdr w:val="none" w:sz="0" w:space="0" w:color="auto" w:frame="1"/>
        </w:rPr>
        <w:t>–</w:t>
      </w:r>
      <w:r w:rsidRPr="00B64FEA">
        <w:rPr>
          <w:bdr w:val="none" w:sz="0" w:space="0" w:color="auto" w:frame="1"/>
        </w:rPr>
        <w:tab/>
      </w:r>
      <w:r w:rsidRPr="00B64FEA">
        <w:t>2027 г. — 4 168 милиона евро.</w:t>
      </w:r>
    </w:p>
    <w:p w:rsidR="00F638B3" w:rsidRPr="00B64FEA" w:rsidRDefault="00F638B3" w:rsidP="00F638B3">
      <w:pPr>
        <w:pStyle w:val="Point1"/>
        <w:spacing w:before="0" w:after="240" w:line="240" w:lineRule="auto"/>
      </w:pPr>
      <w:r w:rsidRPr="00B64FEA">
        <w:t>2.</w:t>
      </w:r>
      <w:r w:rsidRPr="00B64FEA">
        <w:tab/>
        <w:t xml:space="preserve">Инструментът EURI може да бъде мобилизиран от Европейския парламент и Съвета в рамките на бюджетната процедура, предвидена в член 314 от ДФЕС, само след като са били потърсени други начини за финансиране с цел покриване на значителна част от сумите, надхвърлящи сумите, посочени в параграф 1 от настоящия член, </w:t>
      </w:r>
      <w:bookmarkStart w:id="9" w:name="_Hlk155701821"/>
      <w:r w:rsidRPr="00B64FEA">
        <w:t>в съответствие с приложимите секторни правила и други правни задължения, като същевременно се вземат предвид приоритетите</w:t>
      </w:r>
      <w:bookmarkEnd w:id="9"/>
      <w:r w:rsidRPr="00B64FEA">
        <w:t>, разумното бюджетиране и доброто финансово управление.</w:t>
      </w:r>
    </w:p>
    <w:p w:rsidR="00F638B3" w:rsidRPr="00B64FEA" w:rsidRDefault="00F638B3" w:rsidP="00F638B3">
      <w:pPr>
        <w:pStyle w:val="Text2"/>
        <w:spacing w:before="0" w:after="240" w:line="240" w:lineRule="auto"/>
      </w:pPr>
      <w:r w:rsidRPr="00B64FEA">
        <w:br w:type="page"/>
      </w:r>
      <w:r w:rsidRPr="00B64FEA">
        <w:lastRenderedPageBreak/>
        <w:t>Бюджетните кредити за инструмента EURI се предоставят над таваните на МФР.</w:t>
      </w:r>
    </w:p>
    <w:p w:rsidR="00F638B3" w:rsidRPr="00B64FEA" w:rsidRDefault="00F638B3" w:rsidP="00F638B3">
      <w:pPr>
        <w:pStyle w:val="Point1"/>
        <w:spacing w:before="0" w:after="240" w:line="240" w:lineRule="auto"/>
      </w:pPr>
      <w:r w:rsidRPr="00B64FEA">
        <w:t>3.</w:t>
      </w:r>
      <w:r w:rsidRPr="00B64FEA">
        <w:tab/>
        <w:t>Инструментът EURI се състои от следното:</w:t>
      </w:r>
    </w:p>
    <w:p w:rsidR="00F638B3" w:rsidRPr="00B64FEA" w:rsidRDefault="00F638B3" w:rsidP="00F638B3">
      <w:pPr>
        <w:pStyle w:val="Point2"/>
        <w:spacing w:before="0" w:after="240" w:line="240" w:lineRule="auto"/>
      </w:pPr>
      <w:r w:rsidRPr="00B64FEA">
        <w:t>a)</w:t>
      </w:r>
      <w:r w:rsidRPr="00B64FEA">
        <w:tab/>
        <w:t>сума, равна на отменените бюджетни кредити, различни от външни целеви приходи, направени кумулативно от 2021 г. насам, които не са били мобилизирани по този инструмент през предходните години, с изключение на сумите на отменените бюджетни кредити, предоставени отново в съответствие с разпоредбите на член 15 от Финансовия регламент и специалните правила за повторно предоставяне на бюджетни кредити, както е посочено в съответните основни актове. Тази сума се усвоява първо;</w:t>
      </w:r>
    </w:p>
    <w:p w:rsidR="00F638B3" w:rsidRPr="00B64FEA" w:rsidRDefault="00F638B3" w:rsidP="00F638B3">
      <w:pPr>
        <w:pStyle w:val="Point2"/>
        <w:spacing w:before="0" w:after="240" w:line="240" w:lineRule="auto"/>
      </w:pPr>
      <w:r w:rsidRPr="00B64FEA">
        <w:t>б)</w:t>
      </w:r>
      <w:r w:rsidRPr="00B64FEA">
        <w:tab/>
        <w:t>само ако сумата по буква а) от настоящия параграф е недостатъчна — допълнителна сума, необходима за пълно финансиране на разходите, посочени в параграф 1, през съответната година.</w:t>
      </w:r>
    </w:p>
    <w:p w:rsidR="00F638B3" w:rsidRPr="00B64FEA" w:rsidRDefault="00F638B3" w:rsidP="00F638B3">
      <w:pPr>
        <w:pStyle w:val="Text2"/>
        <w:spacing w:before="0" w:after="240" w:line="240" w:lineRule="auto"/>
      </w:pPr>
      <w:r w:rsidRPr="00B64FEA">
        <w:t>Всяка година, като част от техническите корекции, посочени в член 4, Комисията изчислява наличната сума въз основа на първа алинея, буква а), като взема предвид сумите, предвидени за тази цел през предходните години.</w:t>
      </w:r>
    </w:p>
    <w:p w:rsidR="00F638B3" w:rsidRPr="00B64FEA" w:rsidRDefault="00F638B3" w:rsidP="00F638B3">
      <w:pPr>
        <w:pStyle w:val="Text1"/>
        <w:spacing w:before="0" w:after="240" w:line="240" w:lineRule="auto"/>
        <w:rPr>
          <w:i/>
          <w:iCs/>
        </w:rPr>
      </w:pPr>
      <w:r w:rsidRPr="00B64FEA">
        <w:br w:type="page"/>
      </w:r>
      <w:r w:rsidRPr="00B64FEA">
        <w:rPr>
          <w:i/>
        </w:rPr>
        <w:lastRenderedPageBreak/>
        <w:t xml:space="preserve">Член 10б </w:t>
      </w:r>
      <w:r w:rsidRPr="00B64FEA">
        <w:rPr>
          <w:i/>
        </w:rPr>
        <w:br/>
        <w:t>Резерв за Украйна</w:t>
      </w:r>
    </w:p>
    <w:p w:rsidR="00F638B3" w:rsidRPr="00B64FEA" w:rsidRDefault="00F638B3" w:rsidP="00F638B3">
      <w:pPr>
        <w:pStyle w:val="Point1"/>
        <w:spacing w:before="0" w:after="240" w:line="240" w:lineRule="auto"/>
      </w:pPr>
      <w:r w:rsidRPr="00B64FEA">
        <w:t>1.</w:t>
      </w:r>
      <w:r w:rsidRPr="00B64FEA">
        <w:tab/>
        <w:t xml:space="preserve">Резервът за Украйна може да бъде мобилизиран единствено с цел финансиране на разходи съгласно Регламент (ЕС) 2024/... </w:t>
      </w:r>
      <w:r w:rsidRPr="00B64FEA">
        <w:rPr>
          <w:rStyle w:val="FootnoteReference"/>
        </w:rPr>
        <w:footnoteReference w:customMarkFollows="1" w:id="11"/>
        <w:t>+</w:t>
      </w:r>
      <w:r w:rsidRPr="00B64FEA">
        <w:t>.</w:t>
      </w:r>
    </w:p>
    <w:p w:rsidR="00F638B3" w:rsidRPr="00B64FEA" w:rsidRDefault="00F638B3" w:rsidP="00F638B3">
      <w:pPr>
        <w:pStyle w:val="Point1"/>
        <w:spacing w:before="0" w:after="240" w:line="240" w:lineRule="auto"/>
      </w:pPr>
      <w:r w:rsidRPr="00B64FEA">
        <w:t>2.</w:t>
      </w:r>
      <w:r w:rsidRPr="00B64FEA">
        <w:tab/>
        <w:t>Резервът за Украйна не може да надвишава сумата от 17 000 милиона евро по текущи цени за периода 2024—2027 г.</w:t>
      </w:r>
    </w:p>
    <w:p w:rsidR="00F638B3" w:rsidRPr="00B64FEA" w:rsidRDefault="00F638B3" w:rsidP="00F638B3">
      <w:pPr>
        <w:pStyle w:val="Point1"/>
        <w:spacing w:before="0" w:after="240" w:line="240" w:lineRule="auto"/>
      </w:pPr>
      <w:r w:rsidRPr="00B64FEA">
        <w:t>3.</w:t>
      </w:r>
      <w:r w:rsidRPr="00B64FEA">
        <w:tab/>
        <w:t>Годишната сума, мобилизирана в рамките на резерва за Украйна през дадена година, не може да надвишава 5 000 милиона евро по текущи цени. Без да се засяга общата сума, посочена в параграф 2, неизползваната част от годишната сума за дадена година може да бъде използвана през следващите години до 2027 г.</w:t>
      </w:r>
    </w:p>
    <w:p w:rsidR="00F638B3" w:rsidRPr="00B64FEA" w:rsidRDefault="00F638B3" w:rsidP="00F638B3">
      <w:pPr>
        <w:pStyle w:val="Point1"/>
        <w:spacing w:before="0" w:after="240" w:line="240" w:lineRule="auto"/>
      </w:pPr>
      <w:r w:rsidRPr="00B64FEA">
        <w:t>4.</w:t>
      </w:r>
      <w:r w:rsidRPr="00B64FEA">
        <w:tab/>
        <w:t>Резервът за Украйна може да бъде мобилизиран от Европейския парламент и Съвета в рамките на бюджетната процедура, предвидена в член 314 от ДФЕС.</w:t>
      </w:r>
    </w:p>
    <w:p w:rsidR="00F638B3" w:rsidRPr="00B64FEA" w:rsidRDefault="00F638B3" w:rsidP="00F638B3">
      <w:pPr>
        <w:pStyle w:val="Text1"/>
        <w:spacing w:before="0" w:after="240" w:line="240" w:lineRule="auto"/>
      </w:pPr>
      <w:r w:rsidRPr="00B64FEA">
        <w:t>________________</w:t>
      </w:r>
    </w:p>
    <w:p w:rsidR="00F638B3" w:rsidRPr="00B64FEA" w:rsidRDefault="00F638B3" w:rsidP="00F638B3">
      <w:pPr>
        <w:pStyle w:val="Point1"/>
        <w:spacing w:before="0" w:after="240" w:line="240" w:lineRule="auto"/>
        <w:ind w:left="1418"/>
      </w:pPr>
      <w:r w:rsidRPr="00B64FEA">
        <w:rPr>
          <w:b/>
          <w:vertAlign w:val="superscript"/>
        </w:rPr>
        <w:t>*</w:t>
      </w:r>
      <w:r w:rsidRPr="00B64FEA">
        <w:tab/>
        <w:t>Решение (ЕС, Евратом) 2020/2053 на Съвета от 14 декември 2020 г. относно системата на собствените ресурси на Европейския съюз и за отмяна на Решение 201</w:t>
      </w:r>
      <w:r w:rsidR="00793599">
        <w:t>4/335/ЕС, Евратом (OВ L 424, 15.12.</w:t>
      </w:r>
      <w:r w:rsidRPr="00B64FEA">
        <w:t xml:space="preserve">2020 г., </w:t>
      </w:r>
      <w:proofErr w:type="spellStart"/>
      <w:r w:rsidRPr="00B64FEA">
        <w:t>стр</w:t>
      </w:r>
      <w:proofErr w:type="spellEnd"/>
      <w:r w:rsidR="00732E69">
        <w:rPr>
          <w:lang w:val="sk-SK"/>
        </w:rPr>
        <w:t>.</w:t>
      </w:r>
      <w:bookmarkStart w:id="10" w:name="_GoBack"/>
      <w:bookmarkEnd w:id="10"/>
      <w:r w:rsidRPr="00B64FEA">
        <w:t xml:space="preserve"> 1).“;</w:t>
      </w:r>
    </w:p>
    <w:p w:rsidR="00F638B3" w:rsidRPr="00B64FEA" w:rsidRDefault="00F638B3" w:rsidP="00F638B3">
      <w:pPr>
        <w:pStyle w:val="Point0"/>
        <w:spacing w:before="0" w:after="240" w:line="240" w:lineRule="auto"/>
      </w:pPr>
      <w:r w:rsidRPr="00B64FEA">
        <w:br w:type="page"/>
      </w:r>
      <w:r w:rsidRPr="00B64FEA">
        <w:lastRenderedPageBreak/>
        <w:t>(7)</w:t>
      </w:r>
      <w:r w:rsidRPr="00B64FEA">
        <w:tab/>
        <w:t>в член 11 се вмъква следният параграф:</w:t>
      </w:r>
    </w:p>
    <w:p w:rsidR="00F638B3" w:rsidRPr="00B64FEA" w:rsidRDefault="00F638B3" w:rsidP="00F638B3">
      <w:pPr>
        <w:pStyle w:val="Point1"/>
        <w:spacing w:before="0" w:after="240" w:line="240" w:lineRule="auto"/>
      </w:pPr>
      <w:r w:rsidRPr="00B64FEA">
        <w:t>„3а.</w:t>
      </w:r>
      <w:r w:rsidRPr="00B64FEA">
        <w:tab/>
        <w:t>Максималната сума за годишната корекция, посочена в параграф 3 от настоящия член, за 2026 г., увеличена със сумата, посочена в член 5, параграф 2, втора алинея, се коригира със сума, равна на неизползваната част от максималната сума за 2025 г.“</w:t>
      </w:r>
    </w:p>
    <w:p w:rsidR="00F638B3" w:rsidRPr="00B64FEA" w:rsidRDefault="00F638B3" w:rsidP="00F638B3">
      <w:pPr>
        <w:pStyle w:val="Point0"/>
        <w:spacing w:before="0" w:after="240" w:line="240" w:lineRule="auto"/>
      </w:pPr>
      <w:r w:rsidRPr="00B64FEA">
        <w:t>(8)</w:t>
      </w:r>
      <w:r w:rsidRPr="00B64FEA">
        <w:tab/>
        <w:t>Член 12 се заменя със следното:</w:t>
      </w:r>
    </w:p>
    <w:p w:rsidR="00F638B3" w:rsidRPr="00B64FEA" w:rsidRDefault="00F638B3" w:rsidP="00F638B3">
      <w:pPr>
        <w:pStyle w:val="Text1"/>
        <w:spacing w:before="0" w:after="240" w:line="240" w:lineRule="auto"/>
      </w:pPr>
      <w:r w:rsidRPr="00B64FEA">
        <w:rPr>
          <w:i/>
          <w:iCs/>
        </w:rPr>
        <w:t xml:space="preserve">„Член 12 </w:t>
      </w:r>
      <w:r w:rsidRPr="00B64FEA">
        <w:rPr>
          <w:i/>
          <w:iCs/>
        </w:rPr>
        <w:br/>
        <w:t>Инструмент за гъвкавост</w:t>
      </w:r>
    </w:p>
    <w:p w:rsidR="00F638B3" w:rsidRPr="00B64FEA" w:rsidRDefault="00F638B3" w:rsidP="00F638B3">
      <w:pPr>
        <w:pStyle w:val="Point1"/>
        <w:spacing w:before="0" w:after="240" w:line="240" w:lineRule="auto"/>
      </w:pPr>
      <w:r w:rsidRPr="00B64FEA">
        <w:t>1.</w:t>
      </w:r>
      <w:r w:rsidRPr="00B64FEA">
        <w:tab/>
        <w:t>Инструментът за гъвкавост може да се използва за финансиране, за дадена финансова година, на определени непредвидени разходи под формата на бюджетни кредити за поети задължения и съответстващите им бюджетни кредити за плащания, които не могат да бъдат финансирани в рамките на наличните тавани за една или повече други функции. Таванът за годишната сума, предоставена за Инструмента за гъвкавост за годините 2021—2023, е 915 милиона евро (по цени от 2018 г.). Таванът за годишната сума, предоставена за Инструмента за гъвкавост за годините 2024—2027, е 1 346 милиона евро (по цени от 2018 г.).</w:t>
      </w:r>
    </w:p>
    <w:p w:rsidR="00F638B3" w:rsidRPr="00B64FEA" w:rsidRDefault="00F638B3" w:rsidP="00F638B3">
      <w:pPr>
        <w:pStyle w:val="Text2"/>
        <w:spacing w:before="0" w:after="240" w:line="240" w:lineRule="auto"/>
      </w:pPr>
      <w:r w:rsidRPr="00B64FEA">
        <w:t>Всяка година наличната годишна сума за Инструмента за гъвкавост се увеличава със сума, равна на частите от годишните суми за Европейския резерв за солидарност и Резерва за спешна помощ, които не могат да се пренасят повече през предходната година в съответствие с член 9.</w:t>
      </w:r>
    </w:p>
    <w:p w:rsidR="00F638B3" w:rsidRPr="00B64FEA" w:rsidRDefault="00F638B3" w:rsidP="00F638B3">
      <w:pPr>
        <w:pStyle w:val="Point1"/>
        <w:spacing w:before="0" w:after="240" w:line="240" w:lineRule="auto"/>
      </w:pPr>
      <w:r w:rsidRPr="00B64FEA">
        <w:br w:type="page"/>
      </w:r>
      <w:r w:rsidRPr="00B64FEA">
        <w:lastRenderedPageBreak/>
        <w:t>2.</w:t>
      </w:r>
      <w:r w:rsidRPr="00B64FEA">
        <w:tab/>
        <w:t>Неусвоената част от годишната сума на Инструмента за гъвкавост може да се усвои до година n+2. Всяка част от годишната сума, останала от предходни години, се усвоява първо, като се започва от най-старата. Всяка част от годишната сума от година n, която не бъде усвоена до година n+2, не може да се пренася повече.“;</w:t>
      </w:r>
    </w:p>
    <w:p w:rsidR="00F638B3" w:rsidRPr="00B64FEA" w:rsidRDefault="00F638B3" w:rsidP="00F638B3">
      <w:pPr>
        <w:pStyle w:val="Point0"/>
        <w:spacing w:before="0" w:after="240" w:line="240" w:lineRule="auto"/>
      </w:pPr>
      <w:r w:rsidRPr="00B64FEA">
        <w:t>(9)</w:t>
      </w:r>
      <w:r w:rsidRPr="00B64FEA">
        <w:tab/>
        <w:t>Приложения I и II се заменят с текста в приложението към настоящия регламент.</w:t>
      </w:r>
    </w:p>
    <w:p w:rsidR="00F638B3" w:rsidRPr="00B64FEA" w:rsidRDefault="00F638B3" w:rsidP="00F638B3">
      <w:pPr>
        <w:pStyle w:val="Titrearticle"/>
        <w:spacing w:before="0" w:after="240" w:line="240" w:lineRule="auto"/>
      </w:pPr>
      <w:r w:rsidRPr="00B64FEA">
        <w:t>Член 2</w:t>
      </w:r>
    </w:p>
    <w:p w:rsidR="00F638B3" w:rsidRPr="00B64FEA" w:rsidRDefault="00F638B3" w:rsidP="00F638B3">
      <w:pPr>
        <w:spacing w:after="240"/>
      </w:pPr>
      <w:r w:rsidRPr="00B64FEA">
        <w:t>Настоящият регламент влиза в сила в деня на публикуването му в Официален вестник на Европейския съюз.</w:t>
      </w:r>
    </w:p>
    <w:p w:rsidR="00F638B3" w:rsidRPr="00B64FEA" w:rsidRDefault="00F638B3" w:rsidP="00F638B3">
      <w:pPr>
        <w:spacing w:after="240"/>
      </w:pPr>
      <w:r w:rsidRPr="00B64FEA">
        <w:t>Прилага се от 1 януари 2024 г.</w:t>
      </w:r>
    </w:p>
    <w:p w:rsidR="00F638B3" w:rsidRPr="00B64FEA" w:rsidRDefault="00F638B3" w:rsidP="00F638B3">
      <w:pPr>
        <w:pStyle w:val="Applicationdirecte"/>
        <w:spacing w:before="0" w:after="240" w:line="240" w:lineRule="auto"/>
      </w:pPr>
      <w:r w:rsidRPr="00B64FEA">
        <w:t>Настоящият регламент е задължителен в своята цялост и се прилага пряко във всички държави членки.</w:t>
      </w:r>
    </w:p>
    <w:p w:rsidR="00F638B3" w:rsidRPr="00B64FEA" w:rsidRDefault="00F638B3" w:rsidP="00F638B3">
      <w:pPr>
        <w:pStyle w:val="Fait"/>
        <w:spacing w:before="0" w:after="240" w:line="240" w:lineRule="auto"/>
      </w:pPr>
      <w:r w:rsidRPr="00B64FEA">
        <w:t>Съставено в...,</w:t>
      </w:r>
    </w:p>
    <w:p w:rsidR="00F638B3" w:rsidRPr="00B64FEA" w:rsidRDefault="00F638B3" w:rsidP="00F638B3">
      <w:pPr>
        <w:pStyle w:val="Institutionquisigne"/>
        <w:spacing w:before="0" w:after="240" w:line="240" w:lineRule="auto"/>
      </w:pPr>
      <w:r w:rsidRPr="00B64FEA">
        <w:tab/>
        <w:t>За Съвета</w:t>
      </w:r>
    </w:p>
    <w:p w:rsidR="00F638B3" w:rsidRPr="00B64FEA" w:rsidRDefault="00F638B3" w:rsidP="00F638B3">
      <w:pPr>
        <w:pStyle w:val="Personnequisigne"/>
        <w:spacing w:after="240" w:line="240" w:lineRule="auto"/>
      </w:pPr>
      <w:r w:rsidRPr="00B64FEA">
        <w:tab/>
        <w:t>Председател</w:t>
      </w:r>
    </w:p>
    <w:p w:rsidR="00F638B3" w:rsidRPr="00B64FEA" w:rsidRDefault="00F638B3" w:rsidP="00F638B3">
      <w:pPr>
        <w:pStyle w:val="Lignefinal"/>
      </w:pPr>
    </w:p>
    <w:p w:rsidR="00F638B3" w:rsidRPr="00B64FEA" w:rsidRDefault="00F638B3" w:rsidP="00F638B3"/>
    <w:p w:rsidR="00F638B3" w:rsidRPr="00B64FEA" w:rsidRDefault="00F638B3" w:rsidP="00F638B3">
      <w:pPr>
        <w:sectPr w:rsidR="00F638B3" w:rsidRPr="00B64FEA" w:rsidSect="00B64FEA">
          <w:footnotePr>
            <w:numRestart w:val="eachSect"/>
          </w:footnotePr>
          <w:pgSz w:w="11907" w:h="16839"/>
          <w:pgMar w:top="1134" w:right="1134" w:bottom="1134" w:left="1134" w:header="567" w:footer="567" w:gutter="0"/>
          <w:cols w:space="720"/>
          <w:docGrid w:linePitch="326"/>
        </w:sectPr>
      </w:pPr>
    </w:p>
    <w:p w:rsidR="00F638B3" w:rsidRPr="00B64FEA" w:rsidRDefault="00F638B3" w:rsidP="00F638B3">
      <w:pPr>
        <w:pStyle w:val="Annexetitre"/>
      </w:pPr>
      <w:r w:rsidRPr="00B64FEA">
        <w:lastRenderedPageBreak/>
        <w:t>ПРИЛОЖЕНИЕ</w:t>
      </w:r>
    </w:p>
    <w:p w:rsidR="00F638B3" w:rsidRPr="00B64FEA" w:rsidRDefault="00F638B3" w:rsidP="00F638B3">
      <w:pPr>
        <w:pStyle w:val="NormalCentered"/>
      </w:pPr>
      <w:r w:rsidRPr="00B64FEA">
        <w:t>ПРИЛОЖЕНИЕ I</w:t>
      </w:r>
      <w:r w:rsidRPr="00B64FEA">
        <w:br/>
        <w:t>МНОГОГОДИШНА ФИНАНСОВА РАМКА (ЕС-27)</w:t>
      </w:r>
    </w:p>
    <w:tbl>
      <w:tblPr>
        <w:tblW w:w="5000" w:type="pct"/>
        <w:tblLook w:val="04A0" w:firstRow="1" w:lastRow="0" w:firstColumn="1" w:lastColumn="0" w:noHBand="0" w:noVBand="1"/>
      </w:tblPr>
      <w:tblGrid>
        <w:gridCol w:w="6487"/>
        <w:gridCol w:w="920"/>
        <w:gridCol w:w="920"/>
        <w:gridCol w:w="920"/>
        <w:gridCol w:w="920"/>
        <w:gridCol w:w="920"/>
        <w:gridCol w:w="920"/>
        <w:gridCol w:w="920"/>
        <w:gridCol w:w="1359"/>
      </w:tblGrid>
      <w:tr w:rsidR="00F638B3" w:rsidRPr="00B64FEA" w:rsidTr="00DF045C">
        <w:trPr>
          <w:trHeight w:val="315"/>
          <w:tblHeader/>
        </w:trPr>
        <w:tc>
          <w:tcPr>
            <w:tcW w:w="1983" w:type="pct"/>
            <w:noWrap/>
            <w:vAlign w:val="bottom"/>
            <w:hideMark/>
          </w:tcPr>
          <w:p w:rsidR="00F638B3" w:rsidRPr="00B64FEA" w:rsidRDefault="00F638B3" w:rsidP="002C15D8"/>
        </w:tc>
        <w:tc>
          <w:tcPr>
            <w:tcW w:w="611" w:type="pct"/>
            <w:noWrap/>
            <w:vAlign w:val="bottom"/>
            <w:hideMark/>
          </w:tcPr>
          <w:p w:rsidR="00F638B3" w:rsidRPr="00B64FEA" w:rsidRDefault="00F638B3" w:rsidP="002C15D8">
            <w:pPr>
              <w:spacing w:after="160" w:line="256" w:lineRule="auto"/>
              <w:rPr>
                <w:rFonts w:asciiTheme="minorHAnsi" w:hAnsiTheme="minorHAnsi" w:cstheme="minorBidi"/>
                <w:sz w:val="20"/>
              </w:rPr>
            </w:pPr>
          </w:p>
        </w:tc>
        <w:tc>
          <w:tcPr>
            <w:tcW w:w="316" w:type="pct"/>
            <w:noWrap/>
            <w:vAlign w:val="bottom"/>
            <w:hideMark/>
          </w:tcPr>
          <w:p w:rsidR="00F638B3" w:rsidRPr="00B64FEA" w:rsidRDefault="00F638B3" w:rsidP="002C15D8">
            <w:pPr>
              <w:spacing w:after="160" w:line="256" w:lineRule="auto"/>
              <w:rPr>
                <w:rFonts w:asciiTheme="minorHAnsi" w:hAnsiTheme="minorHAnsi" w:cstheme="minorBidi"/>
                <w:sz w:val="20"/>
              </w:rPr>
            </w:pPr>
          </w:p>
        </w:tc>
        <w:tc>
          <w:tcPr>
            <w:tcW w:w="316" w:type="pct"/>
            <w:noWrap/>
            <w:vAlign w:val="bottom"/>
            <w:hideMark/>
          </w:tcPr>
          <w:p w:rsidR="00F638B3" w:rsidRPr="00B64FEA" w:rsidRDefault="00F638B3" w:rsidP="002C15D8">
            <w:pPr>
              <w:spacing w:after="160" w:line="256" w:lineRule="auto"/>
              <w:rPr>
                <w:rFonts w:asciiTheme="minorHAnsi" w:hAnsiTheme="minorHAnsi" w:cstheme="minorBidi"/>
                <w:sz w:val="20"/>
              </w:rPr>
            </w:pPr>
          </w:p>
        </w:tc>
        <w:tc>
          <w:tcPr>
            <w:tcW w:w="316" w:type="pct"/>
            <w:noWrap/>
            <w:vAlign w:val="bottom"/>
            <w:hideMark/>
          </w:tcPr>
          <w:p w:rsidR="00F638B3" w:rsidRPr="00B64FEA" w:rsidRDefault="00F638B3" w:rsidP="002C15D8">
            <w:pPr>
              <w:spacing w:after="160" w:line="256" w:lineRule="auto"/>
              <w:rPr>
                <w:rFonts w:asciiTheme="minorHAnsi" w:hAnsiTheme="minorHAnsi" w:cstheme="minorBidi"/>
                <w:sz w:val="20"/>
              </w:rPr>
            </w:pPr>
          </w:p>
        </w:tc>
        <w:tc>
          <w:tcPr>
            <w:tcW w:w="316" w:type="pct"/>
            <w:noWrap/>
            <w:vAlign w:val="bottom"/>
            <w:hideMark/>
          </w:tcPr>
          <w:p w:rsidR="00F638B3" w:rsidRPr="00B64FEA" w:rsidRDefault="00F638B3" w:rsidP="002C15D8">
            <w:pPr>
              <w:spacing w:after="160" w:line="256" w:lineRule="auto"/>
              <w:rPr>
                <w:rFonts w:asciiTheme="minorHAnsi" w:hAnsiTheme="minorHAnsi" w:cstheme="minorBidi"/>
                <w:sz w:val="20"/>
              </w:rPr>
            </w:pPr>
          </w:p>
        </w:tc>
        <w:tc>
          <w:tcPr>
            <w:tcW w:w="1141" w:type="pct"/>
            <w:gridSpan w:val="3"/>
            <w:noWrap/>
            <w:vAlign w:val="center"/>
            <w:hideMark/>
          </w:tcPr>
          <w:p w:rsidR="00F638B3" w:rsidRPr="00B64FEA" w:rsidRDefault="00F638B3" w:rsidP="002C15D8">
            <w:pPr>
              <w:spacing w:before="60" w:after="60"/>
              <w:jc w:val="right"/>
              <w:rPr>
                <w:szCs w:val="22"/>
              </w:rPr>
            </w:pPr>
            <w:r w:rsidRPr="00B64FEA">
              <w:t>(млн. евро, по цени от 2018 г.)</w:t>
            </w:r>
          </w:p>
        </w:tc>
      </w:tr>
      <w:tr w:rsidR="00F638B3" w:rsidRPr="00B64FEA" w:rsidTr="00DF045C">
        <w:trPr>
          <w:trHeight w:val="645"/>
          <w:tblHeader/>
        </w:trPr>
        <w:tc>
          <w:tcPr>
            <w:tcW w:w="1983" w:type="pct"/>
            <w:tcBorders>
              <w:top w:val="single" w:sz="8" w:space="0" w:color="auto"/>
              <w:left w:val="single" w:sz="8" w:space="0" w:color="auto"/>
              <w:bottom w:val="single" w:sz="8" w:space="0" w:color="auto"/>
              <w:right w:val="single" w:sz="4" w:space="0" w:color="auto"/>
            </w:tcBorders>
            <w:noWrap/>
            <w:vAlign w:val="center"/>
            <w:hideMark/>
          </w:tcPr>
          <w:p w:rsidR="00F638B3" w:rsidRPr="00B64FEA" w:rsidRDefault="00F638B3" w:rsidP="002C15D8">
            <w:pPr>
              <w:spacing w:before="60" w:after="60"/>
              <w:jc w:val="center"/>
              <w:rPr>
                <w:b/>
                <w:bCs/>
              </w:rPr>
            </w:pPr>
            <w:r w:rsidRPr="00B64FEA">
              <w:rPr>
                <w:b/>
              </w:rPr>
              <w:t>БЮДЖЕТНИ КРЕДИТИ ЗА ПОЕТИ ЗАДЪЛЖЕНИЯ</w:t>
            </w:r>
          </w:p>
        </w:tc>
        <w:tc>
          <w:tcPr>
            <w:tcW w:w="611" w:type="pct"/>
            <w:tcBorders>
              <w:top w:val="single" w:sz="8" w:space="0" w:color="auto"/>
              <w:left w:val="nil"/>
              <w:bottom w:val="single" w:sz="8" w:space="0" w:color="auto"/>
              <w:right w:val="nil"/>
            </w:tcBorders>
            <w:noWrap/>
            <w:vAlign w:val="center"/>
            <w:hideMark/>
          </w:tcPr>
          <w:p w:rsidR="00F638B3" w:rsidRPr="00B64FEA" w:rsidRDefault="00F638B3" w:rsidP="002C15D8">
            <w:pPr>
              <w:spacing w:before="60" w:after="60"/>
              <w:jc w:val="center"/>
              <w:rPr>
                <w:b/>
                <w:bCs/>
              </w:rPr>
            </w:pPr>
            <w:r w:rsidRPr="00B64FEA">
              <w:rPr>
                <w:b/>
              </w:rPr>
              <w:t>2021</w:t>
            </w:r>
          </w:p>
        </w:tc>
        <w:tc>
          <w:tcPr>
            <w:tcW w:w="316" w:type="pct"/>
            <w:tcBorders>
              <w:top w:val="single" w:sz="8" w:space="0" w:color="auto"/>
              <w:left w:val="nil"/>
              <w:bottom w:val="single" w:sz="8" w:space="0" w:color="auto"/>
              <w:right w:val="nil"/>
            </w:tcBorders>
            <w:noWrap/>
            <w:vAlign w:val="center"/>
            <w:hideMark/>
          </w:tcPr>
          <w:p w:rsidR="00F638B3" w:rsidRPr="00B64FEA" w:rsidRDefault="00F638B3" w:rsidP="002C15D8">
            <w:pPr>
              <w:spacing w:before="60" w:after="60"/>
              <w:jc w:val="center"/>
              <w:rPr>
                <w:b/>
                <w:bCs/>
              </w:rPr>
            </w:pPr>
            <w:r w:rsidRPr="00B64FEA">
              <w:rPr>
                <w:b/>
              </w:rPr>
              <w:t>2022</w:t>
            </w:r>
          </w:p>
        </w:tc>
        <w:tc>
          <w:tcPr>
            <w:tcW w:w="316" w:type="pct"/>
            <w:tcBorders>
              <w:top w:val="single" w:sz="8" w:space="0" w:color="auto"/>
              <w:left w:val="nil"/>
              <w:bottom w:val="single" w:sz="8" w:space="0" w:color="auto"/>
              <w:right w:val="nil"/>
            </w:tcBorders>
            <w:noWrap/>
            <w:vAlign w:val="center"/>
            <w:hideMark/>
          </w:tcPr>
          <w:p w:rsidR="00F638B3" w:rsidRPr="00B64FEA" w:rsidRDefault="00F638B3" w:rsidP="002C15D8">
            <w:pPr>
              <w:spacing w:before="60" w:after="60"/>
              <w:jc w:val="center"/>
              <w:rPr>
                <w:b/>
                <w:bCs/>
              </w:rPr>
            </w:pPr>
            <w:r w:rsidRPr="00B64FEA">
              <w:rPr>
                <w:b/>
              </w:rPr>
              <w:t>2023</w:t>
            </w:r>
          </w:p>
        </w:tc>
        <w:tc>
          <w:tcPr>
            <w:tcW w:w="316" w:type="pct"/>
            <w:tcBorders>
              <w:top w:val="single" w:sz="8" w:space="0" w:color="auto"/>
              <w:left w:val="nil"/>
              <w:bottom w:val="single" w:sz="8" w:space="0" w:color="auto"/>
              <w:right w:val="nil"/>
            </w:tcBorders>
            <w:noWrap/>
            <w:vAlign w:val="center"/>
            <w:hideMark/>
          </w:tcPr>
          <w:p w:rsidR="00F638B3" w:rsidRPr="00B64FEA" w:rsidRDefault="00F638B3" w:rsidP="002C15D8">
            <w:pPr>
              <w:spacing w:before="60" w:after="60"/>
              <w:jc w:val="center"/>
              <w:rPr>
                <w:b/>
                <w:bCs/>
              </w:rPr>
            </w:pPr>
            <w:r w:rsidRPr="00B64FEA">
              <w:rPr>
                <w:b/>
              </w:rPr>
              <w:t>2024</w:t>
            </w:r>
          </w:p>
        </w:tc>
        <w:tc>
          <w:tcPr>
            <w:tcW w:w="316" w:type="pct"/>
            <w:tcBorders>
              <w:top w:val="single" w:sz="8" w:space="0" w:color="auto"/>
              <w:left w:val="nil"/>
              <w:bottom w:val="single" w:sz="8" w:space="0" w:color="auto"/>
              <w:right w:val="nil"/>
            </w:tcBorders>
            <w:noWrap/>
            <w:vAlign w:val="center"/>
            <w:hideMark/>
          </w:tcPr>
          <w:p w:rsidR="00F638B3" w:rsidRPr="00B64FEA" w:rsidRDefault="00F638B3" w:rsidP="002C15D8">
            <w:pPr>
              <w:spacing w:before="60" w:after="60"/>
              <w:jc w:val="center"/>
              <w:rPr>
                <w:b/>
                <w:bCs/>
              </w:rPr>
            </w:pPr>
            <w:r w:rsidRPr="00B64FEA">
              <w:rPr>
                <w:b/>
              </w:rPr>
              <w:t>2025</w:t>
            </w:r>
          </w:p>
        </w:tc>
        <w:tc>
          <w:tcPr>
            <w:tcW w:w="316" w:type="pct"/>
            <w:tcBorders>
              <w:top w:val="single" w:sz="8" w:space="0" w:color="auto"/>
              <w:left w:val="nil"/>
              <w:bottom w:val="single" w:sz="8" w:space="0" w:color="auto"/>
              <w:right w:val="nil"/>
            </w:tcBorders>
            <w:noWrap/>
            <w:vAlign w:val="center"/>
            <w:hideMark/>
          </w:tcPr>
          <w:p w:rsidR="00F638B3" w:rsidRPr="00B64FEA" w:rsidRDefault="00F638B3" w:rsidP="002C15D8">
            <w:pPr>
              <w:spacing w:before="60" w:after="60"/>
              <w:jc w:val="center"/>
              <w:rPr>
                <w:b/>
                <w:bCs/>
              </w:rPr>
            </w:pPr>
            <w:r w:rsidRPr="00B64FEA">
              <w:rPr>
                <w:b/>
              </w:rPr>
              <w:t>2026</w:t>
            </w:r>
          </w:p>
        </w:tc>
        <w:tc>
          <w:tcPr>
            <w:tcW w:w="316" w:type="pct"/>
            <w:tcBorders>
              <w:top w:val="single" w:sz="8" w:space="0" w:color="auto"/>
              <w:left w:val="nil"/>
              <w:bottom w:val="single" w:sz="8" w:space="0" w:color="auto"/>
              <w:right w:val="nil"/>
            </w:tcBorders>
            <w:noWrap/>
            <w:vAlign w:val="center"/>
            <w:hideMark/>
          </w:tcPr>
          <w:p w:rsidR="00F638B3" w:rsidRPr="00B64FEA" w:rsidRDefault="00F638B3" w:rsidP="002C15D8">
            <w:pPr>
              <w:spacing w:before="60" w:after="60"/>
              <w:jc w:val="center"/>
              <w:rPr>
                <w:b/>
                <w:bCs/>
              </w:rPr>
            </w:pPr>
            <w:r w:rsidRPr="00B64FEA">
              <w:rPr>
                <w:b/>
              </w:rPr>
              <w:t>2027</w:t>
            </w:r>
          </w:p>
        </w:tc>
        <w:tc>
          <w:tcPr>
            <w:tcW w:w="509" w:type="pct"/>
            <w:tcBorders>
              <w:top w:val="single" w:sz="8" w:space="0" w:color="auto"/>
              <w:left w:val="single" w:sz="4" w:space="0" w:color="auto"/>
              <w:bottom w:val="single" w:sz="8" w:space="0" w:color="auto"/>
              <w:right w:val="single" w:sz="8" w:space="0" w:color="auto"/>
            </w:tcBorders>
            <w:vAlign w:val="center"/>
            <w:hideMark/>
          </w:tcPr>
          <w:p w:rsidR="00F638B3" w:rsidRPr="00B64FEA" w:rsidRDefault="00F638B3" w:rsidP="002C15D8">
            <w:pPr>
              <w:spacing w:before="60" w:after="60"/>
              <w:jc w:val="center"/>
              <w:rPr>
                <w:b/>
                <w:bCs/>
              </w:rPr>
            </w:pPr>
            <w:r w:rsidRPr="00B64FEA">
              <w:rPr>
                <w:b/>
              </w:rPr>
              <w:t xml:space="preserve">Общо </w:t>
            </w:r>
            <w:r w:rsidRPr="00B64FEA">
              <w:rPr>
                <w:b/>
              </w:rPr>
              <w:br/>
              <w:t>2021—2027 г.</w:t>
            </w:r>
          </w:p>
        </w:tc>
      </w:tr>
      <w:tr w:rsidR="00F638B3" w:rsidRPr="00B64FEA" w:rsidTr="00DF045C">
        <w:trPr>
          <w:trHeight w:val="300"/>
        </w:trPr>
        <w:tc>
          <w:tcPr>
            <w:tcW w:w="1983" w:type="pct"/>
            <w:tcBorders>
              <w:top w:val="nil"/>
              <w:left w:val="single" w:sz="8" w:space="0" w:color="auto"/>
              <w:bottom w:val="nil"/>
              <w:right w:val="single" w:sz="4" w:space="0" w:color="auto"/>
            </w:tcBorders>
            <w:noWrap/>
            <w:vAlign w:val="center"/>
            <w:hideMark/>
          </w:tcPr>
          <w:p w:rsidR="00F638B3" w:rsidRPr="00B64FEA" w:rsidRDefault="00F638B3" w:rsidP="002C15D8">
            <w:pPr>
              <w:spacing w:before="60" w:after="60"/>
              <w:rPr>
                <w:b/>
                <w:bCs/>
              </w:rPr>
            </w:pPr>
            <w:r w:rsidRPr="00B64FEA">
              <w:rPr>
                <w:b/>
              </w:rPr>
              <w:t>1.</w:t>
            </w:r>
            <w:r w:rsidRPr="00B64FEA">
              <w:rPr>
                <w:b/>
              </w:rPr>
              <w:tab/>
              <w:t>Единен пазар, иновации и цифрова сфера</w:t>
            </w:r>
          </w:p>
        </w:tc>
        <w:tc>
          <w:tcPr>
            <w:tcW w:w="611" w:type="pct"/>
            <w:noWrap/>
            <w:vAlign w:val="center"/>
            <w:hideMark/>
          </w:tcPr>
          <w:p w:rsidR="00F638B3" w:rsidRPr="00B64FEA" w:rsidRDefault="00F638B3" w:rsidP="002C15D8">
            <w:pPr>
              <w:spacing w:before="60" w:after="60"/>
              <w:jc w:val="right"/>
              <w:rPr>
                <w:b/>
                <w:bCs/>
              </w:rPr>
            </w:pPr>
            <w:r w:rsidRPr="00B64FEA">
              <w:rPr>
                <w:b/>
              </w:rPr>
              <w:t>19 712</w:t>
            </w:r>
          </w:p>
        </w:tc>
        <w:tc>
          <w:tcPr>
            <w:tcW w:w="316" w:type="pct"/>
            <w:noWrap/>
            <w:vAlign w:val="center"/>
            <w:hideMark/>
          </w:tcPr>
          <w:p w:rsidR="00F638B3" w:rsidRPr="00B64FEA" w:rsidRDefault="00F638B3" w:rsidP="002C15D8">
            <w:pPr>
              <w:spacing w:before="60" w:after="60"/>
              <w:jc w:val="right"/>
              <w:rPr>
                <w:b/>
                <w:bCs/>
              </w:rPr>
            </w:pPr>
            <w:r w:rsidRPr="00B64FEA">
              <w:rPr>
                <w:b/>
              </w:rPr>
              <w:t>20 211</w:t>
            </w:r>
          </w:p>
        </w:tc>
        <w:tc>
          <w:tcPr>
            <w:tcW w:w="316" w:type="pct"/>
            <w:noWrap/>
            <w:vAlign w:val="center"/>
            <w:hideMark/>
          </w:tcPr>
          <w:p w:rsidR="00F638B3" w:rsidRPr="00B64FEA" w:rsidRDefault="00F638B3" w:rsidP="002C15D8">
            <w:pPr>
              <w:spacing w:before="60" w:after="60"/>
              <w:jc w:val="right"/>
              <w:rPr>
                <w:b/>
                <w:bCs/>
              </w:rPr>
            </w:pPr>
            <w:r w:rsidRPr="00B64FEA">
              <w:rPr>
                <w:b/>
              </w:rPr>
              <w:t>19 678</w:t>
            </w:r>
          </w:p>
        </w:tc>
        <w:tc>
          <w:tcPr>
            <w:tcW w:w="316" w:type="pct"/>
            <w:noWrap/>
            <w:vAlign w:val="center"/>
            <w:hideMark/>
          </w:tcPr>
          <w:p w:rsidR="00F638B3" w:rsidRPr="00B64FEA" w:rsidRDefault="00F638B3" w:rsidP="002C15D8">
            <w:pPr>
              <w:spacing w:before="60" w:after="60"/>
              <w:jc w:val="right"/>
              <w:rPr>
                <w:b/>
                <w:bCs/>
              </w:rPr>
            </w:pPr>
            <w:r w:rsidRPr="00B64FEA">
              <w:rPr>
                <w:b/>
              </w:rPr>
              <w:t>19 178</w:t>
            </w:r>
          </w:p>
        </w:tc>
        <w:tc>
          <w:tcPr>
            <w:tcW w:w="316" w:type="pct"/>
            <w:noWrap/>
            <w:vAlign w:val="center"/>
            <w:hideMark/>
          </w:tcPr>
          <w:p w:rsidR="00F638B3" w:rsidRPr="00B64FEA" w:rsidRDefault="00F638B3" w:rsidP="002C15D8">
            <w:pPr>
              <w:spacing w:before="60" w:after="60"/>
              <w:jc w:val="right"/>
              <w:rPr>
                <w:b/>
                <w:bCs/>
              </w:rPr>
            </w:pPr>
            <w:r w:rsidRPr="00B64FEA">
              <w:rPr>
                <w:b/>
              </w:rPr>
              <w:t>18 173</w:t>
            </w:r>
          </w:p>
        </w:tc>
        <w:tc>
          <w:tcPr>
            <w:tcW w:w="316" w:type="pct"/>
            <w:noWrap/>
            <w:vAlign w:val="center"/>
            <w:hideMark/>
          </w:tcPr>
          <w:p w:rsidR="00F638B3" w:rsidRPr="00B64FEA" w:rsidRDefault="00F638B3" w:rsidP="002C15D8">
            <w:pPr>
              <w:spacing w:before="60" w:after="60"/>
              <w:jc w:val="right"/>
              <w:rPr>
                <w:b/>
                <w:bCs/>
              </w:rPr>
            </w:pPr>
            <w:r w:rsidRPr="00B64FEA">
              <w:rPr>
                <w:b/>
              </w:rPr>
              <w:t>18 120</w:t>
            </w:r>
          </w:p>
        </w:tc>
        <w:tc>
          <w:tcPr>
            <w:tcW w:w="316" w:type="pct"/>
            <w:noWrap/>
            <w:vAlign w:val="center"/>
            <w:hideMark/>
          </w:tcPr>
          <w:p w:rsidR="00F638B3" w:rsidRPr="00B64FEA" w:rsidRDefault="00F638B3" w:rsidP="002C15D8">
            <w:pPr>
              <w:spacing w:before="60" w:after="60"/>
              <w:jc w:val="right"/>
              <w:rPr>
                <w:b/>
                <w:bCs/>
              </w:rPr>
            </w:pPr>
            <w:r w:rsidRPr="00B64FEA">
              <w:rPr>
                <w:b/>
              </w:rPr>
              <w:t>17 565</w:t>
            </w:r>
          </w:p>
        </w:tc>
        <w:tc>
          <w:tcPr>
            <w:tcW w:w="509" w:type="pct"/>
            <w:tcBorders>
              <w:top w:val="nil"/>
              <w:left w:val="single" w:sz="4" w:space="0" w:color="auto"/>
              <w:bottom w:val="nil"/>
              <w:right w:val="single" w:sz="8" w:space="0" w:color="auto"/>
            </w:tcBorders>
            <w:noWrap/>
            <w:vAlign w:val="center"/>
            <w:hideMark/>
          </w:tcPr>
          <w:p w:rsidR="00F638B3" w:rsidRPr="00B64FEA" w:rsidRDefault="00F638B3" w:rsidP="002C15D8">
            <w:pPr>
              <w:spacing w:before="60" w:after="60"/>
              <w:jc w:val="right"/>
              <w:rPr>
                <w:b/>
                <w:bCs/>
              </w:rPr>
            </w:pPr>
            <w:r w:rsidRPr="00B64FEA">
              <w:rPr>
                <w:b/>
              </w:rPr>
              <w:t>132 637</w:t>
            </w:r>
          </w:p>
        </w:tc>
      </w:tr>
      <w:tr w:rsidR="00F638B3" w:rsidRPr="00B64FEA" w:rsidTr="00DF045C">
        <w:trPr>
          <w:trHeight w:val="300"/>
        </w:trPr>
        <w:tc>
          <w:tcPr>
            <w:tcW w:w="1983" w:type="pct"/>
            <w:tcBorders>
              <w:top w:val="nil"/>
              <w:left w:val="single" w:sz="8" w:space="0" w:color="auto"/>
              <w:bottom w:val="nil"/>
              <w:right w:val="single" w:sz="4" w:space="0" w:color="auto"/>
            </w:tcBorders>
            <w:noWrap/>
            <w:vAlign w:val="center"/>
            <w:hideMark/>
          </w:tcPr>
          <w:p w:rsidR="00F638B3" w:rsidRPr="00B64FEA" w:rsidRDefault="00F638B3" w:rsidP="002C15D8">
            <w:pPr>
              <w:spacing w:before="60" w:after="60"/>
              <w:rPr>
                <w:b/>
                <w:bCs/>
              </w:rPr>
            </w:pPr>
            <w:r w:rsidRPr="00B64FEA">
              <w:rPr>
                <w:b/>
              </w:rPr>
              <w:t>2.</w:t>
            </w:r>
            <w:r w:rsidRPr="00B64FEA">
              <w:rPr>
                <w:b/>
              </w:rPr>
              <w:tab/>
              <w:t>Сближаване, устойчивост и ценности</w:t>
            </w:r>
          </w:p>
        </w:tc>
        <w:tc>
          <w:tcPr>
            <w:tcW w:w="611" w:type="pct"/>
            <w:noWrap/>
            <w:vAlign w:val="center"/>
            <w:hideMark/>
          </w:tcPr>
          <w:p w:rsidR="00F638B3" w:rsidRPr="00B64FEA" w:rsidRDefault="00F638B3" w:rsidP="002C15D8">
            <w:pPr>
              <w:spacing w:before="60" w:after="60"/>
              <w:jc w:val="right"/>
              <w:rPr>
                <w:b/>
                <w:bCs/>
              </w:rPr>
            </w:pPr>
            <w:r w:rsidRPr="00B64FEA">
              <w:rPr>
                <w:b/>
              </w:rPr>
              <w:t>5 996</w:t>
            </w:r>
          </w:p>
        </w:tc>
        <w:tc>
          <w:tcPr>
            <w:tcW w:w="316" w:type="pct"/>
            <w:noWrap/>
            <w:vAlign w:val="center"/>
            <w:hideMark/>
          </w:tcPr>
          <w:p w:rsidR="00F638B3" w:rsidRPr="00B64FEA" w:rsidRDefault="00F638B3" w:rsidP="002C15D8">
            <w:pPr>
              <w:spacing w:before="60" w:after="60"/>
              <w:jc w:val="right"/>
              <w:rPr>
                <w:b/>
                <w:bCs/>
              </w:rPr>
            </w:pPr>
            <w:r w:rsidRPr="00B64FEA">
              <w:rPr>
                <w:b/>
              </w:rPr>
              <w:t>62 642</w:t>
            </w:r>
          </w:p>
        </w:tc>
        <w:tc>
          <w:tcPr>
            <w:tcW w:w="316" w:type="pct"/>
            <w:noWrap/>
            <w:vAlign w:val="center"/>
            <w:hideMark/>
          </w:tcPr>
          <w:p w:rsidR="00F638B3" w:rsidRPr="00B64FEA" w:rsidRDefault="00F638B3" w:rsidP="002C15D8">
            <w:pPr>
              <w:spacing w:before="60" w:after="60"/>
              <w:jc w:val="right"/>
              <w:rPr>
                <w:b/>
                <w:bCs/>
              </w:rPr>
            </w:pPr>
            <w:r w:rsidRPr="00B64FEA">
              <w:rPr>
                <w:b/>
              </w:rPr>
              <w:t>63 525</w:t>
            </w:r>
          </w:p>
        </w:tc>
        <w:tc>
          <w:tcPr>
            <w:tcW w:w="316" w:type="pct"/>
            <w:noWrap/>
            <w:vAlign w:val="center"/>
            <w:hideMark/>
          </w:tcPr>
          <w:p w:rsidR="00F638B3" w:rsidRPr="00B64FEA" w:rsidRDefault="00F638B3" w:rsidP="002C15D8">
            <w:pPr>
              <w:spacing w:before="60" w:after="60"/>
              <w:jc w:val="right"/>
              <w:rPr>
                <w:b/>
                <w:bCs/>
              </w:rPr>
            </w:pPr>
            <w:r w:rsidRPr="00B64FEA">
              <w:rPr>
                <w:b/>
              </w:rPr>
              <w:t>65 079</w:t>
            </w:r>
          </w:p>
        </w:tc>
        <w:tc>
          <w:tcPr>
            <w:tcW w:w="316" w:type="pct"/>
            <w:noWrap/>
            <w:vAlign w:val="center"/>
            <w:hideMark/>
          </w:tcPr>
          <w:p w:rsidR="00F638B3" w:rsidRPr="00B64FEA" w:rsidRDefault="00F638B3" w:rsidP="002C15D8">
            <w:pPr>
              <w:spacing w:before="60" w:after="60"/>
              <w:jc w:val="right"/>
              <w:rPr>
                <w:b/>
                <w:bCs/>
              </w:rPr>
            </w:pPr>
            <w:r w:rsidRPr="00B64FEA">
              <w:rPr>
                <w:b/>
              </w:rPr>
              <w:t>65 184</w:t>
            </w:r>
          </w:p>
        </w:tc>
        <w:tc>
          <w:tcPr>
            <w:tcW w:w="316" w:type="pct"/>
            <w:noWrap/>
            <w:vAlign w:val="center"/>
            <w:hideMark/>
          </w:tcPr>
          <w:p w:rsidR="00F638B3" w:rsidRPr="00B64FEA" w:rsidRDefault="00F638B3" w:rsidP="002C15D8">
            <w:pPr>
              <w:spacing w:before="60" w:after="60"/>
              <w:jc w:val="right"/>
              <w:rPr>
                <w:b/>
                <w:bCs/>
              </w:rPr>
            </w:pPr>
            <w:r w:rsidRPr="00B64FEA">
              <w:rPr>
                <w:b/>
              </w:rPr>
              <w:t>56 675</w:t>
            </w:r>
          </w:p>
        </w:tc>
        <w:tc>
          <w:tcPr>
            <w:tcW w:w="316" w:type="pct"/>
            <w:noWrap/>
            <w:vAlign w:val="center"/>
            <w:hideMark/>
          </w:tcPr>
          <w:p w:rsidR="00F638B3" w:rsidRPr="00B64FEA" w:rsidRDefault="00F638B3" w:rsidP="002C15D8">
            <w:pPr>
              <w:spacing w:before="60" w:after="60"/>
              <w:jc w:val="right"/>
              <w:rPr>
                <w:b/>
                <w:bCs/>
              </w:rPr>
            </w:pPr>
            <w:r w:rsidRPr="00B64FEA">
              <w:rPr>
                <w:b/>
              </w:rPr>
              <w:t>58 680</w:t>
            </w:r>
          </w:p>
        </w:tc>
        <w:tc>
          <w:tcPr>
            <w:tcW w:w="509" w:type="pct"/>
            <w:tcBorders>
              <w:top w:val="nil"/>
              <w:left w:val="single" w:sz="4" w:space="0" w:color="auto"/>
              <w:bottom w:val="nil"/>
              <w:right w:val="single" w:sz="8" w:space="0" w:color="auto"/>
            </w:tcBorders>
            <w:noWrap/>
            <w:vAlign w:val="center"/>
            <w:hideMark/>
          </w:tcPr>
          <w:p w:rsidR="00F638B3" w:rsidRPr="00B64FEA" w:rsidRDefault="00F638B3" w:rsidP="002C15D8">
            <w:pPr>
              <w:spacing w:before="60" w:after="60"/>
              <w:jc w:val="right"/>
              <w:rPr>
                <w:b/>
                <w:bCs/>
              </w:rPr>
            </w:pPr>
            <w:r w:rsidRPr="00B64FEA">
              <w:rPr>
                <w:b/>
              </w:rPr>
              <w:t>377 781</w:t>
            </w:r>
          </w:p>
        </w:tc>
      </w:tr>
      <w:tr w:rsidR="00F638B3" w:rsidRPr="00B64FEA" w:rsidTr="00DF045C">
        <w:trPr>
          <w:trHeight w:val="300"/>
        </w:trPr>
        <w:tc>
          <w:tcPr>
            <w:tcW w:w="1983" w:type="pct"/>
            <w:tcBorders>
              <w:top w:val="nil"/>
              <w:left w:val="single" w:sz="8" w:space="0" w:color="auto"/>
              <w:bottom w:val="nil"/>
              <w:right w:val="single" w:sz="4" w:space="0" w:color="auto"/>
            </w:tcBorders>
            <w:noWrap/>
            <w:vAlign w:val="center"/>
            <w:hideMark/>
          </w:tcPr>
          <w:p w:rsidR="00F638B3" w:rsidRPr="00B64FEA" w:rsidRDefault="00F638B3" w:rsidP="002C15D8">
            <w:pPr>
              <w:spacing w:before="60" w:after="60"/>
              <w:ind w:left="720"/>
            </w:pPr>
            <w:r w:rsidRPr="00B64FEA">
              <w:t>2а.</w:t>
            </w:r>
            <w:r w:rsidRPr="00B64FEA">
              <w:tab/>
              <w:t>Икономическо, социално и териториално сближаване</w:t>
            </w:r>
          </w:p>
        </w:tc>
        <w:tc>
          <w:tcPr>
            <w:tcW w:w="611" w:type="pct"/>
            <w:noWrap/>
            <w:vAlign w:val="center"/>
            <w:hideMark/>
          </w:tcPr>
          <w:p w:rsidR="00F638B3" w:rsidRPr="00B64FEA" w:rsidRDefault="00F638B3" w:rsidP="002C15D8">
            <w:pPr>
              <w:spacing w:before="60" w:after="60"/>
              <w:jc w:val="right"/>
            </w:pPr>
            <w:r w:rsidRPr="00B64FEA">
              <w:t>1 666</w:t>
            </w:r>
          </w:p>
        </w:tc>
        <w:tc>
          <w:tcPr>
            <w:tcW w:w="316" w:type="pct"/>
            <w:noWrap/>
            <w:vAlign w:val="center"/>
            <w:hideMark/>
          </w:tcPr>
          <w:p w:rsidR="00F638B3" w:rsidRPr="00B64FEA" w:rsidRDefault="00F638B3" w:rsidP="002C15D8">
            <w:pPr>
              <w:spacing w:before="60" w:after="60"/>
              <w:jc w:val="right"/>
            </w:pPr>
            <w:r w:rsidRPr="00B64FEA">
              <w:t>56 673</w:t>
            </w:r>
          </w:p>
        </w:tc>
        <w:tc>
          <w:tcPr>
            <w:tcW w:w="316" w:type="pct"/>
            <w:noWrap/>
            <w:vAlign w:val="center"/>
            <w:hideMark/>
          </w:tcPr>
          <w:p w:rsidR="00F638B3" w:rsidRPr="00B64FEA" w:rsidRDefault="00F638B3" w:rsidP="002C15D8">
            <w:pPr>
              <w:spacing w:before="60" w:after="60"/>
              <w:jc w:val="right"/>
            </w:pPr>
            <w:r w:rsidRPr="00B64FEA">
              <w:t>57 005</w:t>
            </w:r>
          </w:p>
        </w:tc>
        <w:tc>
          <w:tcPr>
            <w:tcW w:w="316" w:type="pct"/>
            <w:noWrap/>
            <w:vAlign w:val="center"/>
            <w:hideMark/>
          </w:tcPr>
          <w:p w:rsidR="00F638B3" w:rsidRPr="00B64FEA" w:rsidRDefault="00F638B3" w:rsidP="002C15D8">
            <w:pPr>
              <w:spacing w:before="60" w:after="60"/>
              <w:jc w:val="right"/>
            </w:pPr>
            <w:r w:rsidRPr="00B64FEA">
              <w:t>57 436</w:t>
            </w:r>
          </w:p>
        </w:tc>
        <w:tc>
          <w:tcPr>
            <w:tcW w:w="316" w:type="pct"/>
            <w:noWrap/>
            <w:vAlign w:val="center"/>
            <w:hideMark/>
          </w:tcPr>
          <w:p w:rsidR="00F638B3" w:rsidRPr="00B64FEA" w:rsidRDefault="00F638B3" w:rsidP="002C15D8">
            <w:pPr>
              <w:spacing w:before="60" w:after="60"/>
              <w:jc w:val="right"/>
            </w:pPr>
            <w:r w:rsidRPr="00B64FEA">
              <w:t>57 772</w:t>
            </w:r>
          </w:p>
        </w:tc>
        <w:tc>
          <w:tcPr>
            <w:tcW w:w="316" w:type="pct"/>
            <w:noWrap/>
            <w:vAlign w:val="center"/>
            <w:hideMark/>
          </w:tcPr>
          <w:p w:rsidR="00F638B3" w:rsidRPr="00B64FEA" w:rsidRDefault="00F638B3" w:rsidP="002C15D8">
            <w:pPr>
              <w:spacing w:before="60" w:after="60"/>
              <w:jc w:val="right"/>
            </w:pPr>
            <w:r w:rsidRPr="00B64FEA">
              <w:t>48 302</w:t>
            </w:r>
          </w:p>
        </w:tc>
        <w:tc>
          <w:tcPr>
            <w:tcW w:w="316" w:type="pct"/>
            <w:noWrap/>
            <w:vAlign w:val="center"/>
            <w:hideMark/>
          </w:tcPr>
          <w:p w:rsidR="00F638B3" w:rsidRPr="00B64FEA" w:rsidRDefault="00F638B3" w:rsidP="002C15D8">
            <w:pPr>
              <w:spacing w:before="60" w:after="60"/>
              <w:jc w:val="right"/>
            </w:pPr>
            <w:r w:rsidRPr="00B64FEA">
              <w:t>48 937</w:t>
            </w:r>
          </w:p>
        </w:tc>
        <w:tc>
          <w:tcPr>
            <w:tcW w:w="509" w:type="pct"/>
            <w:tcBorders>
              <w:top w:val="nil"/>
              <w:left w:val="single" w:sz="4" w:space="0" w:color="auto"/>
              <w:bottom w:val="nil"/>
              <w:right w:val="single" w:sz="8" w:space="0" w:color="auto"/>
            </w:tcBorders>
            <w:noWrap/>
            <w:vAlign w:val="center"/>
            <w:hideMark/>
          </w:tcPr>
          <w:p w:rsidR="00F638B3" w:rsidRPr="00B64FEA" w:rsidRDefault="00F638B3" w:rsidP="002C15D8">
            <w:pPr>
              <w:spacing w:before="60" w:after="60"/>
              <w:jc w:val="right"/>
            </w:pPr>
            <w:r w:rsidRPr="00B64FEA">
              <w:t>327 791</w:t>
            </w:r>
          </w:p>
        </w:tc>
      </w:tr>
      <w:tr w:rsidR="00F638B3" w:rsidRPr="00B64FEA" w:rsidTr="00DF045C">
        <w:trPr>
          <w:trHeight w:val="300"/>
        </w:trPr>
        <w:tc>
          <w:tcPr>
            <w:tcW w:w="1983" w:type="pct"/>
            <w:tcBorders>
              <w:top w:val="nil"/>
              <w:left w:val="single" w:sz="8" w:space="0" w:color="auto"/>
              <w:bottom w:val="nil"/>
              <w:right w:val="single" w:sz="4" w:space="0" w:color="auto"/>
            </w:tcBorders>
            <w:noWrap/>
            <w:vAlign w:val="center"/>
            <w:hideMark/>
          </w:tcPr>
          <w:p w:rsidR="00F638B3" w:rsidRPr="00B64FEA" w:rsidRDefault="00F638B3" w:rsidP="002C15D8">
            <w:pPr>
              <w:spacing w:before="60" w:after="60"/>
              <w:ind w:left="720"/>
            </w:pPr>
            <w:r w:rsidRPr="00B64FEA">
              <w:t>2б.</w:t>
            </w:r>
            <w:r w:rsidRPr="00B64FEA">
              <w:tab/>
              <w:t>Устойчивост и ценности</w:t>
            </w:r>
          </w:p>
        </w:tc>
        <w:tc>
          <w:tcPr>
            <w:tcW w:w="611" w:type="pct"/>
            <w:noWrap/>
            <w:vAlign w:val="center"/>
            <w:hideMark/>
          </w:tcPr>
          <w:p w:rsidR="00F638B3" w:rsidRPr="00B64FEA" w:rsidRDefault="00F638B3" w:rsidP="002C15D8">
            <w:pPr>
              <w:spacing w:before="60" w:after="60"/>
              <w:jc w:val="right"/>
            </w:pPr>
            <w:r w:rsidRPr="00B64FEA">
              <w:t>4 330</w:t>
            </w:r>
          </w:p>
        </w:tc>
        <w:tc>
          <w:tcPr>
            <w:tcW w:w="316" w:type="pct"/>
            <w:noWrap/>
            <w:vAlign w:val="center"/>
            <w:hideMark/>
          </w:tcPr>
          <w:p w:rsidR="00F638B3" w:rsidRPr="00B64FEA" w:rsidRDefault="00F638B3" w:rsidP="002C15D8">
            <w:pPr>
              <w:spacing w:before="60" w:after="60"/>
              <w:jc w:val="right"/>
            </w:pPr>
            <w:r w:rsidRPr="00B64FEA">
              <w:t>5 969</w:t>
            </w:r>
          </w:p>
        </w:tc>
        <w:tc>
          <w:tcPr>
            <w:tcW w:w="316" w:type="pct"/>
            <w:noWrap/>
            <w:vAlign w:val="center"/>
            <w:hideMark/>
          </w:tcPr>
          <w:p w:rsidR="00F638B3" w:rsidRPr="00B64FEA" w:rsidRDefault="00F638B3" w:rsidP="002C15D8">
            <w:pPr>
              <w:spacing w:before="60" w:after="60"/>
              <w:jc w:val="right"/>
            </w:pPr>
            <w:r w:rsidRPr="00B64FEA">
              <w:t>6 520</w:t>
            </w:r>
          </w:p>
        </w:tc>
        <w:tc>
          <w:tcPr>
            <w:tcW w:w="316" w:type="pct"/>
            <w:noWrap/>
            <w:vAlign w:val="center"/>
            <w:hideMark/>
          </w:tcPr>
          <w:p w:rsidR="00F638B3" w:rsidRPr="00B64FEA" w:rsidRDefault="00F638B3" w:rsidP="002C15D8">
            <w:pPr>
              <w:spacing w:before="60" w:after="60"/>
              <w:jc w:val="right"/>
            </w:pPr>
            <w:r w:rsidRPr="00B64FEA">
              <w:t>7 643</w:t>
            </w:r>
          </w:p>
        </w:tc>
        <w:tc>
          <w:tcPr>
            <w:tcW w:w="316" w:type="pct"/>
            <w:noWrap/>
            <w:vAlign w:val="center"/>
            <w:hideMark/>
          </w:tcPr>
          <w:p w:rsidR="00F638B3" w:rsidRPr="00B64FEA" w:rsidRDefault="00F638B3" w:rsidP="002C15D8">
            <w:pPr>
              <w:spacing w:before="60" w:after="60"/>
              <w:jc w:val="right"/>
            </w:pPr>
            <w:r w:rsidRPr="00B64FEA">
              <w:t>7 412</w:t>
            </w:r>
          </w:p>
        </w:tc>
        <w:tc>
          <w:tcPr>
            <w:tcW w:w="316" w:type="pct"/>
            <w:noWrap/>
            <w:vAlign w:val="center"/>
            <w:hideMark/>
          </w:tcPr>
          <w:p w:rsidR="00F638B3" w:rsidRPr="00B64FEA" w:rsidRDefault="00F638B3" w:rsidP="002C15D8">
            <w:pPr>
              <w:spacing w:before="60" w:after="60"/>
              <w:jc w:val="right"/>
            </w:pPr>
            <w:r w:rsidRPr="00B64FEA">
              <w:t>8 373</w:t>
            </w:r>
          </w:p>
        </w:tc>
        <w:tc>
          <w:tcPr>
            <w:tcW w:w="316" w:type="pct"/>
            <w:noWrap/>
            <w:vAlign w:val="center"/>
            <w:hideMark/>
          </w:tcPr>
          <w:p w:rsidR="00F638B3" w:rsidRPr="00B64FEA" w:rsidRDefault="00F638B3" w:rsidP="002C15D8">
            <w:pPr>
              <w:spacing w:before="60" w:after="60"/>
              <w:jc w:val="right"/>
            </w:pPr>
            <w:r w:rsidRPr="00B64FEA">
              <w:t>9 743</w:t>
            </w:r>
          </w:p>
        </w:tc>
        <w:tc>
          <w:tcPr>
            <w:tcW w:w="509" w:type="pct"/>
            <w:tcBorders>
              <w:top w:val="nil"/>
              <w:left w:val="single" w:sz="4" w:space="0" w:color="auto"/>
              <w:bottom w:val="nil"/>
              <w:right w:val="single" w:sz="8" w:space="0" w:color="auto"/>
            </w:tcBorders>
            <w:noWrap/>
            <w:vAlign w:val="center"/>
            <w:hideMark/>
          </w:tcPr>
          <w:p w:rsidR="00F638B3" w:rsidRPr="00B64FEA" w:rsidRDefault="00F638B3" w:rsidP="002C15D8">
            <w:pPr>
              <w:spacing w:before="60" w:after="60"/>
              <w:jc w:val="right"/>
            </w:pPr>
            <w:r w:rsidRPr="00B64FEA">
              <w:t>49 990</w:t>
            </w:r>
          </w:p>
        </w:tc>
      </w:tr>
      <w:tr w:rsidR="00F638B3" w:rsidRPr="00B64FEA" w:rsidTr="00DF045C">
        <w:trPr>
          <w:trHeight w:val="300"/>
        </w:trPr>
        <w:tc>
          <w:tcPr>
            <w:tcW w:w="1983" w:type="pct"/>
            <w:tcBorders>
              <w:top w:val="nil"/>
              <w:left w:val="single" w:sz="8" w:space="0" w:color="auto"/>
              <w:bottom w:val="nil"/>
              <w:right w:val="single" w:sz="4" w:space="0" w:color="auto"/>
            </w:tcBorders>
            <w:noWrap/>
            <w:vAlign w:val="center"/>
            <w:hideMark/>
          </w:tcPr>
          <w:p w:rsidR="00F638B3" w:rsidRPr="00B64FEA" w:rsidRDefault="00F638B3" w:rsidP="002C15D8">
            <w:pPr>
              <w:spacing w:before="60" w:after="60"/>
              <w:rPr>
                <w:b/>
                <w:bCs/>
              </w:rPr>
            </w:pPr>
            <w:r w:rsidRPr="00B64FEA">
              <w:rPr>
                <w:b/>
              </w:rPr>
              <w:t>3.</w:t>
            </w:r>
            <w:r w:rsidRPr="00B64FEA">
              <w:rPr>
                <w:b/>
              </w:rPr>
              <w:tab/>
              <w:t>Природни ресурси и околна среда</w:t>
            </w:r>
          </w:p>
        </w:tc>
        <w:tc>
          <w:tcPr>
            <w:tcW w:w="611" w:type="pct"/>
            <w:noWrap/>
            <w:vAlign w:val="center"/>
            <w:hideMark/>
          </w:tcPr>
          <w:p w:rsidR="00F638B3" w:rsidRPr="00B64FEA" w:rsidRDefault="00F638B3" w:rsidP="002C15D8">
            <w:pPr>
              <w:spacing w:before="60" w:after="60"/>
              <w:jc w:val="right"/>
              <w:rPr>
                <w:b/>
                <w:bCs/>
              </w:rPr>
            </w:pPr>
            <w:r w:rsidRPr="00B64FEA">
              <w:rPr>
                <w:b/>
              </w:rPr>
              <w:t>53 562</w:t>
            </w:r>
          </w:p>
        </w:tc>
        <w:tc>
          <w:tcPr>
            <w:tcW w:w="316" w:type="pct"/>
            <w:noWrap/>
            <w:vAlign w:val="center"/>
            <w:hideMark/>
          </w:tcPr>
          <w:p w:rsidR="00F638B3" w:rsidRPr="00B64FEA" w:rsidRDefault="00F638B3" w:rsidP="002C15D8">
            <w:pPr>
              <w:spacing w:before="60" w:after="60"/>
              <w:jc w:val="right"/>
              <w:rPr>
                <w:b/>
                <w:bCs/>
              </w:rPr>
            </w:pPr>
            <w:r w:rsidRPr="00B64FEA">
              <w:rPr>
                <w:b/>
              </w:rPr>
              <w:t>52 626</w:t>
            </w:r>
          </w:p>
        </w:tc>
        <w:tc>
          <w:tcPr>
            <w:tcW w:w="316" w:type="pct"/>
            <w:noWrap/>
            <w:vAlign w:val="center"/>
            <w:hideMark/>
          </w:tcPr>
          <w:p w:rsidR="00F638B3" w:rsidRPr="00B64FEA" w:rsidRDefault="00F638B3" w:rsidP="002C15D8">
            <w:pPr>
              <w:spacing w:before="60" w:after="60"/>
              <w:jc w:val="right"/>
              <w:rPr>
                <w:b/>
                <w:bCs/>
              </w:rPr>
            </w:pPr>
            <w:r w:rsidRPr="00B64FEA">
              <w:rPr>
                <w:b/>
              </w:rPr>
              <w:t>51 893</w:t>
            </w:r>
          </w:p>
        </w:tc>
        <w:tc>
          <w:tcPr>
            <w:tcW w:w="316" w:type="pct"/>
            <w:noWrap/>
            <w:vAlign w:val="center"/>
            <w:hideMark/>
          </w:tcPr>
          <w:p w:rsidR="00F638B3" w:rsidRPr="00B64FEA" w:rsidRDefault="00F638B3" w:rsidP="002C15D8">
            <w:pPr>
              <w:spacing w:before="60" w:after="60"/>
              <w:jc w:val="right"/>
              <w:rPr>
                <w:b/>
                <w:bCs/>
              </w:rPr>
            </w:pPr>
            <w:r w:rsidRPr="00B64FEA">
              <w:rPr>
                <w:b/>
              </w:rPr>
              <w:t>51 013</w:t>
            </w:r>
          </w:p>
        </w:tc>
        <w:tc>
          <w:tcPr>
            <w:tcW w:w="316" w:type="pct"/>
            <w:noWrap/>
            <w:vAlign w:val="center"/>
            <w:hideMark/>
          </w:tcPr>
          <w:p w:rsidR="00F638B3" w:rsidRPr="00B64FEA" w:rsidRDefault="00F638B3" w:rsidP="002C15D8">
            <w:pPr>
              <w:spacing w:before="60" w:after="60"/>
              <w:jc w:val="right"/>
              <w:rPr>
                <w:b/>
                <w:bCs/>
              </w:rPr>
            </w:pPr>
            <w:r w:rsidRPr="00B64FEA">
              <w:rPr>
                <w:b/>
              </w:rPr>
              <w:t>49 914</w:t>
            </w:r>
          </w:p>
        </w:tc>
        <w:tc>
          <w:tcPr>
            <w:tcW w:w="316" w:type="pct"/>
            <w:noWrap/>
            <w:vAlign w:val="center"/>
            <w:hideMark/>
          </w:tcPr>
          <w:p w:rsidR="00F638B3" w:rsidRPr="00B64FEA" w:rsidRDefault="00F638B3" w:rsidP="002C15D8">
            <w:pPr>
              <w:spacing w:before="60" w:after="60"/>
              <w:jc w:val="right"/>
              <w:rPr>
                <w:b/>
                <w:bCs/>
              </w:rPr>
            </w:pPr>
            <w:r w:rsidRPr="00B64FEA">
              <w:rPr>
                <w:b/>
              </w:rPr>
              <w:t>48 734</w:t>
            </w:r>
          </w:p>
        </w:tc>
        <w:tc>
          <w:tcPr>
            <w:tcW w:w="316" w:type="pct"/>
            <w:noWrap/>
            <w:vAlign w:val="center"/>
            <w:hideMark/>
          </w:tcPr>
          <w:p w:rsidR="00F638B3" w:rsidRPr="00B64FEA" w:rsidRDefault="00F638B3" w:rsidP="002C15D8">
            <w:pPr>
              <w:spacing w:before="60" w:after="60"/>
              <w:jc w:val="right"/>
              <w:rPr>
                <w:b/>
                <w:bCs/>
              </w:rPr>
            </w:pPr>
            <w:r w:rsidRPr="00B64FEA">
              <w:rPr>
                <w:b/>
              </w:rPr>
              <w:t>47 960</w:t>
            </w:r>
          </w:p>
        </w:tc>
        <w:tc>
          <w:tcPr>
            <w:tcW w:w="509" w:type="pct"/>
            <w:tcBorders>
              <w:top w:val="nil"/>
              <w:left w:val="single" w:sz="4" w:space="0" w:color="auto"/>
              <w:bottom w:val="nil"/>
              <w:right w:val="single" w:sz="8" w:space="0" w:color="auto"/>
            </w:tcBorders>
            <w:noWrap/>
            <w:vAlign w:val="center"/>
            <w:hideMark/>
          </w:tcPr>
          <w:p w:rsidR="00F638B3" w:rsidRPr="00B64FEA" w:rsidRDefault="00F638B3" w:rsidP="002C15D8">
            <w:pPr>
              <w:spacing w:before="60" w:after="60"/>
              <w:jc w:val="right"/>
              <w:rPr>
                <w:b/>
                <w:bCs/>
              </w:rPr>
            </w:pPr>
            <w:r w:rsidRPr="00B64FEA">
              <w:rPr>
                <w:b/>
              </w:rPr>
              <w:t>355 702</w:t>
            </w:r>
          </w:p>
        </w:tc>
      </w:tr>
      <w:tr w:rsidR="00F638B3" w:rsidRPr="00B64FEA" w:rsidTr="00DF045C">
        <w:trPr>
          <w:trHeight w:val="300"/>
        </w:trPr>
        <w:tc>
          <w:tcPr>
            <w:tcW w:w="1983" w:type="pct"/>
            <w:tcBorders>
              <w:top w:val="nil"/>
              <w:left w:val="single" w:sz="8" w:space="0" w:color="auto"/>
              <w:bottom w:val="nil"/>
              <w:right w:val="single" w:sz="4" w:space="0" w:color="auto"/>
            </w:tcBorders>
            <w:noWrap/>
            <w:vAlign w:val="center"/>
            <w:hideMark/>
          </w:tcPr>
          <w:p w:rsidR="00F638B3" w:rsidRPr="00B64FEA" w:rsidRDefault="00F638B3" w:rsidP="002C15D8">
            <w:pPr>
              <w:spacing w:before="60" w:after="60"/>
              <w:ind w:left="720"/>
            </w:pPr>
            <w:r w:rsidRPr="00B64FEA">
              <w:t>в т.ч.: Разходи, свързани с пазара, и преки плащания</w:t>
            </w:r>
          </w:p>
        </w:tc>
        <w:tc>
          <w:tcPr>
            <w:tcW w:w="611" w:type="pct"/>
            <w:noWrap/>
            <w:vAlign w:val="center"/>
            <w:hideMark/>
          </w:tcPr>
          <w:p w:rsidR="00F638B3" w:rsidRPr="00B64FEA" w:rsidRDefault="00F638B3" w:rsidP="002C15D8">
            <w:pPr>
              <w:spacing w:before="60" w:after="60"/>
              <w:jc w:val="right"/>
            </w:pPr>
            <w:r w:rsidRPr="00B64FEA">
              <w:t>38 040</w:t>
            </w:r>
          </w:p>
        </w:tc>
        <w:tc>
          <w:tcPr>
            <w:tcW w:w="316" w:type="pct"/>
            <w:noWrap/>
            <w:vAlign w:val="center"/>
            <w:hideMark/>
          </w:tcPr>
          <w:p w:rsidR="00F638B3" w:rsidRPr="00B64FEA" w:rsidRDefault="00F638B3" w:rsidP="002C15D8">
            <w:pPr>
              <w:spacing w:before="60" w:after="60"/>
              <w:jc w:val="right"/>
            </w:pPr>
            <w:r w:rsidRPr="00B64FEA">
              <w:t>37 544</w:t>
            </w:r>
          </w:p>
        </w:tc>
        <w:tc>
          <w:tcPr>
            <w:tcW w:w="316" w:type="pct"/>
            <w:noWrap/>
            <w:vAlign w:val="center"/>
            <w:hideMark/>
          </w:tcPr>
          <w:p w:rsidR="00F638B3" w:rsidRPr="00B64FEA" w:rsidRDefault="00F638B3" w:rsidP="002C15D8">
            <w:pPr>
              <w:spacing w:before="60" w:after="60"/>
              <w:jc w:val="right"/>
            </w:pPr>
            <w:r w:rsidRPr="00B64FEA">
              <w:t>36 857</w:t>
            </w:r>
          </w:p>
        </w:tc>
        <w:tc>
          <w:tcPr>
            <w:tcW w:w="316" w:type="pct"/>
            <w:noWrap/>
            <w:vAlign w:val="center"/>
            <w:hideMark/>
          </w:tcPr>
          <w:p w:rsidR="00F638B3" w:rsidRPr="00B64FEA" w:rsidRDefault="00F638B3" w:rsidP="002C15D8">
            <w:pPr>
              <w:spacing w:before="60" w:after="60"/>
              <w:jc w:val="right"/>
            </w:pPr>
            <w:r w:rsidRPr="00B64FEA">
              <w:t>36 054</w:t>
            </w:r>
          </w:p>
        </w:tc>
        <w:tc>
          <w:tcPr>
            <w:tcW w:w="316" w:type="pct"/>
            <w:noWrap/>
            <w:vAlign w:val="center"/>
            <w:hideMark/>
          </w:tcPr>
          <w:p w:rsidR="00F638B3" w:rsidRPr="00B64FEA" w:rsidRDefault="00F638B3" w:rsidP="002C15D8">
            <w:pPr>
              <w:spacing w:before="60" w:after="60"/>
              <w:jc w:val="right"/>
            </w:pPr>
            <w:r w:rsidRPr="00B64FEA">
              <w:t>35 283</w:t>
            </w:r>
          </w:p>
        </w:tc>
        <w:tc>
          <w:tcPr>
            <w:tcW w:w="316" w:type="pct"/>
            <w:noWrap/>
            <w:vAlign w:val="center"/>
            <w:hideMark/>
          </w:tcPr>
          <w:p w:rsidR="00F638B3" w:rsidRPr="00B64FEA" w:rsidRDefault="00F638B3" w:rsidP="002C15D8">
            <w:pPr>
              <w:spacing w:before="60" w:after="60"/>
              <w:jc w:val="right"/>
            </w:pPr>
            <w:r w:rsidRPr="00B64FEA">
              <w:t>34 602</w:t>
            </w:r>
          </w:p>
        </w:tc>
        <w:tc>
          <w:tcPr>
            <w:tcW w:w="316" w:type="pct"/>
            <w:noWrap/>
            <w:vAlign w:val="center"/>
            <w:hideMark/>
          </w:tcPr>
          <w:p w:rsidR="00F638B3" w:rsidRPr="00B64FEA" w:rsidRDefault="00F638B3" w:rsidP="002C15D8">
            <w:pPr>
              <w:spacing w:before="60" w:after="60"/>
              <w:jc w:val="right"/>
            </w:pPr>
            <w:r w:rsidRPr="00B64FEA">
              <w:t>33 886</w:t>
            </w:r>
          </w:p>
        </w:tc>
        <w:tc>
          <w:tcPr>
            <w:tcW w:w="509" w:type="pct"/>
            <w:tcBorders>
              <w:top w:val="nil"/>
              <w:left w:val="single" w:sz="4" w:space="0" w:color="auto"/>
              <w:bottom w:val="nil"/>
              <w:right w:val="single" w:sz="8" w:space="0" w:color="auto"/>
            </w:tcBorders>
            <w:noWrap/>
            <w:vAlign w:val="center"/>
            <w:hideMark/>
          </w:tcPr>
          <w:p w:rsidR="00F638B3" w:rsidRPr="00B64FEA" w:rsidRDefault="00F638B3" w:rsidP="002C15D8">
            <w:pPr>
              <w:spacing w:before="60" w:after="60"/>
              <w:jc w:val="right"/>
            </w:pPr>
            <w:r w:rsidRPr="00B64FEA">
              <w:t>252 266</w:t>
            </w:r>
          </w:p>
        </w:tc>
      </w:tr>
      <w:tr w:rsidR="00F638B3" w:rsidRPr="00B64FEA" w:rsidTr="00DF045C">
        <w:trPr>
          <w:trHeight w:val="300"/>
        </w:trPr>
        <w:tc>
          <w:tcPr>
            <w:tcW w:w="1983" w:type="pct"/>
            <w:tcBorders>
              <w:top w:val="nil"/>
              <w:left w:val="single" w:sz="8" w:space="0" w:color="auto"/>
              <w:bottom w:val="nil"/>
              <w:right w:val="single" w:sz="4" w:space="0" w:color="auto"/>
            </w:tcBorders>
            <w:noWrap/>
            <w:vAlign w:val="center"/>
            <w:hideMark/>
          </w:tcPr>
          <w:p w:rsidR="00F638B3" w:rsidRPr="00B64FEA" w:rsidRDefault="00F638B3" w:rsidP="002C15D8">
            <w:pPr>
              <w:pageBreakBefore/>
              <w:spacing w:before="60" w:after="60"/>
              <w:rPr>
                <w:b/>
                <w:bCs/>
              </w:rPr>
            </w:pPr>
            <w:r w:rsidRPr="00B64FEA">
              <w:rPr>
                <w:b/>
              </w:rPr>
              <w:lastRenderedPageBreak/>
              <w:t>4.</w:t>
            </w:r>
            <w:r w:rsidRPr="00B64FEA">
              <w:rPr>
                <w:b/>
              </w:rPr>
              <w:tab/>
              <w:t>Миграция и управление на границите</w:t>
            </w:r>
          </w:p>
        </w:tc>
        <w:tc>
          <w:tcPr>
            <w:tcW w:w="611" w:type="pct"/>
            <w:noWrap/>
            <w:vAlign w:val="center"/>
            <w:hideMark/>
          </w:tcPr>
          <w:p w:rsidR="00F638B3" w:rsidRPr="00B64FEA" w:rsidRDefault="00F638B3" w:rsidP="002C15D8">
            <w:pPr>
              <w:spacing w:before="60" w:after="60"/>
              <w:jc w:val="right"/>
              <w:rPr>
                <w:b/>
                <w:bCs/>
              </w:rPr>
            </w:pPr>
            <w:r w:rsidRPr="00B64FEA">
              <w:rPr>
                <w:b/>
              </w:rPr>
              <w:t>1 687</w:t>
            </w:r>
          </w:p>
        </w:tc>
        <w:tc>
          <w:tcPr>
            <w:tcW w:w="316" w:type="pct"/>
            <w:noWrap/>
            <w:vAlign w:val="center"/>
            <w:hideMark/>
          </w:tcPr>
          <w:p w:rsidR="00F638B3" w:rsidRPr="00B64FEA" w:rsidRDefault="00F638B3" w:rsidP="002C15D8">
            <w:pPr>
              <w:spacing w:before="60" w:after="60"/>
              <w:jc w:val="right"/>
              <w:rPr>
                <w:b/>
                <w:bCs/>
              </w:rPr>
            </w:pPr>
            <w:r w:rsidRPr="00B64FEA">
              <w:rPr>
                <w:b/>
              </w:rPr>
              <w:t>3 104</w:t>
            </w:r>
          </w:p>
        </w:tc>
        <w:tc>
          <w:tcPr>
            <w:tcW w:w="316" w:type="pct"/>
            <w:noWrap/>
            <w:vAlign w:val="center"/>
            <w:hideMark/>
          </w:tcPr>
          <w:p w:rsidR="00F638B3" w:rsidRPr="00B64FEA" w:rsidRDefault="00F638B3" w:rsidP="002C15D8">
            <w:pPr>
              <w:spacing w:before="60" w:after="60"/>
              <w:jc w:val="right"/>
              <w:rPr>
                <w:b/>
                <w:bCs/>
              </w:rPr>
            </w:pPr>
            <w:r w:rsidRPr="00B64FEA">
              <w:rPr>
                <w:b/>
              </w:rPr>
              <w:t>3 454</w:t>
            </w:r>
          </w:p>
        </w:tc>
        <w:tc>
          <w:tcPr>
            <w:tcW w:w="316" w:type="pct"/>
            <w:noWrap/>
            <w:vAlign w:val="center"/>
            <w:hideMark/>
          </w:tcPr>
          <w:p w:rsidR="00F638B3" w:rsidRPr="00B64FEA" w:rsidRDefault="00F638B3" w:rsidP="002C15D8">
            <w:pPr>
              <w:spacing w:before="60" w:after="60"/>
              <w:jc w:val="right"/>
              <w:rPr>
                <w:b/>
                <w:bCs/>
              </w:rPr>
            </w:pPr>
            <w:r w:rsidRPr="00B64FEA">
              <w:rPr>
                <w:b/>
              </w:rPr>
              <w:t>3 569</w:t>
            </w:r>
          </w:p>
        </w:tc>
        <w:tc>
          <w:tcPr>
            <w:tcW w:w="316" w:type="pct"/>
            <w:noWrap/>
            <w:vAlign w:val="center"/>
            <w:hideMark/>
          </w:tcPr>
          <w:p w:rsidR="00F638B3" w:rsidRPr="00B64FEA" w:rsidRDefault="00F638B3" w:rsidP="002C15D8">
            <w:pPr>
              <w:spacing w:before="60" w:after="60"/>
              <w:jc w:val="right"/>
              <w:rPr>
                <w:b/>
                <w:bCs/>
              </w:rPr>
            </w:pPr>
            <w:r w:rsidRPr="00B64FEA">
              <w:rPr>
                <w:b/>
              </w:rPr>
              <w:t>4 083</w:t>
            </w:r>
          </w:p>
        </w:tc>
        <w:tc>
          <w:tcPr>
            <w:tcW w:w="316" w:type="pct"/>
            <w:noWrap/>
            <w:vAlign w:val="center"/>
            <w:hideMark/>
          </w:tcPr>
          <w:p w:rsidR="00F638B3" w:rsidRPr="00B64FEA" w:rsidRDefault="00F638B3" w:rsidP="002C15D8">
            <w:pPr>
              <w:spacing w:before="60" w:after="60"/>
              <w:jc w:val="right"/>
              <w:rPr>
                <w:b/>
                <w:bCs/>
              </w:rPr>
            </w:pPr>
            <w:r w:rsidRPr="00B64FEA">
              <w:rPr>
                <w:b/>
              </w:rPr>
              <w:t>4 145</w:t>
            </w:r>
          </w:p>
        </w:tc>
        <w:tc>
          <w:tcPr>
            <w:tcW w:w="316" w:type="pct"/>
            <w:noWrap/>
            <w:vAlign w:val="center"/>
            <w:hideMark/>
          </w:tcPr>
          <w:p w:rsidR="00F638B3" w:rsidRPr="00B64FEA" w:rsidRDefault="00F638B3" w:rsidP="002C15D8">
            <w:pPr>
              <w:spacing w:before="60" w:after="60"/>
              <w:jc w:val="right"/>
              <w:rPr>
                <w:b/>
                <w:bCs/>
              </w:rPr>
            </w:pPr>
            <w:r w:rsidRPr="00B64FEA">
              <w:rPr>
                <w:b/>
              </w:rPr>
              <w:t>4 701</w:t>
            </w:r>
          </w:p>
        </w:tc>
        <w:tc>
          <w:tcPr>
            <w:tcW w:w="509" w:type="pct"/>
            <w:tcBorders>
              <w:top w:val="nil"/>
              <w:left w:val="single" w:sz="4" w:space="0" w:color="auto"/>
              <w:bottom w:val="nil"/>
              <w:right w:val="single" w:sz="8" w:space="0" w:color="auto"/>
            </w:tcBorders>
            <w:noWrap/>
            <w:vAlign w:val="center"/>
            <w:hideMark/>
          </w:tcPr>
          <w:p w:rsidR="00F638B3" w:rsidRPr="00B64FEA" w:rsidRDefault="00F638B3" w:rsidP="002C15D8">
            <w:pPr>
              <w:spacing w:before="60" w:after="60"/>
              <w:jc w:val="right"/>
              <w:rPr>
                <w:b/>
                <w:bCs/>
              </w:rPr>
            </w:pPr>
            <w:r w:rsidRPr="00B64FEA">
              <w:rPr>
                <w:b/>
              </w:rPr>
              <w:t>24 743</w:t>
            </w:r>
          </w:p>
        </w:tc>
      </w:tr>
      <w:tr w:rsidR="00F638B3" w:rsidRPr="00B64FEA" w:rsidTr="00DF045C">
        <w:trPr>
          <w:trHeight w:val="300"/>
        </w:trPr>
        <w:tc>
          <w:tcPr>
            <w:tcW w:w="1983" w:type="pct"/>
            <w:tcBorders>
              <w:top w:val="nil"/>
              <w:left w:val="single" w:sz="8" w:space="0" w:color="auto"/>
              <w:bottom w:val="nil"/>
              <w:right w:val="single" w:sz="4" w:space="0" w:color="auto"/>
            </w:tcBorders>
            <w:noWrap/>
            <w:vAlign w:val="center"/>
            <w:hideMark/>
          </w:tcPr>
          <w:p w:rsidR="00F638B3" w:rsidRPr="00B64FEA" w:rsidRDefault="00F638B3" w:rsidP="002C15D8">
            <w:pPr>
              <w:spacing w:before="60" w:after="60"/>
              <w:rPr>
                <w:b/>
                <w:bCs/>
              </w:rPr>
            </w:pPr>
            <w:r w:rsidRPr="00B64FEA">
              <w:rPr>
                <w:b/>
              </w:rPr>
              <w:t>5.</w:t>
            </w:r>
            <w:r w:rsidRPr="00B64FEA">
              <w:rPr>
                <w:b/>
              </w:rPr>
              <w:tab/>
              <w:t>Сигурност и отбрана</w:t>
            </w:r>
          </w:p>
        </w:tc>
        <w:tc>
          <w:tcPr>
            <w:tcW w:w="611" w:type="pct"/>
            <w:noWrap/>
            <w:vAlign w:val="center"/>
            <w:hideMark/>
          </w:tcPr>
          <w:p w:rsidR="00F638B3" w:rsidRPr="00B64FEA" w:rsidRDefault="00F638B3" w:rsidP="002C15D8">
            <w:pPr>
              <w:spacing w:before="60" w:after="60"/>
              <w:jc w:val="right"/>
              <w:rPr>
                <w:b/>
                <w:bCs/>
              </w:rPr>
            </w:pPr>
            <w:r w:rsidRPr="00B64FEA">
              <w:rPr>
                <w:b/>
              </w:rPr>
              <w:t>1 598</w:t>
            </w:r>
          </w:p>
        </w:tc>
        <w:tc>
          <w:tcPr>
            <w:tcW w:w="316" w:type="pct"/>
            <w:noWrap/>
            <w:vAlign w:val="center"/>
            <w:hideMark/>
          </w:tcPr>
          <w:p w:rsidR="00F638B3" w:rsidRPr="00B64FEA" w:rsidRDefault="00F638B3" w:rsidP="002C15D8">
            <w:pPr>
              <w:spacing w:before="60" w:after="60"/>
              <w:jc w:val="right"/>
              <w:rPr>
                <w:b/>
                <w:bCs/>
              </w:rPr>
            </w:pPr>
            <w:r w:rsidRPr="00B64FEA">
              <w:rPr>
                <w:b/>
              </w:rPr>
              <w:t>1 750</w:t>
            </w:r>
          </w:p>
        </w:tc>
        <w:tc>
          <w:tcPr>
            <w:tcW w:w="316" w:type="pct"/>
            <w:noWrap/>
            <w:vAlign w:val="center"/>
            <w:hideMark/>
          </w:tcPr>
          <w:p w:rsidR="00F638B3" w:rsidRPr="00B64FEA" w:rsidRDefault="00F638B3" w:rsidP="002C15D8">
            <w:pPr>
              <w:spacing w:before="60" w:after="60"/>
              <w:jc w:val="right"/>
              <w:rPr>
                <w:b/>
                <w:bCs/>
              </w:rPr>
            </w:pPr>
            <w:r w:rsidRPr="00B64FEA">
              <w:rPr>
                <w:b/>
              </w:rPr>
              <w:t>1 762</w:t>
            </w:r>
          </w:p>
        </w:tc>
        <w:tc>
          <w:tcPr>
            <w:tcW w:w="316" w:type="pct"/>
            <w:noWrap/>
            <w:vAlign w:val="center"/>
            <w:hideMark/>
          </w:tcPr>
          <w:p w:rsidR="00F638B3" w:rsidRPr="00B64FEA" w:rsidRDefault="00F638B3" w:rsidP="002C15D8">
            <w:pPr>
              <w:spacing w:before="60" w:after="60"/>
              <w:jc w:val="right"/>
              <w:rPr>
                <w:b/>
                <w:bCs/>
              </w:rPr>
            </w:pPr>
            <w:r w:rsidRPr="00B64FEA">
              <w:rPr>
                <w:b/>
              </w:rPr>
              <w:t>2 112</w:t>
            </w:r>
          </w:p>
        </w:tc>
        <w:tc>
          <w:tcPr>
            <w:tcW w:w="316" w:type="pct"/>
            <w:noWrap/>
            <w:vAlign w:val="center"/>
            <w:hideMark/>
          </w:tcPr>
          <w:p w:rsidR="00F638B3" w:rsidRPr="00B64FEA" w:rsidRDefault="00F638B3" w:rsidP="002C15D8">
            <w:pPr>
              <w:spacing w:before="60" w:after="60"/>
              <w:jc w:val="right"/>
              <w:rPr>
                <w:b/>
                <w:bCs/>
              </w:rPr>
            </w:pPr>
            <w:r w:rsidRPr="00B64FEA">
              <w:rPr>
                <w:b/>
              </w:rPr>
              <w:t>2 277</w:t>
            </w:r>
          </w:p>
        </w:tc>
        <w:tc>
          <w:tcPr>
            <w:tcW w:w="316" w:type="pct"/>
            <w:noWrap/>
            <w:vAlign w:val="center"/>
            <w:hideMark/>
          </w:tcPr>
          <w:p w:rsidR="00F638B3" w:rsidRPr="00B64FEA" w:rsidRDefault="00F638B3" w:rsidP="002C15D8">
            <w:pPr>
              <w:spacing w:before="60" w:after="60"/>
              <w:jc w:val="right"/>
              <w:rPr>
                <w:b/>
                <w:bCs/>
              </w:rPr>
            </w:pPr>
            <w:r w:rsidRPr="00B64FEA">
              <w:rPr>
                <w:b/>
              </w:rPr>
              <w:t>2 398</w:t>
            </w:r>
          </w:p>
        </w:tc>
        <w:tc>
          <w:tcPr>
            <w:tcW w:w="316" w:type="pct"/>
            <w:noWrap/>
            <w:vAlign w:val="center"/>
            <w:hideMark/>
          </w:tcPr>
          <w:p w:rsidR="00F638B3" w:rsidRPr="00B64FEA" w:rsidRDefault="00F638B3" w:rsidP="002C15D8">
            <w:pPr>
              <w:spacing w:before="60" w:after="60"/>
              <w:jc w:val="right"/>
              <w:rPr>
                <w:b/>
                <w:bCs/>
              </w:rPr>
            </w:pPr>
            <w:r w:rsidRPr="00B64FEA">
              <w:rPr>
                <w:b/>
              </w:rPr>
              <w:t>2 576</w:t>
            </w:r>
          </w:p>
        </w:tc>
        <w:tc>
          <w:tcPr>
            <w:tcW w:w="509" w:type="pct"/>
            <w:tcBorders>
              <w:top w:val="nil"/>
              <w:left w:val="single" w:sz="4" w:space="0" w:color="auto"/>
              <w:bottom w:val="nil"/>
              <w:right w:val="single" w:sz="8" w:space="0" w:color="auto"/>
            </w:tcBorders>
            <w:noWrap/>
            <w:vAlign w:val="center"/>
            <w:hideMark/>
          </w:tcPr>
          <w:p w:rsidR="00F638B3" w:rsidRPr="00B64FEA" w:rsidRDefault="00F638B3" w:rsidP="002C15D8">
            <w:pPr>
              <w:spacing w:before="60" w:after="60"/>
              <w:jc w:val="right"/>
              <w:rPr>
                <w:b/>
                <w:bCs/>
              </w:rPr>
            </w:pPr>
            <w:r w:rsidRPr="00B64FEA">
              <w:rPr>
                <w:b/>
              </w:rPr>
              <w:t>14 473</w:t>
            </w:r>
          </w:p>
        </w:tc>
      </w:tr>
      <w:tr w:rsidR="00F638B3" w:rsidRPr="00B64FEA" w:rsidTr="00DF045C">
        <w:trPr>
          <w:trHeight w:val="300"/>
        </w:trPr>
        <w:tc>
          <w:tcPr>
            <w:tcW w:w="1983" w:type="pct"/>
            <w:tcBorders>
              <w:top w:val="nil"/>
              <w:left w:val="single" w:sz="8" w:space="0" w:color="auto"/>
              <w:bottom w:val="nil"/>
              <w:right w:val="single" w:sz="4" w:space="0" w:color="auto"/>
            </w:tcBorders>
            <w:noWrap/>
            <w:vAlign w:val="center"/>
            <w:hideMark/>
          </w:tcPr>
          <w:p w:rsidR="00F638B3" w:rsidRPr="00B64FEA" w:rsidRDefault="00F638B3" w:rsidP="002C15D8">
            <w:pPr>
              <w:spacing w:before="60" w:after="60"/>
              <w:rPr>
                <w:b/>
                <w:bCs/>
              </w:rPr>
            </w:pPr>
            <w:r w:rsidRPr="00B64FEA">
              <w:rPr>
                <w:b/>
              </w:rPr>
              <w:t>6.</w:t>
            </w:r>
            <w:r w:rsidRPr="00B64FEA">
              <w:rPr>
                <w:b/>
              </w:rPr>
              <w:tab/>
              <w:t>Съседните региони и светът</w:t>
            </w:r>
          </w:p>
        </w:tc>
        <w:tc>
          <w:tcPr>
            <w:tcW w:w="611" w:type="pct"/>
            <w:noWrap/>
            <w:vAlign w:val="center"/>
            <w:hideMark/>
          </w:tcPr>
          <w:p w:rsidR="00F638B3" w:rsidRPr="00B64FEA" w:rsidRDefault="00F638B3" w:rsidP="002C15D8">
            <w:pPr>
              <w:spacing w:before="60" w:after="60"/>
              <w:jc w:val="right"/>
              <w:rPr>
                <w:b/>
                <w:bCs/>
              </w:rPr>
            </w:pPr>
            <w:r w:rsidRPr="00B64FEA">
              <w:rPr>
                <w:b/>
              </w:rPr>
              <w:t>15 309</w:t>
            </w:r>
          </w:p>
        </w:tc>
        <w:tc>
          <w:tcPr>
            <w:tcW w:w="316" w:type="pct"/>
            <w:noWrap/>
            <w:vAlign w:val="center"/>
            <w:hideMark/>
          </w:tcPr>
          <w:p w:rsidR="00F638B3" w:rsidRPr="00B64FEA" w:rsidRDefault="00F638B3" w:rsidP="002C15D8">
            <w:pPr>
              <w:spacing w:before="60" w:after="60"/>
              <w:jc w:val="right"/>
              <w:rPr>
                <w:b/>
                <w:bCs/>
              </w:rPr>
            </w:pPr>
            <w:r w:rsidRPr="00B64FEA">
              <w:rPr>
                <w:b/>
              </w:rPr>
              <w:t>15 522</w:t>
            </w:r>
          </w:p>
        </w:tc>
        <w:tc>
          <w:tcPr>
            <w:tcW w:w="316" w:type="pct"/>
            <w:noWrap/>
            <w:vAlign w:val="center"/>
            <w:hideMark/>
          </w:tcPr>
          <w:p w:rsidR="00F638B3" w:rsidRPr="00B64FEA" w:rsidRDefault="00F638B3" w:rsidP="002C15D8">
            <w:pPr>
              <w:spacing w:before="60" w:after="60"/>
              <w:jc w:val="right"/>
              <w:rPr>
                <w:b/>
                <w:bCs/>
              </w:rPr>
            </w:pPr>
            <w:r w:rsidRPr="00B64FEA">
              <w:rPr>
                <w:b/>
              </w:rPr>
              <w:t>14 789</w:t>
            </w:r>
          </w:p>
        </w:tc>
        <w:tc>
          <w:tcPr>
            <w:tcW w:w="316" w:type="pct"/>
            <w:noWrap/>
            <w:vAlign w:val="center"/>
            <w:hideMark/>
          </w:tcPr>
          <w:p w:rsidR="00F638B3" w:rsidRPr="00B64FEA" w:rsidRDefault="00F638B3" w:rsidP="002C15D8">
            <w:pPr>
              <w:spacing w:before="60" w:after="60"/>
              <w:jc w:val="right"/>
              <w:rPr>
                <w:b/>
                <w:bCs/>
              </w:rPr>
            </w:pPr>
            <w:r w:rsidRPr="00B64FEA">
              <w:rPr>
                <w:b/>
              </w:rPr>
              <w:t>14 500</w:t>
            </w:r>
          </w:p>
        </w:tc>
        <w:tc>
          <w:tcPr>
            <w:tcW w:w="316" w:type="pct"/>
            <w:noWrap/>
            <w:vAlign w:val="center"/>
            <w:hideMark/>
          </w:tcPr>
          <w:p w:rsidR="00F638B3" w:rsidRPr="00B64FEA" w:rsidRDefault="00F638B3" w:rsidP="002C15D8">
            <w:pPr>
              <w:spacing w:before="60" w:after="60"/>
              <w:jc w:val="right"/>
              <w:rPr>
                <w:b/>
                <w:bCs/>
              </w:rPr>
            </w:pPr>
            <w:r w:rsidRPr="00B64FEA">
              <w:rPr>
                <w:b/>
              </w:rPr>
              <w:t>14 192</w:t>
            </w:r>
          </w:p>
        </w:tc>
        <w:tc>
          <w:tcPr>
            <w:tcW w:w="316" w:type="pct"/>
            <w:noWrap/>
            <w:vAlign w:val="center"/>
            <w:hideMark/>
          </w:tcPr>
          <w:p w:rsidR="00F638B3" w:rsidRPr="00B64FEA" w:rsidRDefault="00F638B3" w:rsidP="002C15D8">
            <w:pPr>
              <w:spacing w:before="60" w:after="60"/>
              <w:jc w:val="right"/>
              <w:rPr>
                <w:b/>
                <w:bCs/>
              </w:rPr>
            </w:pPr>
            <w:r w:rsidRPr="00B64FEA">
              <w:rPr>
                <w:b/>
              </w:rPr>
              <w:t>13 326</w:t>
            </w:r>
          </w:p>
        </w:tc>
        <w:tc>
          <w:tcPr>
            <w:tcW w:w="316" w:type="pct"/>
            <w:noWrap/>
            <w:vAlign w:val="center"/>
            <w:hideMark/>
          </w:tcPr>
          <w:p w:rsidR="00F638B3" w:rsidRPr="00B64FEA" w:rsidRDefault="00F638B3" w:rsidP="002C15D8">
            <w:pPr>
              <w:spacing w:before="60" w:after="60"/>
              <w:jc w:val="right"/>
              <w:rPr>
                <w:b/>
                <w:bCs/>
              </w:rPr>
            </w:pPr>
            <w:r w:rsidRPr="00B64FEA">
              <w:rPr>
                <w:b/>
              </w:rPr>
              <w:t>13 447</w:t>
            </w:r>
          </w:p>
        </w:tc>
        <w:tc>
          <w:tcPr>
            <w:tcW w:w="509" w:type="pct"/>
            <w:tcBorders>
              <w:top w:val="nil"/>
              <w:left w:val="single" w:sz="4" w:space="0" w:color="auto"/>
              <w:bottom w:val="nil"/>
              <w:right w:val="single" w:sz="8" w:space="0" w:color="auto"/>
            </w:tcBorders>
            <w:noWrap/>
            <w:vAlign w:val="center"/>
            <w:hideMark/>
          </w:tcPr>
          <w:p w:rsidR="00F638B3" w:rsidRPr="00B64FEA" w:rsidRDefault="00F638B3" w:rsidP="002C15D8">
            <w:pPr>
              <w:spacing w:before="60" w:after="60"/>
              <w:jc w:val="right"/>
              <w:rPr>
                <w:b/>
                <w:bCs/>
              </w:rPr>
            </w:pPr>
            <w:r w:rsidRPr="00B64FEA">
              <w:rPr>
                <w:b/>
              </w:rPr>
              <w:t>101 085</w:t>
            </w:r>
          </w:p>
        </w:tc>
      </w:tr>
      <w:tr w:rsidR="00F638B3" w:rsidRPr="00B64FEA" w:rsidTr="00DF045C">
        <w:trPr>
          <w:trHeight w:val="300"/>
        </w:trPr>
        <w:tc>
          <w:tcPr>
            <w:tcW w:w="1983" w:type="pct"/>
            <w:tcBorders>
              <w:top w:val="nil"/>
              <w:left w:val="single" w:sz="8" w:space="0" w:color="auto"/>
              <w:bottom w:val="nil"/>
              <w:right w:val="single" w:sz="4" w:space="0" w:color="auto"/>
            </w:tcBorders>
            <w:noWrap/>
            <w:vAlign w:val="center"/>
            <w:hideMark/>
          </w:tcPr>
          <w:p w:rsidR="00F638B3" w:rsidRPr="00B64FEA" w:rsidRDefault="00F638B3" w:rsidP="002C15D8">
            <w:pPr>
              <w:spacing w:before="60" w:after="60"/>
              <w:rPr>
                <w:b/>
                <w:bCs/>
              </w:rPr>
            </w:pPr>
            <w:r w:rsidRPr="00B64FEA">
              <w:rPr>
                <w:b/>
              </w:rPr>
              <w:t>7.</w:t>
            </w:r>
            <w:r w:rsidRPr="00B64FEA">
              <w:rPr>
                <w:b/>
              </w:rPr>
              <w:tab/>
              <w:t>Европейска публична администрация</w:t>
            </w:r>
          </w:p>
        </w:tc>
        <w:tc>
          <w:tcPr>
            <w:tcW w:w="611" w:type="pct"/>
            <w:noWrap/>
            <w:vAlign w:val="center"/>
            <w:hideMark/>
          </w:tcPr>
          <w:p w:rsidR="00F638B3" w:rsidRPr="00B64FEA" w:rsidRDefault="00F638B3" w:rsidP="002C15D8">
            <w:pPr>
              <w:spacing w:before="60" w:after="60"/>
              <w:jc w:val="right"/>
              <w:rPr>
                <w:b/>
                <w:bCs/>
              </w:rPr>
            </w:pPr>
            <w:r w:rsidRPr="00B64FEA">
              <w:rPr>
                <w:b/>
              </w:rPr>
              <w:t>10 021</w:t>
            </w:r>
          </w:p>
        </w:tc>
        <w:tc>
          <w:tcPr>
            <w:tcW w:w="316" w:type="pct"/>
            <w:noWrap/>
            <w:vAlign w:val="center"/>
            <w:hideMark/>
          </w:tcPr>
          <w:p w:rsidR="00F638B3" w:rsidRPr="00B64FEA" w:rsidRDefault="00F638B3" w:rsidP="002C15D8">
            <w:pPr>
              <w:spacing w:before="60" w:after="60"/>
              <w:jc w:val="right"/>
              <w:rPr>
                <w:b/>
                <w:bCs/>
              </w:rPr>
            </w:pPr>
            <w:r w:rsidRPr="00B64FEA">
              <w:rPr>
                <w:b/>
              </w:rPr>
              <w:t>10 215</w:t>
            </w:r>
          </w:p>
        </w:tc>
        <w:tc>
          <w:tcPr>
            <w:tcW w:w="316" w:type="pct"/>
            <w:noWrap/>
            <w:vAlign w:val="center"/>
            <w:hideMark/>
          </w:tcPr>
          <w:p w:rsidR="00F638B3" w:rsidRPr="00B64FEA" w:rsidRDefault="00F638B3" w:rsidP="002C15D8">
            <w:pPr>
              <w:spacing w:before="60" w:after="60"/>
              <w:jc w:val="right"/>
              <w:rPr>
                <w:b/>
                <w:bCs/>
              </w:rPr>
            </w:pPr>
            <w:r w:rsidRPr="00B64FEA">
              <w:rPr>
                <w:b/>
              </w:rPr>
              <w:t>10 342</w:t>
            </w:r>
          </w:p>
        </w:tc>
        <w:tc>
          <w:tcPr>
            <w:tcW w:w="316" w:type="pct"/>
            <w:noWrap/>
            <w:vAlign w:val="center"/>
            <w:hideMark/>
          </w:tcPr>
          <w:p w:rsidR="00F638B3" w:rsidRPr="00B64FEA" w:rsidRDefault="00F638B3" w:rsidP="002C15D8">
            <w:pPr>
              <w:spacing w:before="60" w:after="60"/>
              <w:jc w:val="right"/>
              <w:rPr>
                <w:b/>
                <w:bCs/>
              </w:rPr>
            </w:pPr>
            <w:r w:rsidRPr="00B64FEA">
              <w:rPr>
                <w:b/>
              </w:rPr>
              <w:t>10 454</w:t>
            </w:r>
          </w:p>
        </w:tc>
        <w:tc>
          <w:tcPr>
            <w:tcW w:w="316" w:type="pct"/>
            <w:noWrap/>
            <w:vAlign w:val="center"/>
            <w:hideMark/>
          </w:tcPr>
          <w:p w:rsidR="00F638B3" w:rsidRPr="00B64FEA" w:rsidRDefault="00F638B3" w:rsidP="002C15D8">
            <w:pPr>
              <w:spacing w:before="60" w:after="60"/>
              <w:jc w:val="right"/>
              <w:rPr>
                <w:b/>
                <w:bCs/>
              </w:rPr>
            </w:pPr>
            <w:r w:rsidRPr="00B64FEA">
              <w:rPr>
                <w:b/>
              </w:rPr>
              <w:t>10 554</w:t>
            </w:r>
          </w:p>
        </w:tc>
        <w:tc>
          <w:tcPr>
            <w:tcW w:w="316" w:type="pct"/>
            <w:noWrap/>
            <w:vAlign w:val="center"/>
            <w:hideMark/>
          </w:tcPr>
          <w:p w:rsidR="00F638B3" w:rsidRPr="00B64FEA" w:rsidRDefault="00F638B3" w:rsidP="002C15D8">
            <w:pPr>
              <w:spacing w:before="60" w:after="60"/>
              <w:jc w:val="right"/>
              <w:rPr>
                <w:b/>
                <w:bCs/>
              </w:rPr>
            </w:pPr>
            <w:r w:rsidRPr="00B64FEA">
              <w:rPr>
                <w:b/>
              </w:rPr>
              <w:t>10 673</w:t>
            </w:r>
          </w:p>
        </w:tc>
        <w:tc>
          <w:tcPr>
            <w:tcW w:w="316" w:type="pct"/>
            <w:noWrap/>
            <w:vAlign w:val="center"/>
            <w:hideMark/>
          </w:tcPr>
          <w:p w:rsidR="00F638B3" w:rsidRPr="00B64FEA" w:rsidRDefault="00F638B3" w:rsidP="002C15D8">
            <w:pPr>
              <w:spacing w:before="60" w:after="60"/>
              <w:jc w:val="right"/>
              <w:rPr>
                <w:b/>
                <w:bCs/>
              </w:rPr>
            </w:pPr>
            <w:r w:rsidRPr="00B64FEA">
              <w:rPr>
                <w:b/>
              </w:rPr>
              <w:t>10 843</w:t>
            </w:r>
          </w:p>
        </w:tc>
        <w:tc>
          <w:tcPr>
            <w:tcW w:w="509" w:type="pct"/>
            <w:tcBorders>
              <w:top w:val="nil"/>
              <w:left w:val="single" w:sz="4" w:space="0" w:color="auto"/>
              <w:bottom w:val="nil"/>
              <w:right w:val="single" w:sz="8" w:space="0" w:color="auto"/>
            </w:tcBorders>
            <w:noWrap/>
            <w:vAlign w:val="center"/>
            <w:hideMark/>
          </w:tcPr>
          <w:p w:rsidR="00F638B3" w:rsidRPr="00B64FEA" w:rsidRDefault="00F638B3" w:rsidP="002C15D8">
            <w:pPr>
              <w:spacing w:before="60" w:after="60"/>
              <w:jc w:val="right"/>
              <w:rPr>
                <w:b/>
                <w:bCs/>
              </w:rPr>
            </w:pPr>
            <w:r w:rsidRPr="00B64FEA">
              <w:rPr>
                <w:b/>
              </w:rPr>
              <w:t>73 102</w:t>
            </w:r>
          </w:p>
        </w:tc>
      </w:tr>
      <w:tr w:rsidR="00F638B3" w:rsidRPr="00B64FEA" w:rsidTr="00DF045C">
        <w:trPr>
          <w:trHeight w:val="315"/>
        </w:trPr>
        <w:tc>
          <w:tcPr>
            <w:tcW w:w="1983" w:type="pct"/>
            <w:tcBorders>
              <w:top w:val="nil"/>
              <w:left w:val="single" w:sz="8" w:space="0" w:color="auto"/>
              <w:bottom w:val="single" w:sz="8" w:space="0" w:color="auto"/>
              <w:right w:val="single" w:sz="4" w:space="0" w:color="auto"/>
            </w:tcBorders>
            <w:noWrap/>
            <w:vAlign w:val="center"/>
            <w:hideMark/>
          </w:tcPr>
          <w:p w:rsidR="00F638B3" w:rsidRPr="00B64FEA" w:rsidRDefault="00F638B3" w:rsidP="002C15D8">
            <w:pPr>
              <w:spacing w:before="60" w:after="60"/>
              <w:ind w:left="720"/>
            </w:pPr>
            <w:r w:rsidRPr="00B64FEA">
              <w:t>в т.ч.: Административни разходи на институциите</w:t>
            </w:r>
          </w:p>
        </w:tc>
        <w:tc>
          <w:tcPr>
            <w:tcW w:w="611" w:type="pct"/>
            <w:tcBorders>
              <w:top w:val="nil"/>
              <w:left w:val="nil"/>
              <w:bottom w:val="single" w:sz="8" w:space="0" w:color="auto"/>
              <w:right w:val="nil"/>
            </w:tcBorders>
            <w:noWrap/>
            <w:vAlign w:val="center"/>
            <w:hideMark/>
          </w:tcPr>
          <w:p w:rsidR="00F638B3" w:rsidRPr="00B64FEA" w:rsidRDefault="00F638B3" w:rsidP="002C15D8">
            <w:pPr>
              <w:spacing w:before="60" w:after="60"/>
              <w:jc w:val="right"/>
            </w:pPr>
            <w:r w:rsidRPr="00B64FEA">
              <w:t>7 742</w:t>
            </w:r>
          </w:p>
        </w:tc>
        <w:tc>
          <w:tcPr>
            <w:tcW w:w="316" w:type="pct"/>
            <w:tcBorders>
              <w:top w:val="nil"/>
              <w:left w:val="nil"/>
              <w:bottom w:val="single" w:sz="8" w:space="0" w:color="auto"/>
              <w:right w:val="nil"/>
            </w:tcBorders>
            <w:noWrap/>
            <w:vAlign w:val="center"/>
            <w:hideMark/>
          </w:tcPr>
          <w:p w:rsidR="00F638B3" w:rsidRPr="00B64FEA" w:rsidRDefault="00F638B3" w:rsidP="002C15D8">
            <w:pPr>
              <w:spacing w:before="60" w:after="60"/>
              <w:jc w:val="right"/>
            </w:pPr>
            <w:r w:rsidRPr="00B64FEA">
              <w:t>7 878</w:t>
            </w:r>
          </w:p>
        </w:tc>
        <w:tc>
          <w:tcPr>
            <w:tcW w:w="316" w:type="pct"/>
            <w:tcBorders>
              <w:top w:val="nil"/>
              <w:left w:val="nil"/>
              <w:bottom w:val="single" w:sz="8" w:space="0" w:color="auto"/>
              <w:right w:val="nil"/>
            </w:tcBorders>
            <w:noWrap/>
            <w:vAlign w:val="center"/>
            <w:hideMark/>
          </w:tcPr>
          <w:p w:rsidR="00F638B3" w:rsidRPr="00B64FEA" w:rsidRDefault="00F638B3" w:rsidP="002C15D8">
            <w:pPr>
              <w:spacing w:before="60" w:after="60"/>
              <w:jc w:val="right"/>
            </w:pPr>
            <w:r w:rsidRPr="00B64FEA">
              <w:t>7 945</w:t>
            </w:r>
          </w:p>
        </w:tc>
        <w:tc>
          <w:tcPr>
            <w:tcW w:w="316" w:type="pct"/>
            <w:tcBorders>
              <w:top w:val="nil"/>
              <w:left w:val="nil"/>
              <w:bottom w:val="single" w:sz="8" w:space="0" w:color="auto"/>
              <w:right w:val="nil"/>
            </w:tcBorders>
            <w:noWrap/>
            <w:vAlign w:val="center"/>
            <w:hideMark/>
          </w:tcPr>
          <w:p w:rsidR="00F638B3" w:rsidRPr="00B64FEA" w:rsidRDefault="00F638B3" w:rsidP="002C15D8">
            <w:pPr>
              <w:spacing w:before="60" w:after="60"/>
              <w:jc w:val="right"/>
            </w:pPr>
            <w:r w:rsidRPr="00B64FEA">
              <w:t>7 997</w:t>
            </w:r>
          </w:p>
        </w:tc>
        <w:tc>
          <w:tcPr>
            <w:tcW w:w="316" w:type="pct"/>
            <w:tcBorders>
              <w:top w:val="nil"/>
              <w:left w:val="nil"/>
              <w:bottom w:val="single" w:sz="8" w:space="0" w:color="auto"/>
              <w:right w:val="nil"/>
            </w:tcBorders>
            <w:noWrap/>
            <w:vAlign w:val="center"/>
            <w:hideMark/>
          </w:tcPr>
          <w:p w:rsidR="00F638B3" w:rsidRPr="00B64FEA" w:rsidRDefault="00F638B3" w:rsidP="002C15D8">
            <w:pPr>
              <w:spacing w:before="60" w:after="60"/>
              <w:jc w:val="right"/>
            </w:pPr>
            <w:r w:rsidRPr="00B64FEA">
              <w:t>8 025</w:t>
            </w:r>
          </w:p>
        </w:tc>
        <w:tc>
          <w:tcPr>
            <w:tcW w:w="316" w:type="pct"/>
            <w:tcBorders>
              <w:top w:val="nil"/>
              <w:left w:val="nil"/>
              <w:bottom w:val="single" w:sz="8" w:space="0" w:color="auto"/>
              <w:right w:val="nil"/>
            </w:tcBorders>
            <w:noWrap/>
            <w:vAlign w:val="center"/>
            <w:hideMark/>
          </w:tcPr>
          <w:p w:rsidR="00F638B3" w:rsidRPr="00B64FEA" w:rsidRDefault="00F638B3" w:rsidP="002C15D8">
            <w:pPr>
              <w:spacing w:before="60" w:after="60"/>
              <w:jc w:val="right"/>
            </w:pPr>
            <w:r w:rsidRPr="00B64FEA">
              <w:t>8 077</w:t>
            </w:r>
          </w:p>
        </w:tc>
        <w:tc>
          <w:tcPr>
            <w:tcW w:w="316" w:type="pct"/>
            <w:tcBorders>
              <w:top w:val="nil"/>
              <w:left w:val="nil"/>
              <w:bottom w:val="single" w:sz="8" w:space="0" w:color="auto"/>
              <w:right w:val="nil"/>
            </w:tcBorders>
            <w:noWrap/>
            <w:vAlign w:val="center"/>
            <w:hideMark/>
          </w:tcPr>
          <w:p w:rsidR="00F638B3" w:rsidRPr="00B64FEA" w:rsidRDefault="00F638B3" w:rsidP="002C15D8">
            <w:pPr>
              <w:spacing w:before="60" w:after="60"/>
              <w:jc w:val="right"/>
            </w:pPr>
            <w:r w:rsidRPr="00B64FEA">
              <w:t>8 188</w:t>
            </w:r>
          </w:p>
        </w:tc>
        <w:tc>
          <w:tcPr>
            <w:tcW w:w="509" w:type="pct"/>
            <w:tcBorders>
              <w:top w:val="nil"/>
              <w:left w:val="single" w:sz="4" w:space="0" w:color="auto"/>
              <w:bottom w:val="single" w:sz="8" w:space="0" w:color="auto"/>
              <w:right w:val="single" w:sz="8" w:space="0" w:color="auto"/>
            </w:tcBorders>
            <w:noWrap/>
            <w:vAlign w:val="center"/>
            <w:hideMark/>
          </w:tcPr>
          <w:p w:rsidR="00F638B3" w:rsidRPr="00B64FEA" w:rsidRDefault="00F638B3" w:rsidP="002C15D8">
            <w:pPr>
              <w:spacing w:before="60" w:after="60"/>
              <w:jc w:val="right"/>
            </w:pPr>
            <w:r w:rsidRPr="00B64FEA">
              <w:t>55 852</w:t>
            </w:r>
          </w:p>
        </w:tc>
      </w:tr>
      <w:tr w:rsidR="00F638B3" w:rsidRPr="00B64FEA" w:rsidTr="00DF045C">
        <w:trPr>
          <w:trHeight w:val="315"/>
        </w:trPr>
        <w:tc>
          <w:tcPr>
            <w:tcW w:w="1983" w:type="pct"/>
            <w:tcBorders>
              <w:top w:val="nil"/>
              <w:left w:val="single" w:sz="8" w:space="0" w:color="auto"/>
              <w:bottom w:val="single" w:sz="8" w:space="0" w:color="auto"/>
              <w:right w:val="nil"/>
            </w:tcBorders>
            <w:noWrap/>
            <w:vAlign w:val="center"/>
            <w:hideMark/>
          </w:tcPr>
          <w:p w:rsidR="00F638B3" w:rsidRPr="00B64FEA" w:rsidRDefault="00F638B3" w:rsidP="002C15D8">
            <w:pPr>
              <w:spacing w:before="60" w:after="60"/>
              <w:jc w:val="right"/>
              <w:rPr>
                <w:b/>
                <w:bCs/>
              </w:rPr>
            </w:pPr>
            <w:r w:rsidRPr="00B64FEA">
              <w:rPr>
                <w:b/>
              </w:rPr>
              <w:t>ОБЩО БЮДЖЕТНИ КРЕДИТИ ЗА ПОЕТИ ЗАДЪЛЖЕНИЯ</w:t>
            </w:r>
          </w:p>
        </w:tc>
        <w:tc>
          <w:tcPr>
            <w:tcW w:w="611" w:type="pct"/>
            <w:tcBorders>
              <w:top w:val="nil"/>
              <w:left w:val="single" w:sz="4" w:space="0" w:color="auto"/>
              <w:bottom w:val="single" w:sz="8" w:space="0" w:color="auto"/>
              <w:right w:val="nil"/>
            </w:tcBorders>
            <w:noWrap/>
            <w:vAlign w:val="center"/>
            <w:hideMark/>
          </w:tcPr>
          <w:p w:rsidR="00F638B3" w:rsidRPr="00B64FEA" w:rsidRDefault="00F638B3" w:rsidP="002C15D8">
            <w:pPr>
              <w:spacing w:before="60" w:after="60"/>
              <w:jc w:val="right"/>
              <w:rPr>
                <w:b/>
                <w:bCs/>
              </w:rPr>
            </w:pPr>
            <w:r w:rsidRPr="00B64FEA">
              <w:rPr>
                <w:b/>
              </w:rPr>
              <w:t>107 885</w:t>
            </w:r>
          </w:p>
        </w:tc>
        <w:tc>
          <w:tcPr>
            <w:tcW w:w="316" w:type="pct"/>
            <w:tcBorders>
              <w:top w:val="nil"/>
              <w:left w:val="nil"/>
              <w:bottom w:val="single" w:sz="8" w:space="0" w:color="auto"/>
              <w:right w:val="nil"/>
            </w:tcBorders>
            <w:noWrap/>
            <w:vAlign w:val="center"/>
            <w:hideMark/>
          </w:tcPr>
          <w:p w:rsidR="00F638B3" w:rsidRPr="00B64FEA" w:rsidRDefault="00F638B3" w:rsidP="002C15D8">
            <w:pPr>
              <w:spacing w:before="60" w:after="60"/>
              <w:jc w:val="right"/>
              <w:rPr>
                <w:b/>
                <w:bCs/>
              </w:rPr>
            </w:pPr>
            <w:r w:rsidRPr="00B64FEA">
              <w:rPr>
                <w:b/>
              </w:rPr>
              <w:t>166 070</w:t>
            </w:r>
          </w:p>
        </w:tc>
        <w:tc>
          <w:tcPr>
            <w:tcW w:w="316" w:type="pct"/>
            <w:tcBorders>
              <w:top w:val="nil"/>
              <w:left w:val="nil"/>
              <w:bottom w:val="single" w:sz="8" w:space="0" w:color="auto"/>
              <w:right w:val="nil"/>
            </w:tcBorders>
            <w:noWrap/>
            <w:vAlign w:val="center"/>
            <w:hideMark/>
          </w:tcPr>
          <w:p w:rsidR="00F638B3" w:rsidRPr="00B64FEA" w:rsidRDefault="00F638B3" w:rsidP="002C15D8">
            <w:pPr>
              <w:spacing w:before="60" w:after="60"/>
              <w:jc w:val="right"/>
              <w:rPr>
                <w:b/>
                <w:bCs/>
              </w:rPr>
            </w:pPr>
            <w:r w:rsidRPr="00B64FEA">
              <w:rPr>
                <w:b/>
              </w:rPr>
              <w:t>165 443</w:t>
            </w:r>
          </w:p>
        </w:tc>
        <w:tc>
          <w:tcPr>
            <w:tcW w:w="316" w:type="pct"/>
            <w:tcBorders>
              <w:top w:val="nil"/>
              <w:left w:val="nil"/>
              <w:bottom w:val="single" w:sz="8" w:space="0" w:color="auto"/>
              <w:right w:val="nil"/>
            </w:tcBorders>
            <w:noWrap/>
            <w:vAlign w:val="center"/>
            <w:hideMark/>
          </w:tcPr>
          <w:p w:rsidR="00F638B3" w:rsidRPr="00B64FEA" w:rsidRDefault="00F638B3" w:rsidP="002C15D8">
            <w:pPr>
              <w:spacing w:before="60" w:after="60"/>
              <w:jc w:val="right"/>
              <w:rPr>
                <w:b/>
                <w:bCs/>
              </w:rPr>
            </w:pPr>
            <w:r w:rsidRPr="00B64FEA">
              <w:rPr>
                <w:b/>
              </w:rPr>
              <w:t>165 905</w:t>
            </w:r>
          </w:p>
        </w:tc>
        <w:tc>
          <w:tcPr>
            <w:tcW w:w="316" w:type="pct"/>
            <w:tcBorders>
              <w:top w:val="nil"/>
              <w:left w:val="nil"/>
              <w:bottom w:val="single" w:sz="8" w:space="0" w:color="auto"/>
              <w:right w:val="nil"/>
            </w:tcBorders>
            <w:noWrap/>
            <w:vAlign w:val="center"/>
            <w:hideMark/>
          </w:tcPr>
          <w:p w:rsidR="00F638B3" w:rsidRPr="00B64FEA" w:rsidRDefault="00F638B3" w:rsidP="002C15D8">
            <w:pPr>
              <w:spacing w:before="60" w:after="60"/>
              <w:jc w:val="right"/>
              <w:rPr>
                <w:b/>
                <w:bCs/>
              </w:rPr>
            </w:pPr>
            <w:r w:rsidRPr="00B64FEA">
              <w:rPr>
                <w:b/>
              </w:rPr>
              <w:t>164 377</w:t>
            </w:r>
          </w:p>
        </w:tc>
        <w:tc>
          <w:tcPr>
            <w:tcW w:w="316" w:type="pct"/>
            <w:tcBorders>
              <w:top w:val="nil"/>
              <w:left w:val="nil"/>
              <w:bottom w:val="single" w:sz="8" w:space="0" w:color="auto"/>
              <w:right w:val="nil"/>
            </w:tcBorders>
            <w:noWrap/>
            <w:vAlign w:val="center"/>
            <w:hideMark/>
          </w:tcPr>
          <w:p w:rsidR="00F638B3" w:rsidRPr="00B64FEA" w:rsidRDefault="00F638B3" w:rsidP="002C15D8">
            <w:pPr>
              <w:spacing w:before="60" w:after="60"/>
              <w:jc w:val="right"/>
              <w:rPr>
                <w:b/>
                <w:bCs/>
              </w:rPr>
            </w:pPr>
            <w:r w:rsidRPr="00B64FEA">
              <w:rPr>
                <w:b/>
              </w:rPr>
              <w:t>154 071</w:t>
            </w:r>
          </w:p>
        </w:tc>
        <w:tc>
          <w:tcPr>
            <w:tcW w:w="316" w:type="pct"/>
            <w:tcBorders>
              <w:top w:val="nil"/>
              <w:left w:val="nil"/>
              <w:bottom w:val="single" w:sz="8" w:space="0" w:color="auto"/>
              <w:right w:val="nil"/>
            </w:tcBorders>
            <w:noWrap/>
            <w:vAlign w:val="center"/>
            <w:hideMark/>
          </w:tcPr>
          <w:p w:rsidR="00F638B3" w:rsidRPr="00B64FEA" w:rsidRDefault="00F638B3" w:rsidP="002C15D8">
            <w:pPr>
              <w:spacing w:before="60" w:after="60"/>
              <w:jc w:val="right"/>
              <w:rPr>
                <w:b/>
                <w:bCs/>
              </w:rPr>
            </w:pPr>
            <w:r w:rsidRPr="00B64FEA">
              <w:rPr>
                <w:b/>
              </w:rPr>
              <w:t>155 772</w:t>
            </w:r>
          </w:p>
        </w:tc>
        <w:tc>
          <w:tcPr>
            <w:tcW w:w="509" w:type="pct"/>
            <w:tcBorders>
              <w:top w:val="nil"/>
              <w:left w:val="single" w:sz="4" w:space="0" w:color="auto"/>
              <w:bottom w:val="single" w:sz="8" w:space="0" w:color="auto"/>
              <w:right w:val="single" w:sz="8" w:space="0" w:color="auto"/>
            </w:tcBorders>
            <w:noWrap/>
            <w:vAlign w:val="center"/>
            <w:hideMark/>
          </w:tcPr>
          <w:p w:rsidR="00F638B3" w:rsidRPr="00B64FEA" w:rsidRDefault="00F638B3" w:rsidP="002C15D8">
            <w:pPr>
              <w:spacing w:before="60" w:after="60"/>
              <w:jc w:val="right"/>
              <w:rPr>
                <w:b/>
                <w:bCs/>
              </w:rPr>
            </w:pPr>
            <w:r w:rsidRPr="00B64FEA">
              <w:rPr>
                <w:b/>
              </w:rPr>
              <w:t>1 079 523</w:t>
            </w:r>
          </w:p>
        </w:tc>
      </w:tr>
      <w:tr w:rsidR="00F638B3" w:rsidRPr="00B64FEA" w:rsidTr="00DF045C">
        <w:trPr>
          <w:trHeight w:val="315"/>
        </w:trPr>
        <w:tc>
          <w:tcPr>
            <w:tcW w:w="1983" w:type="pct"/>
            <w:tcBorders>
              <w:top w:val="single" w:sz="8" w:space="0" w:color="auto"/>
              <w:left w:val="nil"/>
              <w:bottom w:val="single" w:sz="8" w:space="0" w:color="auto"/>
              <w:right w:val="nil"/>
            </w:tcBorders>
            <w:noWrap/>
            <w:vAlign w:val="center"/>
          </w:tcPr>
          <w:p w:rsidR="00F638B3" w:rsidRPr="00B64FEA" w:rsidRDefault="00F638B3" w:rsidP="002C15D8">
            <w:pPr>
              <w:spacing w:before="60" w:after="60"/>
            </w:pPr>
          </w:p>
        </w:tc>
        <w:tc>
          <w:tcPr>
            <w:tcW w:w="611" w:type="pct"/>
            <w:tcBorders>
              <w:top w:val="single" w:sz="8" w:space="0" w:color="auto"/>
              <w:left w:val="nil"/>
              <w:bottom w:val="single" w:sz="8" w:space="0" w:color="auto"/>
              <w:right w:val="nil"/>
            </w:tcBorders>
            <w:noWrap/>
            <w:vAlign w:val="center"/>
          </w:tcPr>
          <w:p w:rsidR="00F638B3" w:rsidRPr="00B64FEA" w:rsidRDefault="00F638B3" w:rsidP="002C15D8">
            <w:pPr>
              <w:spacing w:before="60" w:after="60"/>
              <w:jc w:val="right"/>
            </w:pPr>
          </w:p>
        </w:tc>
        <w:tc>
          <w:tcPr>
            <w:tcW w:w="316" w:type="pct"/>
            <w:tcBorders>
              <w:top w:val="single" w:sz="8" w:space="0" w:color="auto"/>
              <w:left w:val="nil"/>
              <w:bottom w:val="single" w:sz="8" w:space="0" w:color="auto"/>
              <w:right w:val="nil"/>
            </w:tcBorders>
            <w:noWrap/>
            <w:vAlign w:val="center"/>
          </w:tcPr>
          <w:p w:rsidR="00F638B3" w:rsidRPr="00B64FEA" w:rsidRDefault="00F638B3" w:rsidP="002C15D8">
            <w:pPr>
              <w:spacing w:before="60" w:after="60"/>
              <w:jc w:val="right"/>
            </w:pPr>
          </w:p>
        </w:tc>
        <w:tc>
          <w:tcPr>
            <w:tcW w:w="316" w:type="pct"/>
            <w:tcBorders>
              <w:top w:val="single" w:sz="8" w:space="0" w:color="auto"/>
              <w:left w:val="nil"/>
              <w:bottom w:val="single" w:sz="8" w:space="0" w:color="auto"/>
              <w:right w:val="nil"/>
            </w:tcBorders>
            <w:noWrap/>
            <w:vAlign w:val="center"/>
          </w:tcPr>
          <w:p w:rsidR="00F638B3" w:rsidRPr="00B64FEA" w:rsidRDefault="00F638B3" w:rsidP="002C15D8">
            <w:pPr>
              <w:spacing w:before="60" w:after="60"/>
              <w:jc w:val="right"/>
            </w:pPr>
          </w:p>
        </w:tc>
        <w:tc>
          <w:tcPr>
            <w:tcW w:w="316" w:type="pct"/>
            <w:tcBorders>
              <w:top w:val="single" w:sz="8" w:space="0" w:color="auto"/>
              <w:left w:val="nil"/>
              <w:bottom w:val="single" w:sz="8" w:space="0" w:color="auto"/>
              <w:right w:val="nil"/>
            </w:tcBorders>
            <w:noWrap/>
            <w:vAlign w:val="center"/>
          </w:tcPr>
          <w:p w:rsidR="00F638B3" w:rsidRPr="00B64FEA" w:rsidRDefault="00F638B3" w:rsidP="002C15D8">
            <w:pPr>
              <w:spacing w:before="60" w:after="60"/>
              <w:jc w:val="right"/>
            </w:pPr>
          </w:p>
        </w:tc>
        <w:tc>
          <w:tcPr>
            <w:tcW w:w="316" w:type="pct"/>
            <w:tcBorders>
              <w:top w:val="single" w:sz="8" w:space="0" w:color="auto"/>
              <w:left w:val="nil"/>
              <w:bottom w:val="single" w:sz="8" w:space="0" w:color="auto"/>
              <w:right w:val="nil"/>
            </w:tcBorders>
            <w:noWrap/>
            <w:vAlign w:val="center"/>
          </w:tcPr>
          <w:p w:rsidR="00F638B3" w:rsidRPr="00B64FEA" w:rsidRDefault="00F638B3" w:rsidP="002C15D8">
            <w:pPr>
              <w:spacing w:before="60" w:after="60"/>
              <w:jc w:val="right"/>
            </w:pPr>
          </w:p>
        </w:tc>
        <w:tc>
          <w:tcPr>
            <w:tcW w:w="316" w:type="pct"/>
            <w:tcBorders>
              <w:top w:val="single" w:sz="8" w:space="0" w:color="auto"/>
              <w:left w:val="nil"/>
              <w:bottom w:val="single" w:sz="8" w:space="0" w:color="auto"/>
              <w:right w:val="nil"/>
            </w:tcBorders>
            <w:noWrap/>
            <w:vAlign w:val="center"/>
          </w:tcPr>
          <w:p w:rsidR="00F638B3" w:rsidRPr="00B64FEA" w:rsidRDefault="00F638B3" w:rsidP="002C15D8">
            <w:pPr>
              <w:spacing w:before="60" w:after="60"/>
              <w:jc w:val="right"/>
            </w:pPr>
          </w:p>
        </w:tc>
        <w:tc>
          <w:tcPr>
            <w:tcW w:w="316" w:type="pct"/>
            <w:tcBorders>
              <w:top w:val="single" w:sz="8" w:space="0" w:color="auto"/>
              <w:left w:val="nil"/>
              <w:bottom w:val="single" w:sz="8" w:space="0" w:color="auto"/>
              <w:right w:val="nil"/>
            </w:tcBorders>
            <w:noWrap/>
            <w:vAlign w:val="center"/>
          </w:tcPr>
          <w:p w:rsidR="00F638B3" w:rsidRPr="00B64FEA" w:rsidRDefault="00F638B3" w:rsidP="002C15D8">
            <w:pPr>
              <w:spacing w:before="60" w:after="60"/>
              <w:jc w:val="right"/>
            </w:pPr>
          </w:p>
        </w:tc>
        <w:tc>
          <w:tcPr>
            <w:tcW w:w="509" w:type="pct"/>
            <w:tcBorders>
              <w:top w:val="single" w:sz="8" w:space="0" w:color="auto"/>
              <w:left w:val="nil"/>
              <w:bottom w:val="single" w:sz="8" w:space="0" w:color="auto"/>
              <w:right w:val="nil"/>
            </w:tcBorders>
            <w:noWrap/>
            <w:vAlign w:val="center"/>
          </w:tcPr>
          <w:p w:rsidR="00F638B3" w:rsidRPr="00B64FEA" w:rsidRDefault="00F638B3" w:rsidP="002C15D8">
            <w:pPr>
              <w:spacing w:before="60" w:after="60"/>
              <w:jc w:val="right"/>
            </w:pPr>
          </w:p>
        </w:tc>
      </w:tr>
      <w:tr w:rsidR="00F638B3" w:rsidRPr="00B64FEA" w:rsidTr="00DF045C">
        <w:trPr>
          <w:trHeight w:val="315"/>
        </w:trPr>
        <w:tc>
          <w:tcPr>
            <w:tcW w:w="1983" w:type="pct"/>
            <w:tcBorders>
              <w:top w:val="single" w:sz="8" w:space="0" w:color="auto"/>
              <w:left w:val="single" w:sz="8" w:space="0" w:color="auto"/>
              <w:bottom w:val="single" w:sz="8" w:space="0" w:color="auto"/>
              <w:right w:val="nil"/>
            </w:tcBorders>
            <w:noWrap/>
            <w:vAlign w:val="center"/>
            <w:hideMark/>
          </w:tcPr>
          <w:p w:rsidR="00F638B3" w:rsidRPr="00B64FEA" w:rsidRDefault="00F638B3" w:rsidP="002C15D8">
            <w:pPr>
              <w:spacing w:before="60" w:after="60"/>
              <w:jc w:val="right"/>
              <w:rPr>
                <w:b/>
                <w:bCs/>
              </w:rPr>
            </w:pPr>
            <w:r w:rsidRPr="00B64FEA">
              <w:rPr>
                <w:b/>
              </w:rPr>
              <w:t>ОБЩО БЮДЖЕТНИ КРЕДИТИ ЗА ПЛАЩАНИЯ</w:t>
            </w:r>
          </w:p>
        </w:tc>
        <w:tc>
          <w:tcPr>
            <w:tcW w:w="611" w:type="pct"/>
            <w:tcBorders>
              <w:top w:val="single" w:sz="8" w:space="0" w:color="auto"/>
              <w:left w:val="single" w:sz="4" w:space="0" w:color="auto"/>
              <w:bottom w:val="single" w:sz="8" w:space="0" w:color="auto"/>
              <w:right w:val="nil"/>
            </w:tcBorders>
            <w:noWrap/>
            <w:vAlign w:val="center"/>
            <w:hideMark/>
          </w:tcPr>
          <w:p w:rsidR="00F638B3" w:rsidRPr="00B64FEA" w:rsidRDefault="00F638B3" w:rsidP="002C15D8">
            <w:pPr>
              <w:spacing w:before="60" w:after="60"/>
              <w:jc w:val="right"/>
              <w:rPr>
                <w:b/>
                <w:bCs/>
              </w:rPr>
            </w:pPr>
            <w:r w:rsidRPr="00B64FEA">
              <w:rPr>
                <w:b/>
              </w:rPr>
              <w:t>154 065</w:t>
            </w:r>
          </w:p>
        </w:tc>
        <w:tc>
          <w:tcPr>
            <w:tcW w:w="316" w:type="pct"/>
            <w:tcBorders>
              <w:top w:val="single" w:sz="8" w:space="0" w:color="auto"/>
              <w:left w:val="nil"/>
              <w:bottom w:val="single" w:sz="8" w:space="0" w:color="auto"/>
              <w:right w:val="nil"/>
            </w:tcBorders>
            <w:noWrap/>
            <w:vAlign w:val="center"/>
            <w:hideMark/>
          </w:tcPr>
          <w:p w:rsidR="00F638B3" w:rsidRPr="00B64FEA" w:rsidRDefault="00F638B3" w:rsidP="002C15D8">
            <w:pPr>
              <w:spacing w:before="60" w:after="60"/>
              <w:jc w:val="right"/>
              <w:rPr>
                <w:b/>
                <w:bCs/>
              </w:rPr>
            </w:pPr>
            <w:r w:rsidRPr="00B64FEA">
              <w:rPr>
                <w:b/>
              </w:rPr>
              <w:t>153 850</w:t>
            </w:r>
          </w:p>
        </w:tc>
        <w:tc>
          <w:tcPr>
            <w:tcW w:w="316" w:type="pct"/>
            <w:tcBorders>
              <w:top w:val="single" w:sz="8" w:space="0" w:color="auto"/>
              <w:left w:val="nil"/>
              <w:bottom w:val="single" w:sz="8" w:space="0" w:color="auto"/>
              <w:right w:val="nil"/>
            </w:tcBorders>
            <w:noWrap/>
            <w:vAlign w:val="center"/>
            <w:hideMark/>
          </w:tcPr>
          <w:p w:rsidR="00F638B3" w:rsidRPr="00B64FEA" w:rsidRDefault="00F638B3" w:rsidP="002C15D8">
            <w:pPr>
              <w:spacing w:before="60" w:after="60"/>
              <w:jc w:val="right"/>
              <w:rPr>
                <w:b/>
                <w:bCs/>
              </w:rPr>
            </w:pPr>
            <w:r w:rsidRPr="00B64FEA">
              <w:rPr>
                <w:b/>
              </w:rPr>
              <w:t>152 682</w:t>
            </w:r>
          </w:p>
        </w:tc>
        <w:tc>
          <w:tcPr>
            <w:tcW w:w="316" w:type="pct"/>
            <w:tcBorders>
              <w:top w:val="single" w:sz="8" w:space="0" w:color="auto"/>
              <w:left w:val="nil"/>
              <w:bottom w:val="single" w:sz="8" w:space="0" w:color="auto"/>
              <w:right w:val="nil"/>
            </w:tcBorders>
            <w:noWrap/>
            <w:vAlign w:val="center"/>
            <w:hideMark/>
          </w:tcPr>
          <w:p w:rsidR="00F638B3" w:rsidRPr="00B64FEA" w:rsidRDefault="00F638B3" w:rsidP="002C15D8">
            <w:pPr>
              <w:spacing w:before="60" w:after="60"/>
              <w:jc w:val="right"/>
              <w:rPr>
                <w:b/>
                <w:bCs/>
              </w:rPr>
            </w:pPr>
            <w:r w:rsidRPr="00B64FEA">
              <w:rPr>
                <w:b/>
              </w:rPr>
              <w:t>151 436</w:t>
            </w:r>
          </w:p>
        </w:tc>
        <w:tc>
          <w:tcPr>
            <w:tcW w:w="316" w:type="pct"/>
            <w:tcBorders>
              <w:top w:val="single" w:sz="8" w:space="0" w:color="auto"/>
              <w:left w:val="nil"/>
              <w:bottom w:val="single" w:sz="8" w:space="0" w:color="auto"/>
              <w:right w:val="nil"/>
            </w:tcBorders>
            <w:noWrap/>
            <w:vAlign w:val="center"/>
            <w:hideMark/>
          </w:tcPr>
          <w:p w:rsidR="00F638B3" w:rsidRPr="00B64FEA" w:rsidRDefault="00F638B3" w:rsidP="002C15D8">
            <w:pPr>
              <w:spacing w:before="60" w:after="60"/>
              <w:jc w:val="right"/>
              <w:rPr>
                <w:b/>
                <w:bCs/>
              </w:rPr>
            </w:pPr>
            <w:r w:rsidRPr="00B64FEA">
              <w:rPr>
                <w:b/>
              </w:rPr>
              <w:t>151 175</w:t>
            </w:r>
          </w:p>
        </w:tc>
        <w:tc>
          <w:tcPr>
            <w:tcW w:w="316" w:type="pct"/>
            <w:tcBorders>
              <w:top w:val="single" w:sz="8" w:space="0" w:color="auto"/>
              <w:left w:val="nil"/>
              <w:bottom w:val="single" w:sz="8" w:space="0" w:color="auto"/>
              <w:right w:val="nil"/>
            </w:tcBorders>
            <w:noWrap/>
            <w:vAlign w:val="center"/>
            <w:hideMark/>
          </w:tcPr>
          <w:p w:rsidR="00F638B3" w:rsidRPr="00B64FEA" w:rsidRDefault="00F638B3" w:rsidP="002C15D8">
            <w:pPr>
              <w:spacing w:before="60" w:after="60"/>
              <w:jc w:val="right"/>
              <w:rPr>
                <w:b/>
                <w:bCs/>
              </w:rPr>
            </w:pPr>
            <w:r w:rsidRPr="00B64FEA">
              <w:rPr>
                <w:b/>
              </w:rPr>
              <w:t>151 175</w:t>
            </w:r>
          </w:p>
        </w:tc>
        <w:tc>
          <w:tcPr>
            <w:tcW w:w="316" w:type="pct"/>
            <w:tcBorders>
              <w:top w:val="single" w:sz="8" w:space="0" w:color="auto"/>
              <w:left w:val="nil"/>
              <w:bottom w:val="single" w:sz="8" w:space="0" w:color="auto"/>
              <w:right w:val="nil"/>
            </w:tcBorders>
            <w:noWrap/>
            <w:vAlign w:val="center"/>
            <w:hideMark/>
          </w:tcPr>
          <w:p w:rsidR="00F638B3" w:rsidRPr="00B64FEA" w:rsidRDefault="00F638B3" w:rsidP="002C15D8">
            <w:pPr>
              <w:spacing w:before="60" w:after="60"/>
              <w:jc w:val="right"/>
              <w:rPr>
                <w:b/>
                <w:bCs/>
              </w:rPr>
            </w:pPr>
            <w:r w:rsidRPr="00B64FEA">
              <w:rPr>
                <w:b/>
              </w:rPr>
              <w:t>151 175</w:t>
            </w:r>
          </w:p>
        </w:tc>
        <w:tc>
          <w:tcPr>
            <w:tcW w:w="509" w:type="pct"/>
            <w:tcBorders>
              <w:top w:val="single" w:sz="8" w:space="0" w:color="auto"/>
              <w:left w:val="single" w:sz="4" w:space="0" w:color="auto"/>
              <w:bottom w:val="single" w:sz="8" w:space="0" w:color="auto"/>
              <w:right w:val="single" w:sz="8" w:space="0" w:color="auto"/>
            </w:tcBorders>
            <w:noWrap/>
            <w:vAlign w:val="center"/>
            <w:hideMark/>
          </w:tcPr>
          <w:p w:rsidR="00F638B3" w:rsidRPr="00B64FEA" w:rsidRDefault="00F638B3" w:rsidP="002C15D8">
            <w:pPr>
              <w:spacing w:before="60" w:after="60"/>
              <w:jc w:val="right"/>
              <w:rPr>
                <w:b/>
                <w:bCs/>
              </w:rPr>
            </w:pPr>
            <w:r w:rsidRPr="00B64FEA">
              <w:rPr>
                <w:b/>
              </w:rPr>
              <w:t>1 065 558</w:t>
            </w:r>
          </w:p>
        </w:tc>
      </w:tr>
    </w:tbl>
    <w:p w:rsidR="00F638B3" w:rsidRPr="00B64FEA" w:rsidRDefault="00F638B3" w:rsidP="00F638B3">
      <w:pPr>
        <w:pStyle w:val="NormalRight"/>
      </w:pPr>
    </w:p>
    <w:p w:rsidR="00F638B3" w:rsidRPr="00B64FEA" w:rsidRDefault="00F638B3" w:rsidP="00F638B3">
      <w:pPr>
        <w:pStyle w:val="NormalCentered"/>
      </w:pPr>
      <w:r w:rsidRPr="00B64FEA">
        <w:br w:type="page"/>
      </w:r>
      <w:r w:rsidRPr="00B64FEA">
        <w:lastRenderedPageBreak/>
        <w:t xml:space="preserve">ПРИЛОЖЕНИЕ II </w:t>
      </w:r>
      <w:r w:rsidRPr="00B64FEA">
        <w:br/>
        <w:t>СПЕЦИФИЧНА КОРЕКЦИЯ НА ПРОГРАМИТЕ — СПИСЪК НА ПРОГРАМИТЕ, КОЕФИЦИЕНТ ЗА РАЗПРЕДЕЛЕНИЕ И ОБЩО ДОПЪЛНИТЕЛНО РАЗПРЕДЕЛЕНИ СРЕДСТВА ЗА БЮДЖЕТНИ КРЕДИТИ ЗА ПОЕТИ ЗАДЪЛЖЕНИЯ</w:t>
      </w:r>
    </w:p>
    <w:tbl>
      <w:tblPr>
        <w:tblW w:w="5000" w:type="pct"/>
        <w:tblLook w:val="04A0" w:firstRow="1" w:lastRow="0" w:firstColumn="1" w:lastColumn="0" w:noHBand="0" w:noVBand="1"/>
      </w:tblPr>
      <w:tblGrid>
        <w:gridCol w:w="5881"/>
        <w:gridCol w:w="2092"/>
        <w:gridCol w:w="2229"/>
        <w:gridCol w:w="4084"/>
      </w:tblGrid>
      <w:tr w:rsidR="00F638B3" w:rsidRPr="00B64FEA" w:rsidTr="002C15D8">
        <w:trPr>
          <w:trHeight w:val="20"/>
        </w:trPr>
        <w:tc>
          <w:tcPr>
            <w:tcW w:w="1810" w:type="pct"/>
            <w:tcBorders>
              <w:top w:val="nil"/>
              <w:left w:val="nil"/>
              <w:bottom w:val="single" w:sz="8" w:space="0" w:color="auto"/>
              <w:right w:val="nil"/>
            </w:tcBorders>
            <w:noWrap/>
            <w:hideMark/>
          </w:tcPr>
          <w:p w:rsidR="00F638B3" w:rsidRPr="00B64FEA" w:rsidRDefault="00F638B3" w:rsidP="002C15D8"/>
        </w:tc>
        <w:tc>
          <w:tcPr>
            <w:tcW w:w="815" w:type="pct"/>
            <w:tcBorders>
              <w:top w:val="nil"/>
              <w:left w:val="nil"/>
              <w:bottom w:val="single" w:sz="8" w:space="0" w:color="auto"/>
              <w:right w:val="nil"/>
            </w:tcBorders>
            <w:noWrap/>
            <w:hideMark/>
          </w:tcPr>
          <w:p w:rsidR="00F638B3" w:rsidRPr="00B64FEA" w:rsidRDefault="00F638B3" w:rsidP="002C15D8">
            <w:pPr>
              <w:spacing w:after="160" w:line="256" w:lineRule="auto"/>
              <w:rPr>
                <w:rFonts w:asciiTheme="minorHAnsi" w:hAnsiTheme="minorHAnsi" w:cstheme="minorBidi"/>
                <w:sz w:val="20"/>
              </w:rPr>
            </w:pPr>
          </w:p>
        </w:tc>
        <w:tc>
          <w:tcPr>
            <w:tcW w:w="863" w:type="pct"/>
            <w:tcBorders>
              <w:top w:val="nil"/>
              <w:left w:val="nil"/>
              <w:bottom w:val="single" w:sz="8" w:space="0" w:color="auto"/>
              <w:right w:val="nil"/>
            </w:tcBorders>
          </w:tcPr>
          <w:p w:rsidR="00F638B3" w:rsidRPr="00B64FEA" w:rsidRDefault="00F638B3" w:rsidP="002C15D8">
            <w:pPr>
              <w:spacing w:before="60" w:after="60"/>
              <w:jc w:val="right"/>
              <w:rPr>
                <w:szCs w:val="22"/>
                <w:lang w:eastAsia="en-US"/>
              </w:rPr>
            </w:pPr>
          </w:p>
        </w:tc>
        <w:tc>
          <w:tcPr>
            <w:tcW w:w="1512" w:type="pct"/>
            <w:tcBorders>
              <w:top w:val="nil"/>
              <w:left w:val="nil"/>
              <w:bottom w:val="single" w:sz="8" w:space="0" w:color="auto"/>
              <w:right w:val="nil"/>
            </w:tcBorders>
            <w:noWrap/>
            <w:hideMark/>
          </w:tcPr>
          <w:p w:rsidR="00F638B3" w:rsidRPr="00B64FEA" w:rsidRDefault="00F638B3" w:rsidP="002C15D8">
            <w:pPr>
              <w:spacing w:before="60" w:after="60"/>
              <w:jc w:val="right"/>
            </w:pPr>
            <w:r w:rsidRPr="00B64FEA">
              <w:t>(млн. евро, по цени от 2018 г.)</w:t>
            </w:r>
          </w:p>
        </w:tc>
      </w:tr>
      <w:tr w:rsidR="00F638B3" w:rsidRPr="00B64FEA" w:rsidTr="002C15D8">
        <w:trPr>
          <w:trHeight w:val="20"/>
        </w:trPr>
        <w:tc>
          <w:tcPr>
            <w:tcW w:w="1810" w:type="pct"/>
            <w:tcBorders>
              <w:top w:val="single" w:sz="8" w:space="0" w:color="auto"/>
              <w:left w:val="nil"/>
              <w:bottom w:val="single" w:sz="8" w:space="0" w:color="auto"/>
              <w:right w:val="nil"/>
            </w:tcBorders>
            <w:noWrap/>
            <w:hideMark/>
          </w:tcPr>
          <w:p w:rsidR="00F638B3" w:rsidRPr="00B64FEA" w:rsidRDefault="00F638B3" w:rsidP="002C15D8"/>
        </w:tc>
        <w:tc>
          <w:tcPr>
            <w:tcW w:w="1678" w:type="pct"/>
            <w:gridSpan w:val="2"/>
            <w:tcBorders>
              <w:top w:val="single" w:sz="4" w:space="0" w:color="auto"/>
              <w:left w:val="nil"/>
              <w:bottom w:val="single" w:sz="8" w:space="0" w:color="auto"/>
              <w:right w:val="nil"/>
            </w:tcBorders>
            <w:noWrap/>
            <w:hideMark/>
          </w:tcPr>
          <w:p w:rsidR="00F638B3" w:rsidRPr="00B64FEA" w:rsidRDefault="00F638B3" w:rsidP="002C15D8">
            <w:pPr>
              <w:spacing w:before="60" w:after="60"/>
              <w:jc w:val="center"/>
              <w:rPr>
                <w:szCs w:val="22"/>
              </w:rPr>
            </w:pPr>
            <w:r w:rsidRPr="00B64FEA">
              <w:t>Коефициент за разпределение</w:t>
            </w:r>
          </w:p>
        </w:tc>
        <w:tc>
          <w:tcPr>
            <w:tcW w:w="1512" w:type="pct"/>
            <w:tcBorders>
              <w:top w:val="single" w:sz="8" w:space="0" w:color="auto"/>
              <w:left w:val="nil"/>
              <w:bottom w:val="single" w:sz="8" w:space="0" w:color="auto"/>
              <w:right w:val="nil"/>
            </w:tcBorders>
            <w:hideMark/>
          </w:tcPr>
          <w:p w:rsidR="00F638B3" w:rsidRPr="00B64FEA" w:rsidRDefault="00F638B3" w:rsidP="002C15D8">
            <w:pPr>
              <w:spacing w:before="60" w:after="60"/>
              <w:jc w:val="center"/>
            </w:pPr>
            <w:r w:rsidRPr="00B64FEA">
              <w:t>Общо допълнително разпределени средства за бюджетни кредити за поети задължения съгласно член 5</w:t>
            </w:r>
          </w:p>
        </w:tc>
      </w:tr>
      <w:tr w:rsidR="00F638B3" w:rsidRPr="00B64FEA" w:rsidTr="002C15D8">
        <w:trPr>
          <w:trHeight w:val="20"/>
        </w:trPr>
        <w:tc>
          <w:tcPr>
            <w:tcW w:w="1810" w:type="pct"/>
            <w:tcBorders>
              <w:top w:val="single" w:sz="8" w:space="0" w:color="auto"/>
              <w:left w:val="nil"/>
              <w:bottom w:val="nil"/>
              <w:right w:val="nil"/>
            </w:tcBorders>
            <w:noWrap/>
          </w:tcPr>
          <w:p w:rsidR="00F638B3" w:rsidRPr="00B64FEA" w:rsidRDefault="00F638B3" w:rsidP="002C15D8">
            <w:pPr>
              <w:spacing w:before="60" w:after="60"/>
              <w:jc w:val="center"/>
            </w:pPr>
          </w:p>
        </w:tc>
        <w:tc>
          <w:tcPr>
            <w:tcW w:w="815" w:type="pct"/>
            <w:tcBorders>
              <w:top w:val="single" w:sz="8" w:space="0" w:color="auto"/>
              <w:left w:val="nil"/>
              <w:bottom w:val="nil"/>
              <w:right w:val="nil"/>
            </w:tcBorders>
            <w:noWrap/>
            <w:hideMark/>
          </w:tcPr>
          <w:p w:rsidR="00F638B3" w:rsidRPr="00B64FEA" w:rsidRDefault="00F638B3" w:rsidP="002C15D8">
            <w:pPr>
              <w:spacing w:before="60" w:after="60"/>
              <w:jc w:val="center"/>
              <w:rPr>
                <w:b/>
              </w:rPr>
            </w:pPr>
            <w:r w:rsidRPr="00B64FEA">
              <w:rPr>
                <w:b/>
              </w:rPr>
              <w:t>2022-2024</w:t>
            </w:r>
          </w:p>
        </w:tc>
        <w:tc>
          <w:tcPr>
            <w:tcW w:w="863" w:type="pct"/>
            <w:tcBorders>
              <w:top w:val="single" w:sz="8" w:space="0" w:color="auto"/>
              <w:left w:val="nil"/>
              <w:bottom w:val="nil"/>
              <w:right w:val="nil"/>
            </w:tcBorders>
            <w:hideMark/>
          </w:tcPr>
          <w:p w:rsidR="00F638B3" w:rsidRPr="00B64FEA" w:rsidRDefault="00F638B3" w:rsidP="002C15D8">
            <w:pPr>
              <w:spacing w:before="60" w:after="60"/>
              <w:jc w:val="center"/>
              <w:rPr>
                <w:b/>
              </w:rPr>
            </w:pPr>
            <w:r w:rsidRPr="00B64FEA">
              <w:rPr>
                <w:b/>
              </w:rPr>
              <w:t>2025-2027</w:t>
            </w:r>
          </w:p>
        </w:tc>
        <w:tc>
          <w:tcPr>
            <w:tcW w:w="1512" w:type="pct"/>
            <w:tcBorders>
              <w:top w:val="single" w:sz="8" w:space="0" w:color="auto"/>
              <w:left w:val="nil"/>
              <w:bottom w:val="nil"/>
              <w:right w:val="nil"/>
            </w:tcBorders>
          </w:tcPr>
          <w:p w:rsidR="00F638B3" w:rsidRPr="00B64FEA" w:rsidRDefault="00F638B3" w:rsidP="002C15D8">
            <w:pPr>
              <w:spacing w:before="60" w:after="60"/>
              <w:jc w:val="center"/>
            </w:pPr>
          </w:p>
        </w:tc>
      </w:tr>
      <w:tr w:rsidR="00F638B3" w:rsidRPr="00B64FEA" w:rsidTr="002C15D8">
        <w:trPr>
          <w:trHeight w:val="20"/>
        </w:trPr>
        <w:tc>
          <w:tcPr>
            <w:tcW w:w="1810" w:type="pct"/>
            <w:noWrap/>
            <w:hideMark/>
          </w:tcPr>
          <w:p w:rsidR="00F638B3" w:rsidRPr="00B64FEA" w:rsidRDefault="00F638B3" w:rsidP="002C15D8">
            <w:pPr>
              <w:pStyle w:val="Point0"/>
              <w:spacing w:before="60" w:after="60" w:line="240" w:lineRule="auto"/>
              <w:rPr>
                <w:b/>
                <w:bCs/>
              </w:rPr>
            </w:pPr>
            <w:r w:rsidRPr="00B64FEA">
              <w:rPr>
                <w:b/>
              </w:rPr>
              <w:t>1.</w:t>
            </w:r>
            <w:r w:rsidRPr="00B64FEA">
              <w:rPr>
                <w:b/>
              </w:rPr>
              <w:tab/>
              <w:t>Единен пазар, иновации и цифрова сфера</w:t>
            </w:r>
          </w:p>
        </w:tc>
        <w:tc>
          <w:tcPr>
            <w:tcW w:w="815" w:type="pct"/>
            <w:noWrap/>
            <w:hideMark/>
          </w:tcPr>
          <w:p w:rsidR="00F638B3" w:rsidRPr="00B64FEA" w:rsidRDefault="00F638B3" w:rsidP="002C15D8">
            <w:pPr>
              <w:spacing w:before="60" w:after="60"/>
              <w:ind w:right="567"/>
              <w:jc w:val="right"/>
              <w:rPr>
                <w:b/>
              </w:rPr>
            </w:pPr>
            <w:r w:rsidRPr="00B64FEA">
              <w:rPr>
                <w:b/>
              </w:rPr>
              <w:t>36,36 %</w:t>
            </w:r>
          </w:p>
        </w:tc>
        <w:tc>
          <w:tcPr>
            <w:tcW w:w="863" w:type="pct"/>
            <w:hideMark/>
          </w:tcPr>
          <w:p w:rsidR="00F638B3" w:rsidRPr="00B64FEA" w:rsidRDefault="00F638B3" w:rsidP="002C15D8">
            <w:pPr>
              <w:spacing w:before="60" w:after="60"/>
              <w:ind w:right="567"/>
              <w:jc w:val="right"/>
              <w:rPr>
                <w:b/>
              </w:rPr>
            </w:pPr>
            <w:r w:rsidRPr="00B64FEA">
              <w:rPr>
                <w:b/>
              </w:rPr>
              <w:t>41,79 %</w:t>
            </w:r>
          </w:p>
        </w:tc>
        <w:tc>
          <w:tcPr>
            <w:tcW w:w="1512" w:type="pct"/>
            <w:noWrap/>
            <w:hideMark/>
          </w:tcPr>
          <w:p w:rsidR="00F638B3" w:rsidRPr="00B64FEA" w:rsidRDefault="00F638B3" w:rsidP="002C15D8">
            <w:pPr>
              <w:spacing w:before="60" w:after="60"/>
              <w:ind w:right="1134"/>
              <w:jc w:val="right"/>
              <w:rPr>
                <w:b/>
              </w:rPr>
            </w:pPr>
            <w:r w:rsidRPr="00B64FEA">
              <w:rPr>
                <w:b/>
              </w:rPr>
              <w:t>4 000</w:t>
            </w:r>
          </w:p>
        </w:tc>
      </w:tr>
      <w:tr w:rsidR="00F638B3" w:rsidRPr="00B64FEA" w:rsidTr="002C15D8">
        <w:trPr>
          <w:trHeight w:val="20"/>
        </w:trPr>
        <w:tc>
          <w:tcPr>
            <w:tcW w:w="1810" w:type="pct"/>
            <w:noWrap/>
            <w:hideMark/>
          </w:tcPr>
          <w:p w:rsidR="00F638B3" w:rsidRPr="00B64FEA" w:rsidRDefault="00F638B3" w:rsidP="002C15D8">
            <w:pPr>
              <w:pStyle w:val="Text1"/>
              <w:spacing w:before="60" w:after="60" w:line="240" w:lineRule="auto"/>
            </w:pPr>
            <w:r w:rsidRPr="00B64FEA">
              <w:t>програма „Хоризонт Европа“</w:t>
            </w:r>
          </w:p>
        </w:tc>
        <w:tc>
          <w:tcPr>
            <w:tcW w:w="815" w:type="pct"/>
            <w:noWrap/>
            <w:hideMark/>
          </w:tcPr>
          <w:p w:rsidR="00F638B3" w:rsidRPr="00B64FEA" w:rsidRDefault="00F638B3" w:rsidP="002C15D8">
            <w:pPr>
              <w:spacing w:before="60" w:after="60"/>
              <w:ind w:left="-156" w:right="567" w:firstLine="156"/>
              <w:jc w:val="right"/>
            </w:pPr>
            <w:r w:rsidRPr="00B64FEA">
              <w:t>27,27 %</w:t>
            </w:r>
          </w:p>
        </w:tc>
        <w:tc>
          <w:tcPr>
            <w:tcW w:w="863" w:type="pct"/>
            <w:hideMark/>
          </w:tcPr>
          <w:p w:rsidR="00F638B3" w:rsidRPr="00B64FEA" w:rsidRDefault="00F638B3" w:rsidP="002C15D8">
            <w:pPr>
              <w:spacing w:before="60" w:after="60"/>
              <w:ind w:right="567"/>
              <w:jc w:val="right"/>
            </w:pPr>
            <w:r w:rsidRPr="00B64FEA">
              <w:t>31,34 %</w:t>
            </w:r>
          </w:p>
        </w:tc>
        <w:tc>
          <w:tcPr>
            <w:tcW w:w="1512" w:type="pct"/>
            <w:noWrap/>
            <w:hideMark/>
          </w:tcPr>
          <w:p w:rsidR="00F638B3" w:rsidRPr="00B64FEA" w:rsidRDefault="00F638B3" w:rsidP="002C15D8">
            <w:pPr>
              <w:spacing w:before="60" w:after="60"/>
              <w:ind w:right="1134"/>
              <w:jc w:val="right"/>
            </w:pPr>
            <w:r w:rsidRPr="00B64FEA">
              <w:t>3 000</w:t>
            </w:r>
          </w:p>
        </w:tc>
      </w:tr>
      <w:tr w:rsidR="00F638B3" w:rsidRPr="00B64FEA" w:rsidTr="002C15D8">
        <w:trPr>
          <w:trHeight w:val="20"/>
        </w:trPr>
        <w:tc>
          <w:tcPr>
            <w:tcW w:w="1810" w:type="pct"/>
            <w:noWrap/>
            <w:hideMark/>
          </w:tcPr>
          <w:p w:rsidR="00F638B3" w:rsidRPr="00B64FEA" w:rsidRDefault="00F638B3" w:rsidP="002C15D8">
            <w:pPr>
              <w:pStyle w:val="Text1"/>
              <w:spacing w:before="60" w:after="60" w:line="240" w:lineRule="auto"/>
            </w:pPr>
            <w:r w:rsidRPr="00B64FEA">
              <w:t>Фонд InvestEU</w:t>
            </w:r>
          </w:p>
        </w:tc>
        <w:tc>
          <w:tcPr>
            <w:tcW w:w="815" w:type="pct"/>
            <w:noWrap/>
            <w:hideMark/>
          </w:tcPr>
          <w:p w:rsidR="00F638B3" w:rsidRPr="00B64FEA" w:rsidRDefault="00F638B3" w:rsidP="002C15D8">
            <w:pPr>
              <w:spacing w:before="60" w:after="60"/>
              <w:ind w:right="567"/>
              <w:jc w:val="right"/>
            </w:pPr>
            <w:r w:rsidRPr="00B64FEA">
              <w:t>9,09 %</w:t>
            </w:r>
          </w:p>
        </w:tc>
        <w:tc>
          <w:tcPr>
            <w:tcW w:w="863" w:type="pct"/>
            <w:hideMark/>
          </w:tcPr>
          <w:p w:rsidR="00F638B3" w:rsidRPr="00B64FEA" w:rsidRDefault="00F638B3" w:rsidP="002C15D8">
            <w:pPr>
              <w:spacing w:before="60" w:after="60"/>
              <w:ind w:right="567"/>
              <w:jc w:val="right"/>
            </w:pPr>
            <w:r w:rsidRPr="00B64FEA">
              <w:t>10,45 %</w:t>
            </w:r>
          </w:p>
        </w:tc>
        <w:tc>
          <w:tcPr>
            <w:tcW w:w="1512" w:type="pct"/>
            <w:noWrap/>
            <w:hideMark/>
          </w:tcPr>
          <w:p w:rsidR="00F638B3" w:rsidRPr="00B64FEA" w:rsidRDefault="00F638B3" w:rsidP="002C15D8">
            <w:pPr>
              <w:spacing w:before="60" w:after="60"/>
              <w:ind w:right="1134"/>
              <w:jc w:val="right"/>
            </w:pPr>
            <w:r w:rsidRPr="00B64FEA">
              <w:t>1 000</w:t>
            </w:r>
          </w:p>
        </w:tc>
      </w:tr>
      <w:tr w:rsidR="00F638B3" w:rsidRPr="00B64FEA" w:rsidTr="002C15D8">
        <w:trPr>
          <w:trHeight w:val="20"/>
        </w:trPr>
        <w:tc>
          <w:tcPr>
            <w:tcW w:w="1810" w:type="pct"/>
            <w:noWrap/>
            <w:hideMark/>
          </w:tcPr>
          <w:p w:rsidR="00F638B3" w:rsidRPr="00B64FEA" w:rsidRDefault="00F638B3" w:rsidP="002C15D8">
            <w:pPr>
              <w:pStyle w:val="Point0"/>
              <w:spacing w:before="60" w:after="60" w:line="240" w:lineRule="auto"/>
              <w:rPr>
                <w:b/>
                <w:bCs/>
              </w:rPr>
            </w:pPr>
            <w:r w:rsidRPr="00B64FEA">
              <w:rPr>
                <w:b/>
              </w:rPr>
              <w:t>2б.</w:t>
            </w:r>
            <w:r w:rsidRPr="00B64FEA">
              <w:rPr>
                <w:b/>
              </w:rPr>
              <w:tab/>
              <w:t>Устойчивост и ценности</w:t>
            </w:r>
          </w:p>
        </w:tc>
        <w:tc>
          <w:tcPr>
            <w:tcW w:w="815" w:type="pct"/>
            <w:noWrap/>
            <w:hideMark/>
          </w:tcPr>
          <w:p w:rsidR="00F638B3" w:rsidRPr="00B64FEA" w:rsidRDefault="00F638B3" w:rsidP="002C15D8">
            <w:pPr>
              <w:spacing w:before="60" w:after="60"/>
              <w:ind w:right="567"/>
              <w:jc w:val="right"/>
              <w:rPr>
                <w:b/>
              </w:rPr>
            </w:pPr>
            <w:r w:rsidRPr="00B64FEA">
              <w:rPr>
                <w:b/>
              </w:rPr>
              <w:t>54,55 %</w:t>
            </w:r>
          </w:p>
        </w:tc>
        <w:tc>
          <w:tcPr>
            <w:tcW w:w="863" w:type="pct"/>
            <w:hideMark/>
          </w:tcPr>
          <w:p w:rsidR="00F638B3" w:rsidRPr="00B64FEA" w:rsidRDefault="00F638B3" w:rsidP="002C15D8">
            <w:pPr>
              <w:spacing w:before="60" w:after="60"/>
              <w:ind w:right="567"/>
              <w:jc w:val="right"/>
              <w:rPr>
                <w:b/>
              </w:rPr>
            </w:pPr>
            <w:r w:rsidRPr="00B64FEA">
              <w:rPr>
                <w:b/>
              </w:rPr>
              <w:t>47,76 %</w:t>
            </w:r>
          </w:p>
        </w:tc>
        <w:tc>
          <w:tcPr>
            <w:tcW w:w="1512" w:type="pct"/>
            <w:noWrap/>
            <w:hideMark/>
          </w:tcPr>
          <w:p w:rsidR="00F638B3" w:rsidRPr="00B64FEA" w:rsidRDefault="00F638B3" w:rsidP="002C15D8">
            <w:pPr>
              <w:spacing w:before="60" w:after="60"/>
              <w:ind w:right="1134"/>
              <w:jc w:val="right"/>
              <w:rPr>
                <w:b/>
              </w:rPr>
            </w:pPr>
            <w:r w:rsidRPr="00B64FEA">
              <w:rPr>
                <w:b/>
              </w:rPr>
              <w:t>5 155</w:t>
            </w:r>
          </w:p>
        </w:tc>
      </w:tr>
      <w:tr w:rsidR="00F638B3" w:rsidRPr="00B64FEA" w:rsidTr="002C15D8">
        <w:trPr>
          <w:trHeight w:val="20"/>
        </w:trPr>
        <w:tc>
          <w:tcPr>
            <w:tcW w:w="1810" w:type="pct"/>
            <w:noWrap/>
            <w:hideMark/>
          </w:tcPr>
          <w:p w:rsidR="00F638B3" w:rsidRPr="00B64FEA" w:rsidRDefault="00F638B3" w:rsidP="002C15D8">
            <w:pPr>
              <w:pStyle w:val="Text1"/>
              <w:spacing w:before="60" w:after="60" w:line="240" w:lineRule="auto"/>
            </w:pPr>
            <w:r w:rsidRPr="00B64FEA">
              <w:t>„ЕС в подкрепа на здравето“</w:t>
            </w:r>
          </w:p>
        </w:tc>
        <w:tc>
          <w:tcPr>
            <w:tcW w:w="815" w:type="pct"/>
            <w:noWrap/>
            <w:hideMark/>
          </w:tcPr>
          <w:p w:rsidR="00F638B3" w:rsidRPr="00B64FEA" w:rsidRDefault="00F638B3" w:rsidP="002C15D8">
            <w:pPr>
              <w:spacing w:before="60" w:after="60"/>
              <w:ind w:right="567"/>
              <w:jc w:val="right"/>
            </w:pPr>
            <w:r w:rsidRPr="00B64FEA">
              <w:t>26,37 %</w:t>
            </w:r>
          </w:p>
        </w:tc>
        <w:tc>
          <w:tcPr>
            <w:tcW w:w="863" w:type="pct"/>
            <w:hideMark/>
          </w:tcPr>
          <w:p w:rsidR="00F638B3" w:rsidRPr="00B64FEA" w:rsidRDefault="00F638B3" w:rsidP="002C15D8">
            <w:pPr>
              <w:spacing w:before="60" w:after="60"/>
              <w:ind w:right="567"/>
              <w:jc w:val="right"/>
            </w:pPr>
            <w:r w:rsidRPr="00B64FEA">
              <w:t>15,37 %</w:t>
            </w:r>
          </w:p>
        </w:tc>
        <w:tc>
          <w:tcPr>
            <w:tcW w:w="1512" w:type="pct"/>
            <w:noWrap/>
            <w:hideMark/>
          </w:tcPr>
          <w:p w:rsidR="00F638B3" w:rsidRPr="00B64FEA" w:rsidRDefault="00F638B3" w:rsidP="002C15D8">
            <w:pPr>
              <w:spacing w:before="60" w:after="60"/>
              <w:ind w:right="1134"/>
              <w:jc w:val="right"/>
              <w:rPr>
                <w:bCs/>
              </w:rPr>
            </w:pPr>
            <w:r w:rsidRPr="00B64FEA">
              <w:t>2 055</w:t>
            </w:r>
          </w:p>
        </w:tc>
      </w:tr>
      <w:tr w:rsidR="00F638B3" w:rsidRPr="00B64FEA" w:rsidTr="002C15D8">
        <w:trPr>
          <w:trHeight w:val="20"/>
        </w:trPr>
        <w:tc>
          <w:tcPr>
            <w:tcW w:w="1810" w:type="pct"/>
            <w:noWrap/>
            <w:hideMark/>
          </w:tcPr>
          <w:p w:rsidR="00F638B3" w:rsidRPr="00B64FEA" w:rsidRDefault="00F638B3" w:rsidP="002C15D8">
            <w:pPr>
              <w:pStyle w:val="Text1"/>
              <w:spacing w:before="60" w:after="60" w:line="240" w:lineRule="auto"/>
            </w:pPr>
            <w:r w:rsidRPr="00B64FEA">
              <w:t>„Еразъм+“</w:t>
            </w:r>
          </w:p>
        </w:tc>
        <w:tc>
          <w:tcPr>
            <w:tcW w:w="815" w:type="pct"/>
            <w:noWrap/>
            <w:hideMark/>
          </w:tcPr>
          <w:p w:rsidR="00F638B3" w:rsidRPr="00B64FEA" w:rsidRDefault="00F638B3" w:rsidP="002C15D8">
            <w:pPr>
              <w:spacing w:before="60" w:after="60"/>
              <w:ind w:right="567"/>
              <w:jc w:val="right"/>
            </w:pPr>
            <w:r w:rsidRPr="00B64FEA">
              <w:t>15,46 %</w:t>
            </w:r>
          </w:p>
        </w:tc>
        <w:tc>
          <w:tcPr>
            <w:tcW w:w="863" w:type="pct"/>
            <w:hideMark/>
          </w:tcPr>
          <w:p w:rsidR="00F638B3" w:rsidRPr="00B64FEA" w:rsidRDefault="00F638B3" w:rsidP="002C15D8">
            <w:pPr>
              <w:spacing w:before="60" w:after="60"/>
              <w:ind w:right="567"/>
              <w:jc w:val="right"/>
            </w:pPr>
            <w:r w:rsidRPr="00B64FEA">
              <w:t>17,77 %</w:t>
            </w:r>
          </w:p>
        </w:tc>
        <w:tc>
          <w:tcPr>
            <w:tcW w:w="1512" w:type="pct"/>
            <w:noWrap/>
            <w:hideMark/>
          </w:tcPr>
          <w:p w:rsidR="00F638B3" w:rsidRPr="00B64FEA" w:rsidRDefault="00F638B3" w:rsidP="002C15D8">
            <w:pPr>
              <w:spacing w:before="60" w:after="60"/>
              <w:ind w:right="1134"/>
              <w:jc w:val="right"/>
            </w:pPr>
            <w:r w:rsidRPr="00B64FEA">
              <w:t>1 700</w:t>
            </w:r>
          </w:p>
        </w:tc>
      </w:tr>
      <w:tr w:rsidR="00F638B3" w:rsidRPr="00B64FEA" w:rsidTr="002C15D8">
        <w:trPr>
          <w:trHeight w:val="20"/>
        </w:trPr>
        <w:tc>
          <w:tcPr>
            <w:tcW w:w="1810" w:type="pct"/>
            <w:noWrap/>
            <w:hideMark/>
          </w:tcPr>
          <w:p w:rsidR="00F638B3" w:rsidRPr="00B64FEA" w:rsidRDefault="00F638B3" w:rsidP="002C15D8">
            <w:pPr>
              <w:pStyle w:val="Text1"/>
              <w:spacing w:before="60" w:after="60" w:line="240" w:lineRule="auto"/>
            </w:pPr>
            <w:r w:rsidRPr="00B64FEA">
              <w:t>Творческа Европа</w:t>
            </w:r>
          </w:p>
        </w:tc>
        <w:tc>
          <w:tcPr>
            <w:tcW w:w="815" w:type="pct"/>
            <w:noWrap/>
            <w:hideMark/>
          </w:tcPr>
          <w:p w:rsidR="00F638B3" w:rsidRPr="00B64FEA" w:rsidRDefault="00F638B3" w:rsidP="002C15D8">
            <w:pPr>
              <w:spacing w:before="60" w:after="60"/>
              <w:ind w:right="567"/>
              <w:jc w:val="right"/>
            </w:pPr>
            <w:r w:rsidRPr="00B64FEA">
              <w:t>5,45 %</w:t>
            </w:r>
          </w:p>
        </w:tc>
        <w:tc>
          <w:tcPr>
            <w:tcW w:w="863" w:type="pct"/>
            <w:hideMark/>
          </w:tcPr>
          <w:p w:rsidR="00F638B3" w:rsidRPr="00B64FEA" w:rsidRDefault="00F638B3" w:rsidP="002C15D8">
            <w:pPr>
              <w:spacing w:before="60" w:after="60"/>
              <w:ind w:right="567"/>
              <w:jc w:val="right"/>
            </w:pPr>
            <w:r w:rsidRPr="00B64FEA">
              <w:t>6,26 %</w:t>
            </w:r>
          </w:p>
        </w:tc>
        <w:tc>
          <w:tcPr>
            <w:tcW w:w="1512" w:type="pct"/>
            <w:noWrap/>
            <w:hideMark/>
          </w:tcPr>
          <w:p w:rsidR="00F638B3" w:rsidRPr="00B64FEA" w:rsidRDefault="00F638B3" w:rsidP="002C15D8">
            <w:pPr>
              <w:spacing w:before="60" w:after="60"/>
              <w:ind w:right="1134"/>
              <w:jc w:val="right"/>
            </w:pPr>
            <w:r w:rsidRPr="00B64FEA">
              <w:t>600</w:t>
            </w:r>
          </w:p>
        </w:tc>
      </w:tr>
      <w:tr w:rsidR="00F638B3" w:rsidRPr="00B64FEA" w:rsidTr="002C15D8">
        <w:trPr>
          <w:trHeight w:val="20"/>
        </w:trPr>
        <w:tc>
          <w:tcPr>
            <w:tcW w:w="1810" w:type="pct"/>
            <w:noWrap/>
            <w:hideMark/>
          </w:tcPr>
          <w:p w:rsidR="00F638B3" w:rsidRPr="00B64FEA" w:rsidRDefault="00F638B3" w:rsidP="002C15D8">
            <w:pPr>
              <w:pStyle w:val="Text1"/>
              <w:spacing w:before="60" w:after="60" w:line="240" w:lineRule="auto"/>
            </w:pPr>
            <w:r w:rsidRPr="00B64FEA">
              <w:t>Права и ценности</w:t>
            </w:r>
          </w:p>
        </w:tc>
        <w:tc>
          <w:tcPr>
            <w:tcW w:w="815" w:type="pct"/>
            <w:noWrap/>
            <w:hideMark/>
          </w:tcPr>
          <w:p w:rsidR="00F638B3" w:rsidRPr="00B64FEA" w:rsidRDefault="00F638B3" w:rsidP="002C15D8">
            <w:pPr>
              <w:spacing w:before="60" w:after="60"/>
              <w:ind w:right="567"/>
              <w:jc w:val="right"/>
            </w:pPr>
            <w:r w:rsidRPr="00B64FEA">
              <w:t>7,27 %</w:t>
            </w:r>
          </w:p>
        </w:tc>
        <w:tc>
          <w:tcPr>
            <w:tcW w:w="863" w:type="pct"/>
            <w:hideMark/>
          </w:tcPr>
          <w:p w:rsidR="00F638B3" w:rsidRPr="00B64FEA" w:rsidRDefault="00F638B3" w:rsidP="002C15D8">
            <w:pPr>
              <w:spacing w:before="60" w:after="60"/>
              <w:ind w:right="567"/>
              <w:jc w:val="right"/>
              <w:rPr>
                <w:b/>
              </w:rPr>
            </w:pPr>
            <w:r w:rsidRPr="00B64FEA">
              <w:rPr>
                <w:b/>
              </w:rPr>
              <w:t>8,36 %</w:t>
            </w:r>
          </w:p>
        </w:tc>
        <w:tc>
          <w:tcPr>
            <w:tcW w:w="1512" w:type="pct"/>
            <w:noWrap/>
            <w:hideMark/>
          </w:tcPr>
          <w:p w:rsidR="00F638B3" w:rsidRPr="00B64FEA" w:rsidRDefault="00F638B3" w:rsidP="002C15D8">
            <w:pPr>
              <w:spacing w:before="60" w:after="60"/>
              <w:ind w:right="1134"/>
              <w:jc w:val="right"/>
            </w:pPr>
            <w:r w:rsidRPr="00B64FEA">
              <w:t>800</w:t>
            </w:r>
          </w:p>
        </w:tc>
      </w:tr>
      <w:tr w:rsidR="00F638B3" w:rsidRPr="00B64FEA" w:rsidTr="002C15D8">
        <w:trPr>
          <w:trHeight w:val="20"/>
        </w:trPr>
        <w:tc>
          <w:tcPr>
            <w:tcW w:w="1810" w:type="pct"/>
            <w:noWrap/>
            <w:hideMark/>
          </w:tcPr>
          <w:p w:rsidR="00F638B3" w:rsidRPr="00B64FEA" w:rsidRDefault="00F638B3" w:rsidP="002C15D8">
            <w:pPr>
              <w:pStyle w:val="Point0"/>
              <w:spacing w:before="60" w:after="60" w:line="240" w:lineRule="auto"/>
              <w:rPr>
                <w:b/>
                <w:bCs/>
              </w:rPr>
            </w:pPr>
            <w:r w:rsidRPr="00B64FEA">
              <w:rPr>
                <w:b/>
              </w:rPr>
              <w:t>4.</w:t>
            </w:r>
            <w:r w:rsidRPr="00B64FEA">
              <w:rPr>
                <w:b/>
              </w:rPr>
              <w:tab/>
              <w:t>Миграция и управление на границите</w:t>
            </w:r>
          </w:p>
        </w:tc>
        <w:tc>
          <w:tcPr>
            <w:tcW w:w="815" w:type="pct"/>
            <w:noWrap/>
            <w:hideMark/>
          </w:tcPr>
          <w:p w:rsidR="00F638B3" w:rsidRPr="00B64FEA" w:rsidRDefault="00F638B3" w:rsidP="002C15D8">
            <w:pPr>
              <w:spacing w:before="60" w:after="60"/>
              <w:ind w:right="567"/>
              <w:jc w:val="right"/>
              <w:rPr>
                <w:b/>
              </w:rPr>
            </w:pPr>
            <w:r w:rsidRPr="00B64FEA">
              <w:rPr>
                <w:b/>
              </w:rPr>
              <w:t>9,09 %</w:t>
            </w:r>
          </w:p>
        </w:tc>
        <w:tc>
          <w:tcPr>
            <w:tcW w:w="863" w:type="pct"/>
            <w:hideMark/>
          </w:tcPr>
          <w:p w:rsidR="00F638B3" w:rsidRPr="00B64FEA" w:rsidRDefault="00F638B3" w:rsidP="002C15D8">
            <w:pPr>
              <w:spacing w:before="60" w:after="60"/>
              <w:ind w:right="567"/>
              <w:jc w:val="right"/>
              <w:rPr>
                <w:b/>
              </w:rPr>
            </w:pPr>
            <w:r w:rsidRPr="00B64FEA">
              <w:rPr>
                <w:b/>
              </w:rPr>
              <w:t>10,45 %</w:t>
            </w:r>
          </w:p>
        </w:tc>
        <w:tc>
          <w:tcPr>
            <w:tcW w:w="1512" w:type="pct"/>
            <w:noWrap/>
            <w:hideMark/>
          </w:tcPr>
          <w:p w:rsidR="00F638B3" w:rsidRPr="00B64FEA" w:rsidRDefault="00F638B3" w:rsidP="002C15D8">
            <w:pPr>
              <w:spacing w:before="60" w:after="60"/>
              <w:ind w:right="1134"/>
              <w:jc w:val="right"/>
              <w:rPr>
                <w:b/>
              </w:rPr>
            </w:pPr>
            <w:r w:rsidRPr="00B64FEA">
              <w:rPr>
                <w:b/>
              </w:rPr>
              <w:t>1 000</w:t>
            </w:r>
          </w:p>
        </w:tc>
      </w:tr>
      <w:tr w:rsidR="00F638B3" w:rsidRPr="00B64FEA" w:rsidTr="002C15D8">
        <w:trPr>
          <w:trHeight w:val="20"/>
        </w:trPr>
        <w:tc>
          <w:tcPr>
            <w:tcW w:w="1810" w:type="pct"/>
            <w:noWrap/>
            <w:hideMark/>
          </w:tcPr>
          <w:p w:rsidR="00F638B3" w:rsidRPr="00B64FEA" w:rsidRDefault="00F638B3" w:rsidP="002C15D8">
            <w:pPr>
              <w:pStyle w:val="Text1"/>
              <w:spacing w:before="60" w:after="60" w:line="240" w:lineRule="auto"/>
            </w:pPr>
            <w:r w:rsidRPr="00B64FEA">
              <w:t>Фонд за интегрирано управление на границите</w:t>
            </w:r>
          </w:p>
        </w:tc>
        <w:tc>
          <w:tcPr>
            <w:tcW w:w="815" w:type="pct"/>
            <w:noWrap/>
            <w:hideMark/>
          </w:tcPr>
          <w:p w:rsidR="00F638B3" w:rsidRPr="00B64FEA" w:rsidRDefault="00F638B3" w:rsidP="002C15D8">
            <w:pPr>
              <w:spacing w:before="60" w:after="60"/>
              <w:ind w:right="567"/>
              <w:jc w:val="right"/>
            </w:pPr>
            <w:r w:rsidRPr="00B64FEA">
              <w:t>9,09 %</w:t>
            </w:r>
          </w:p>
        </w:tc>
        <w:tc>
          <w:tcPr>
            <w:tcW w:w="863" w:type="pct"/>
            <w:hideMark/>
          </w:tcPr>
          <w:p w:rsidR="00F638B3" w:rsidRPr="00B64FEA" w:rsidRDefault="00F638B3" w:rsidP="002C15D8">
            <w:pPr>
              <w:spacing w:before="60" w:after="60"/>
              <w:ind w:right="567"/>
              <w:jc w:val="right"/>
            </w:pPr>
            <w:r w:rsidRPr="00B64FEA">
              <w:t>10,45 %</w:t>
            </w:r>
          </w:p>
        </w:tc>
        <w:tc>
          <w:tcPr>
            <w:tcW w:w="1512" w:type="pct"/>
            <w:noWrap/>
            <w:hideMark/>
          </w:tcPr>
          <w:p w:rsidR="00F638B3" w:rsidRPr="00B64FEA" w:rsidRDefault="00F638B3" w:rsidP="002C15D8">
            <w:pPr>
              <w:spacing w:before="60" w:after="60"/>
              <w:ind w:right="1134"/>
              <w:jc w:val="right"/>
            </w:pPr>
            <w:r w:rsidRPr="00B64FEA">
              <w:t>1 000</w:t>
            </w:r>
          </w:p>
        </w:tc>
      </w:tr>
      <w:tr w:rsidR="00F638B3" w:rsidRPr="00B64FEA" w:rsidTr="002C15D8">
        <w:trPr>
          <w:trHeight w:val="20"/>
        </w:trPr>
        <w:tc>
          <w:tcPr>
            <w:tcW w:w="1810" w:type="pct"/>
            <w:tcBorders>
              <w:top w:val="nil"/>
              <w:left w:val="nil"/>
              <w:bottom w:val="single" w:sz="4" w:space="0" w:color="auto"/>
              <w:right w:val="nil"/>
            </w:tcBorders>
            <w:noWrap/>
            <w:hideMark/>
          </w:tcPr>
          <w:p w:rsidR="00F638B3" w:rsidRPr="00B64FEA" w:rsidRDefault="00F638B3" w:rsidP="002C15D8">
            <w:pPr>
              <w:spacing w:before="60" w:after="60"/>
              <w:rPr>
                <w:b/>
              </w:rPr>
            </w:pPr>
            <w:r w:rsidRPr="00B64FEA">
              <w:rPr>
                <w:b/>
              </w:rPr>
              <w:t>ОБЩО</w:t>
            </w:r>
          </w:p>
        </w:tc>
        <w:tc>
          <w:tcPr>
            <w:tcW w:w="815" w:type="pct"/>
            <w:tcBorders>
              <w:top w:val="nil"/>
              <w:left w:val="nil"/>
              <w:bottom w:val="single" w:sz="4" w:space="0" w:color="auto"/>
              <w:right w:val="nil"/>
            </w:tcBorders>
            <w:noWrap/>
            <w:hideMark/>
          </w:tcPr>
          <w:p w:rsidR="00F638B3" w:rsidRPr="00B64FEA" w:rsidRDefault="00F638B3" w:rsidP="002C15D8">
            <w:pPr>
              <w:spacing w:before="60" w:after="60"/>
              <w:ind w:right="567"/>
              <w:jc w:val="right"/>
              <w:rPr>
                <w:b/>
              </w:rPr>
            </w:pPr>
            <w:r w:rsidRPr="00B64FEA">
              <w:rPr>
                <w:b/>
              </w:rPr>
              <w:t>100,00 %</w:t>
            </w:r>
          </w:p>
        </w:tc>
        <w:tc>
          <w:tcPr>
            <w:tcW w:w="863" w:type="pct"/>
            <w:tcBorders>
              <w:top w:val="nil"/>
              <w:left w:val="nil"/>
              <w:bottom w:val="single" w:sz="4" w:space="0" w:color="auto"/>
              <w:right w:val="nil"/>
            </w:tcBorders>
            <w:hideMark/>
          </w:tcPr>
          <w:p w:rsidR="00F638B3" w:rsidRPr="00B64FEA" w:rsidRDefault="00F638B3" w:rsidP="002C15D8">
            <w:pPr>
              <w:spacing w:before="60" w:after="60"/>
              <w:ind w:right="567"/>
              <w:jc w:val="right"/>
              <w:rPr>
                <w:b/>
              </w:rPr>
            </w:pPr>
            <w:r w:rsidRPr="00B64FEA">
              <w:rPr>
                <w:b/>
              </w:rPr>
              <w:t>100,00 %</w:t>
            </w:r>
          </w:p>
        </w:tc>
        <w:tc>
          <w:tcPr>
            <w:tcW w:w="1512" w:type="pct"/>
            <w:tcBorders>
              <w:top w:val="nil"/>
              <w:left w:val="nil"/>
              <w:bottom w:val="single" w:sz="4" w:space="0" w:color="auto"/>
              <w:right w:val="nil"/>
            </w:tcBorders>
            <w:noWrap/>
            <w:hideMark/>
          </w:tcPr>
          <w:p w:rsidR="00F638B3" w:rsidRPr="00B64FEA" w:rsidRDefault="00F638B3" w:rsidP="002C15D8">
            <w:pPr>
              <w:spacing w:before="60" w:after="60"/>
              <w:ind w:right="1134"/>
              <w:jc w:val="right"/>
              <w:rPr>
                <w:b/>
              </w:rPr>
            </w:pPr>
            <w:r w:rsidRPr="00B64FEA">
              <w:rPr>
                <w:b/>
              </w:rPr>
              <w:t>10 155</w:t>
            </w:r>
          </w:p>
        </w:tc>
      </w:tr>
    </w:tbl>
    <w:p w:rsidR="00F638B3" w:rsidRPr="00B64FEA" w:rsidRDefault="00F638B3" w:rsidP="00F638B3">
      <w:pPr>
        <w:pStyle w:val="NormalRight"/>
      </w:pPr>
      <w:r w:rsidRPr="00B64FEA">
        <w:t>’.</w:t>
      </w:r>
    </w:p>
    <w:p w:rsidR="00F638B3" w:rsidRPr="00B64FEA" w:rsidRDefault="00F638B3" w:rsidP="00F638B3">
      <w:pPr>
        <w:pStyle w:val="LignefinalLandscape"/>
      </w:pPr>
    </w:p>
    <w:p w:rsidR="00F638B3" w:rsidRPr="00B64FEA" w:rsidRDefault="00F638B3" w:rsidP="00F638B3">
      <w:pPr>
        <w:sectPr w:rsidR="00F638B3" w:rsidRPr="00B64FEA" w:rsidSect="00B64FEA">
          <w:headerReference w:type="even" r:id="rId11"/>
          <w:headerReference w:type="default" r:id="rId12"/>
          <w:headerReference w:type="first" r:id="rId13"/>
          <w:footerReference w:type="first" r:id="rId14"/>
          <w:footnotePr>
            <w:numRestart w:val="eachSect"/>
          </w:footnotePr>
          <w:pgSz w:w="16838" w:h="11906" w:orient="landscape" w:code="9"/>
          <w:pgMar w:top="1418" w:right="1134" w:bottom="1418" w:left="1418" w:header="1134" w:footer="567" w:gutter="0"/>
          <w:cols w:space="720"/>
          <w:noEndnote/>
          <w:docGrid w:linePitch="326"/>
        </w:sectPr>
      </w:pPr>
    </w:p>
    <w:p w:rsidR="00F638B3" w:rsidRPr="00793599" w:rsidRDefault="00F638B3" w:rsidP="00F638B3">
      <w:pPr>
        <w:pStyle w:val="PageHeading"/>
        <w:rPr>
          <w:rFonts w:ascii="Times New Roman" w:hAnsi="Times New Roman" w:cs="Times New Roman"/>
          <w:caps/>
        </w:rPr>
      </w:pPr>
      <w:bookmarkStart w:id="11" w:name="_Toc159572580"/>
      <w:r w:rsidRPr="00793599">
        <w:rPr>
          <w:rFonts w:ascii="Times New Roman" w:hAnsi="Times New Roman" w:cs="Times New Roman"/>
        </w:rPr>
        <w:lastRenderedPageBreak/>
        <w:t xml:space="preserve">ПРИЛОЖЕНИЕ 2: </w:t>
      </w:r>
      <w:r w:rsidRPr="00793599">
        <w:rPr>
          <w:rFonts w:ascii="Times New Roman" w:hAnsi="Times New Roman" w:cs="Times New Roman"/>
          <w:caps/>
        </w:rPr>
        <w:t>Съвместна декларация на Европейския парламент, Съвета и Комисията относно повторното използване на отменени средства във връзка с програмата за научни изследвания</w:t>
      </w:r>
      <w:bookmarkEnd w:id="11"/>
    </w:p>
    <w:p w:rsidR="00F638B3" w:rsidRPr="00B64FEA" w:rsidRDefault="00F638B3" w:rsidP="00F638B3">
      <w:pPr>
        <w:pStyle w:val="NormalWeb"/>
        <w:shd w:val="clear" w:color="auto" w:fill="FFFFFF" w:themeFill="background1"/>
        <w:spacing w:before="0" w:beforeAutospacing="0" w:after="240" w:afterAutospacing="0"/>
        <w:jc w:val="both"/>
      </w:pPr>
      <w:r w:rsidRPr="00B64FEA">
        <w:t>В Съвместната декларация от 22 декември 2020 г. относно повторното използване на отменени средства във връзка с програмата</w:t>
      </w:r>
      <w:r w:rsidRPr="00B64FEA">
        <w:rPr>
          <w:rStyle w:val="FootnoteReference"/>
        </w:rPr>
        <w:footnoteReference w:id="12"/>
      </w:r>
      <w:r w:rsidRPr="00B64FEA">
        <w:t xml:space="preserve"> за научни изследвания Европейският парламент, Съветът и Комисията се споразумяха да предоставят отново в полза на програмата за научни изследвания бюджетни кредити за поети задължения в размер до 0,5 милиарда евро (по цени от 2018 г.) от отменени бюджетни кредити за периода 2021 – 2027 г., която сума произтича от пълно или частично неизпълнение на проекти, принадлежащи към тази програма или нейния предшественик, както е предвидено в член 15, параграф 3 от Финансовия регламент.</w:t>
      </w:r>
    </w:p>
    <w:p w:rsidR="00F638B3" w:rsidRPr="00B64FEA" w:rsidRDefault="00F638B3" w:rsidP="00F638B3">
      <w:pPr>
        <w:pStyle w:val="NormalWeb"/>
        <w:shd w:val="clear" w:color="auto" w:fill="FFFFFF" w:themeFill="background1"/>
        <w:spacing w:before="0" w:beforeAutospacing="0" w:after="240" w:afterAutospacing="0"/>
        <w:jc w:val="both"/>
      </w:pPr>
      <w:r w:rsidRPr="00B64FEA">
        <w:t>Без да се засягат правомощията на бюджетния орган в рамките на годишната бюджетна процедура и правомощията на Комисията да изпълнява бюджета, Европейският парламент, Съветът и Комисията се споразумяват, че в периода 2025 –2027 г. ще бъде предоставена отново допълнителна сума в размер на 100 милиона евро (по цени от 2018 г.) в полза на програмата за научни изследвания, съответстваща на отменени бюджетни кредити през 2019 – 2020 г. в резултат на пълно или частично неизпълнение на проекти, принадлежащи към тази програма или нейния предшественик, които не са били предоставени отново съгласно член 15, параграф 3 от Финансовия регламент след съвместната декларация от 22 декември 2020 г. Това не засяга наличните суми на отменените бюджетни кредити за инструмента EURI, посочен в член 10а от Регламент (ЕС, Евратом) 2020/2093.</w:t>
      </w:r>
    </w:p>
    <w:sectPr w:rsidR="00F638B3" w:rsidRPr="00B64FEA" w:rsidSect="00B64FEA">
      <w:headerReference w:type="even" r:id="rId15"/>
      <w:headerReference w:type="default" r:id="rId16"/>
      <w:footerReference w:type="even" r:id="rId17"/>
      <w:footerReference w:type="default" r:id="rId18"/>
      <w:headerReference w:type="first" r:id="rId19"/>
      <w:footerReference w:type="first" r:id="rId20"/>
      <w:footnotePr>
        <w:numRestart w:val="eachSect"/>
      </w:foot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51AB" w:rsidRPr="00B64FEA" w:rsidRDefault="000B51AB">
      <w:r w:rsidRPr="00B64FEA">
        <w:separator/>
      </w:r>
    </w:p>
  </w:endnote>
  <w:endnote w:type="continuationSeparator" w:id="0">
    <w:p w:rsidR="000B51AB" w:rsidRPr="00B64FEA" w:rsidRDefault="000B51AB">
      <w:r w:rsidRPr="00B64FE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38B3" w:rsidRPr="00B64FEA" w:rsidRDefault="00F638B3" w:rsidP="0025244A">
    <w:pPr>
      <w:pStyle w:val="EPFooter"/>
    </w:pPr>
    <w:r w:rsidRPr="00B64FEA">
      <w:t>PE</w:t>
    </w:r>
    <w:r w:rsidRPr="00B64FEA">
      <w:rPr>
        <w:rStyle w:val="HideTWBExt"/>
      </w:rPr>
      <w:t>&lt;NoPE&gt;</w:t>
    </w:r>
    <w:r w:rsidRPr="00B64FEA">
      <w:t>758.992</w:t>
    </w:r>
    <w:r w:rsidRPr="00B64FEA">
      <w:rPr>
        <w:rStyle w:val="HideTWBExt"/>
      </w:rPr>
      <w:t>&lt;/NoPE&gt;&lt;Version&gt;</w:t>
    </w:r>
    <w:r w:rsidRPr="00B64FEA">
      <w:t>v02-00</w:t>
    </w:r>
    <w:r w:rsidRPr="00B64FEA">
      <w:rPr>
        <w:rStyle w:val="HideTWBExt"/>
      </w:rPr>
      <w:t>&lt;/Version&gt;</w:t>
    </w:r>
    <w:r w:rsidRPr="00B64FEA">
      <w:tab/>
    </w:r>
    <w:r w:rsidRPr="00B64FEA">
      <w:fldChar w:fldCharType="begin"/>
    </w:r>
    <w:r w:rsidRPr="00B64FEA">
      <w:instrText xml:space="preserve"> PAGE  \* MERGEFORMAT </w:instrText>
    </w:r>
    <w:r w:rsidRPr="00B64FEA">
      <w:fldChar w:fldCharType="separate"/>
    </w:r>
    <w:r w:rsidR="00B64FEA" w:rsidRPr="00B64FEA">
      <w:rPr>
        <w:noProof/>
      </w:rPr>
      <w:t>2</w:t>
    </w:r>
    <w:r w:rsidRPr="00B64FEA">
      <w:fldChar w:fldCharType="end"/>
    </w:r>
    <w:r w:rsidRPr="00B64FEA">
      <w:t>/</w:t>
    </w:r>
    <w:r w:rsidR="00732E69">
      <w:fldChar w:fldCharType="begin"/>
    </w:r>
    <w:r w:rsidR="00732E69">
      <w:instrText xml:space="preserve"> NUMPAGES  \* MERGEFORMAT </w:instrText>
    </w:r>
    <w:r w:rsidR="00732E69">
      <w:fldChar w:fldCharType="separate"/>
    </w:r>
    <w:r w:rsidR="00B64FEA" w:rsidRPr="00B64FEA">
      <w:rPr>
        <w:noProof/>
      </w:rPr>
      <w:t>3</w:t>
    </w:r>
    <w:r w:rsidR="00732E69">
      <w:rPr>
        <w:noProof/>
      </w:rPr>
      <w:fldChar w:fldCharType="end"/>
    </w:r>
    <w:r w:rsidRPr="00B64FEA">
      <w:tab/>
    </w:r>
    <w:r w:rsidRPr="00B64FEA">
      <w:rPr>
        <w:rStyle w:val="HideTWBExt"/>
      </w:rPr>
      <w:t>&lt;PathFdR&gt;</w:t>
    </w:r>
    <w:r w:rsidRPr="00B64FEA">
      <w:t>RR\1297557BG.docx</w:t>
    </w:r>
    <w:r w:rsidRPr="00B64FEA">
      <w:rPr>
        <w:rStyle w:val="HideTWBExt"/>
      </w:rPr>
      <w:t>&lt;/PathFdR&gt;</w:t>
    </w:r>
  </w:p>
  <w:p w:rsidR="00F638B3" w:rsidRPr="00B64FEA" w:rsidRDefault="00F638B3" w:rsidP="0025244A">
    <w:pPr>
      <w:pStyle w:val="EPFooter2"/>
    </w:pPr>
    <w:r w:rsidRPr="00B64FEA">
      <w:t>BG</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38B3" w:rsidRPr="00B64FEA" w:rsidRDefault="00F638B3" w:rsidP="0025244A">
    <w:pPr>
      <w:pStyle w:val="EPFooter"/>
    </w:pPr>
    <w:r w:rsidRPr="00B64FEA">
      <w:rPr>
        <w:rStyle w:val="HideTWBExt"/>
      </w:rPr>
      <w:t>&lt;PathFdR&gt;</w:t>
    </w:r>
    <w:r w:rsidRPr="00B64FEA">
      <w:t>RR\1297557BG.docx</w:t>
    </w:r>
    <w:r w:rsidRPr="00B64FEA">
      <w:rPr>
        <w:rStyle w:val="HideTWBExt"/>
      </w:rPr>
      <w:t>&lt;/PathFdR&gt;</w:t>
    </w:r>
    <w:r w:rsidRPr="00B64FEA">
      <w:tab/>
    </w:r>
    <w:r w:rsidRPr="00B64FEA">
      <w:tab/>
      <w:t>PE</w:t>
    </w:r>
    <w:r w:rsidRPr="00B64FEA">
      <w:rPr>
        <w:rStyle w:val="HideTWBExt"/>
      </w:rPr>
      <w:t>&lt;NoPE&gt;</w:t>
    </w:r>
    <w:r w:rsidRPr="00B64FEA">
      <w:t>758.992</w:t>
    </w:r>
    <w:r w:rsidRPr="00B64FEA">
      <w:rPr>
        <w:rStyle w:val="HideTWBExt"/>
      </w:rPr>
      <w:t>&lt;/NoPE&gt;&lt;Version&gt;</w:t>
    </w:r>
    <w:r w:rsidRPr="00B64FEA">
      <w:t>v02-00</w:t>
    </w:r>
    <w:r w:rsidRPr="00B64FEA">
      <w:rPr>
        <w:rStyle w:val="HideTWBExt"/>
      </w:rPr>
      <w:t>&lt;/Version&gt;</w:t>
    </w:r>
  </w:p>
  <w:p w:rsidR="00F638B3" w:rsidRPr="00B64FEA" w:rsidRDefault="00F638B3" w:rsidP="0025244A">
    <w:pPr>
      <w:pStyle w:val="EPFooter2"/>
    </w:pPr>
    <w:r w:rsidRPr="00B64FEA">
      <w:t>BG</w:t>
    </w:r>
    <w:r w:rsidRPr="00B64FEA">
      <w:tab/>
    </w:r>
    <w:r w:rsidRPr="00B64FEA">
      <w:rPr>
        <w:b w:val="0"/>
        <w:i/>
        <w:color w:val="C0C0C0"/>
        <w:sz w:val="22"/>
      </w:rPr>
      <w:t>Единство в многообразието</w:t>
    </w:r>
    <w:r w:rsidRPr="00B64FEA">
      <w:tab/>
      <w:t>BG</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38B3" w:rsidRPr="00B64FEA" w:rsidRDefault="00F638B3" w:rsidP="00FA76F5">
    <w:pPr>
      <w:pStyle w:val="EPFooter"/>
    </w:pPr>
    <w:r w:rsidRPr="00B64FEA">
      <w:rPr>
        <w:rStyle w:val="HideTWBExt"/>
      </w:rPr>
      <w:t>&lt;PathFdR&gt;</w:t>
    </w:r>
    <w:r w:rsidRPr="00B64FEA">
      <w:t>RR\758992EN.docx</w:t>
    </w:r>
    <w:r w:rsidRPr="00B64FEA">
      <w:rPr>
        <w:rStyle w:val="HideTWBExt"/>
      </w:rPr>
      <w:t>&lt;/PathFdR&gt;</w:t>
    </w:r>
    <w:r w:rsidRPr="00B64FEA">
      <w:tab/>
    </w:r>
    <w:r w:rsidRPr="00B64FEA">
      <w:tab/>
      <w:t>PE</w:t>
    </w:r>
    <w:r w:rsidRPr="00B64FEA">
      <w:rPr>
        <w:rStyle w:val="HideTWBExt"/>
      </w:rPr>
      <w:t>&lt;NoPE&gt;</w:t>
    </w:r>
    <w:r w:rsidRPr="00B64FEA">
      <w:t>758.992</w:t>
    </w:r>
    <w:r w:rsidRPr="00B64FEA">
      <w:rPr>
        <w:rStyle w:val="HideTWBExt"/>
      </w:rPr>
      <w:t>&lt;/NoPE&gt;&lt;Version&gt;</w:t>
    </w:r>
    <w:r w:rsidRPr="00B64FEA">
      <w:t>v02-00</w:t>
    </w:r>
    <w:r w:rsidRPr="00B64FEA">
      <w:rPr>
        <w:rStyle w:val="HideTWBExt"/>
      </w:rPr>
      <w:t>&lt;/Version&gt;</w:t>
    </w:r>
  </w:p>
  <w:p w:rsidR="00F638B3" w:rsidRPr="00B64FEA" w:rsidRDefault="00F638B3" w:rsidP="00FA76F5">
    <w:pPr>
      <w:pStyle w:val="EPFooter2"/>
    </w:pPr>
    <w:r w:rsidRPr="00B64FEA">
      <w:t>XT</w:t>
    </w:r>
    <w:r w:rsidRPr="00B64FEA">
      <w:tab/>
    </w:r>
    <w:proofErr w:type="spellStart"/>
    <w:r w:rsidRPr="00B64FEA">
      <w:rPr>
        <w:b w:val="0"/>
        <w:i/>
        <w:color w:val="C0C0C0"/>
        <w:sz w:val="22"/>
      </w:rPr>
      <w:t>United</w:t>
    </w:r>
    <w:proofErr w:type="spellEnd"/>
    <w:r w:rsidRPr="00B64FEA">
      <w:rPr>
        <w:b w:val="0"/>
        <w:i/>
        <w:color w:val="C0C0C0"/>
        <w:sz w:val="22"/>
      </w:rPr>
      <w:t xml:space="preserve"> </w:t>
    </w:r>
    <w:proofErr w:type="spellStart"/>
    <w:r w:rsidRPr="00B64FEA">
      <w:rPr>
        <w:b w:val="0"/>
        <w:i/>
        <w:color w:val="C0C0C0"/>
        <w:sz w:val="22"/>
      </w:rPr>
      <w:t>in</w:t>
    </w:r>
    <w:proofErr w:type="spellEnd"/>
    <w:r w:rsidRPr="00B64FEA">
      <w:rPr>
        <w:b w:val="0"/>
        <w:i/>
        <w:color w:val="C0C0C0"/>
        <w:sz w:val="22"/>
      </w:rPr>
      <w:t xml:space="preserve"> </w:t>
    </w:r>
    <w:proofErr w:type="spellStart"/>
    <w:r w:rsidRPr="00B64FEA">
      <w:rPr>
        <w:b w:val="0"/>
        <w:i/>
        <w:color w:val="C0C0C0"/>
        <w:sz w:val="22"/>
      </w:rPr>
      <w:t>diversity</w:t>
    </w:r>
    <w:proofErr w:type="spellEnd"/>
    <w:r w:rsidRPr="00B64FEA">
      <w:tab/>
      <w:t>XT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64FEA"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64FEA"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64FE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51AB" w:rsidRPr="00B64FEA" w:rsidRDefault="000B51AB">
      <w:r w:rsidRPr="00B64FEA">
        <w:separator/>
      </w:r>
    </w:p>
  </w:footnote>
  <w:footnote w:type="continuationSeparator" w:id="0">
    <w:p w:rsidR="000B51AB" w:rsidRPr="00B64FEA" w:rsidRDefault="000B51AB">
      <w:r w:rsidRPr="00B64FEA">
        <w:continuationSeparator/>
      </w:r>
    </w:p>
  </w:footnote>
  <w:footnote w:id="1">
    <w:p w:rsidR="00F638B3" w:rsidRPr="00B64FEA" w:rsidRDefault="00F638B3" w:rsidP="00B64FEA">
      <w:pPr>
        <w:pStyle w:val="FootnoteText"/>
        <w:ind w:left="567" w:hanging="567"/>
        <w:rPr>
          <w:sz w:val="24"/>
          <w:lang w:val="bg-BG"/>
        </w:rPr>
      </w:pPr>
      <w:r w:rsidRPr="00B64FEA">
        <w:rPr>
          <w:rStyle w:val="FootnoteReference"/>
          <w:sz w:val="24"/>
          <w:lang w:val="bg-BG"/>
        </w:rPr>
        <w:footnoteRef/>
      </w:r>
      <w:r w:rsidR="00B64FEA" w:rsidRPr="00B64FEA">
        <w:rPr>
          <w:sz w:val="24"/>
          <w:lang w:val="bg-BG"/>
        </w:rPr>
        <w:t xml:space="preserve"> </w:t>
      </w:r>
      <w:r w:rsidR="00B64FEA" w:rsidRPr="00B64FEA">
        <w:rPr>
          <w:sz w:val="24"/>
          <w:lang w:val="bg-BG"/>
        </w:rPr>
        <w:tab/>
      </w:r>
      <w:r w:rsidRPr="00B64FEA">
        <w:rPr>
          <w:sz w:val="24"/>
          <w:lang w:val="bg-BG"/>
        </w:rPr>
        <w:t>Приети текстове, P9_TA(2023)0335.</w:t>
      </w:r>
    </w:p>
  </w:footnote>
  <w:footnote w:id="2">
    <w:p w:rsidR="00F638B3" w:rsidRPr="00B64FEA" w:rsidRDefault="00F638B3" w:rsidP="00B64FEA">
      <w:pPr>
        <w:pStyle w:val="FootnoteText"/>
        <w:ind w:left="567" w:hanging="567"/>
        <w:rPr>
          <w:sz w:val="24"/>
          <w:lang w:val="bg-BG"/>
        </w:rPr>
      </w:pPr>
      <w:r w:rsidRPr="00B64FEA">
        <w:rPr>
          <w:rStyle w:val="FootnoteReference"/>
          <w:sz w:val="24"/>
          <w:lang w:val="bg-BG"/>
        </w:rPr>
        <w:footnoteRef/>
      </w:r>
      <w:r w:rsidR="00B64FEA" w:rsidRPr="00B64FEA">
        <w:rPr>
          <w:sz w:val="24"/>
          <w:lang w:val="bg-BG"/>
        </w:rPr>
        <w:t xml:space="preserve"> </w:t>
      </w:r>
      <w:r w:rsidR="00B64FEA" w:rsidRPr="00B64FEA">
        <w:rPr>
          <w:sz w:val="24"/>
          <w:lang w:val="bg-BG"/>
        </w:rPr>
        <w:tab/>
      </w:r>
      <w:r w:rsidRPr="00B64FEA">
        <w:rPr>
          <w:sz w:val="24"/>
          <w:lang w:val="bg-BG"/>
        </w:rPr>
        <w:t>Одобрение от 27 февруари 2024 г. (все още непубликувано в Официален вестник).</w:t>
      </w:r>
    </w:p>
  </w:footnote>
  <w:footnote w:id="3">
    <w:p w:rsidR="00F638B3" w:rsidRPr="00B64FEA" w:rsidRDefault="00F638B3" w:rsidP="00B64FEA">
      <w:pPr>
        <w:pStyle w:val="FootnoteText"/>
        <w:ind w:left="567" w:hanging="567"/>
        <w:rPr>
          <w:sz w:val="24"/>
          <w:lang w:val="bg-BG"/>
        </w:rPr>
      </w:pPr>
      <w:r w:rsidRPr="00B64FEA">
        <w:rPr>
          <w:rStyle w:val="FootnoteReference"/>
          <w:sz w:val="24"/>
          <w:lang w:val="bg-BG"/>
        </w:rPr>
        <w:footnoteRef/>
      </w:r>
      <w:r w:rsidR="00B64FEA" w:rsidRPr="00B64FEA">
        <w:rPr>
          <w:sz w:val="24"/>
          <w:lang w:val="bg-BG"/>
        </w:rPr>
        <w:t xml:space="preserve"> </w:t>
      </w:r>
      <w:r w:rsidR="00B64FEA" w:rsidRPr="00B64FEA">
        <w:rPr>
          <w:sz w:val="24"/>
          <w:lang w:val="bg-BG"/>
        </w:rPr>
        <w:tab/>
      </w:r>
      <w:r w:rsidRPr="00B64FEA">
        <w:rPr>
          <w:sz w:val="24"/>
          <w:lang w:val="bg-BG"/>
        </w:rPr>
        <w:t>Регламент (ЕС, Евратом) 2020/2093 на Съвета от 17 декември 2020 г. за определяне на многогодишната финансова рамка за годините 2021—2027 (ОВ L 433 I, 22.12.2020 г., стр. 11).</w:t>
      </w:r>
    </w:p>
  </w:footnote>
  <w:footnote w:id="4">
    <w:p w:rsidR="00F638B3" w:rsidRPr="00B64FEA" w:rsidRDefault="00F638B3" w:rsidP="00B64FEA">
      <w:pPr>
        <w:pStyle w:val="FootnoteText"/>
        <w:ind w:left="567" w:hanging="567"/>
        <w:rPr>
          <w:sz w:val="24"/>
          <w:lang w:val="bg-BG"/>
        </w:rPr>
      </w:pPr>
      <w:r w:rsidRPr="00B64FEA">
        <w:rPr>
          <w:rStyle w:val="FootnoteReference"/>
          <w:sz w:val="24"/>
          <w:lang w:val="bg-BG"/>
        </w:rPr>
        <w:footnoteRef/>
      </w:r>
      <w:r w:rsidR="00B64FEA" w:rsidRPr="00B64FEA">
        <w:rPr>
          <w:sz w:val="24"/>
          <w:lang w:val="bg-BG"/>
        </w:rPr>
        <w:t xml:space="preserve"> </w:t>
      </w:r>
      <w:r w:rsidR="00B64FEA" w:rsidRPr="00B64FEA">
        <w:rPr>
          <w:sz w:val="24"/>
          <w:lang w:val="bg-BG"/>
        </w:rPr>
        <w:tab/>
      </w:r>
      <w:r w:rsidRPr="00B64FEA">
        <w:rPr>
          <w:sz w:val="24"/>
          <w:lang w:val="bg-BG"/>
        </w:rPr>
        <w:t>Регламент (ЕС) 2024/... на Европейския парламент и на Съвета от... г. за създаване на механизъм за Украйна (OВ L, …, ELI: …).</w:t>
      </w:r>
    </w:p>
  </w:footnote>
  <w:footnote w:id="5">
    <w:p w:rsidR="00F638B3" w:rsidRPr="00B64FEA" w:rsidRDefault="00F638B3" w:rsidP="00B64FEA">
      <w:pPr>
        <w:pStyle w:val="FootnoteText"/>
        <w:ind w:left="567" w:hanging="567"/>
        <w:rPr>
          <w:sz w:val="24"/>
          <w:lang w:val="bg-BG"/>
        </w:rPr>
      </w:pPr>
      <w:r w:rsidRPr="00B64FEA">
        <w:rPr>
          <w:rStyle w:val="FootnoteReference"/>
          <w:sz w:val="24"/>
          <w:lang w:val="bg-BG"/>
        </w:rPr>
        <w:t>+</w:t>
      </w:r>
      <w:r w:rsidR="00B64FEA" w:rsidRPr="00B64FEA">
        <w:rPr>
          <w:sz w:val="24"/>
          <w:lang w:val="bg-BG"/>
        </w:rPr>
        <w:t xml:space="preserve"> </w:t>
      </w:r>
      <w:r w:rsidR="00B64FEA" w:rsidRPr="00B64FEA">
        <w:rPr>
          <w:sz w:val="24"/>
          <w:lang w:val="bg-BG"/>
        </w:rPr>
        <w:tab/>
      </w:r>
      <w:r w:rsidRPr="00B64FEA">
        <w:rPr>
          <w:sz w:val="24"/>
          <w:lang w:val="bg-BG"/>
        </w:rPr>
        <w:t>ОВ: Моля, въведете в текста номера на регламента, съдържащ се в документ PE-CONS 10/24 (2023/0200(COD)), и добавете номера, датата и данните за публикацията в ОВ на посочения регламент в бележката под линия.</w:t>
      </w:r>
    </w:p>
  </w:footnote>
  <w:footnote w:id="6">
    <w:p w:rsidR="00F638B3" w:rsidRPr="00B64FEA" w:rsidRDefault="00F638B3" w:rsidP="00B64FEA">
      <w:pPr>
        <w:pStyle w:val="FootnoteText"/>
        <w:ind w:left="567" w:hanging="567"/>
        <w:rPr>
          <w:sz w:val="24"/>
          <w:lang w:val="bg-BG"/>
        </w:rPr>
      </w:pPr>
      <w:r w:rsidRPr="00B64FEA">
        <w:rPr>
          <w:rStyle w:val="FootnoteReference"/>
          <w:sz w:val="24"/>
          <w:lang w:val="bg-BG"/>
        </w:rPr>
        <w:t>+</w:t>
      </w:r>
      <w:r w:rsidR="00B64FEA" w:rsidRPr="00B64FEA">
        <w:rPr>
          <w:sz w:val="24"/>
          <w:lang w:val="bg-BG"/>
        </w:rPr>
        <w:t xml:space="preserve"> </w:t>
      </w:r>
      <w:r w:rsidR="00B64FEA" w:rsidRPr="00B64FEA">
        <w:rPr>
          <w:sz w:val="24"/>
          <w:lang w:val="bg-BG"/>
        </w:rPr>
        <w:tab/>
      </w:r>
      <w:r w:rsidRPr="00B64FEA">
        <w:rPr>
          <w:sz w:val="24"/>
          <w:lang w:val="bg-BG"/>
        </w:rPr>
        <w:t>ОВ: Моля, въведете в текста номера на регламента, съдържащ се в документ PE-CONS 10/24 (2023/0200(COD)).</w:t>
      </w:r>
    </w:p>
  </w:footnote>
  <w:footnote w:id="7">
    <w:p w:rsidR="00F638B3" w:rsidRPr="00B64FEA" w:rsidRDefault="00F638B3" w:rsidP="00B64FEA">
      <w:pPr>
        <w:pStyle w:val="FootnoteText"/>
        <w:ind w:left="567" w:hanging="567"/>
        <w:rPr>
          <w:sz w:val="24"/>
          <w:lang w:val="bg-BG"/>
        </w:rPr>
      </w:pPr>
      <w:r w:rsidRPr="00B64FEA">
        <w:rPr>
          <w:rStyle w:val="FootnoteReference"/>
          <w:sz w:val="24"/>
          <w:lang w:val="bg-BG"/>
        </w:rPr>
        <w:t>+</w:t>
      </w:r>
      <w:r w:rsidR="00B64FEA" w:rsidRPr="00B64FEA">
        <w:rPr>
          <w:sz w:val="24"/>
          <w:lang w:val="bg-BG"/>
        </w:rPr>
        <w:t xml:space="preserve"> </w:t>
      </w:r>
      <w:r w:rsidR="00B64FEA" w:rsidRPr="00B64FEA">
        <w:rPr>
          <w:sz w:val="24"/>
          <w:lang w:val="bg-BG"/>
        </w:rPr>
        <w:tab/>
      </w:r>
      <w:r w:rsidRPr="00B64FEA">
        <w:rPr>
          <w:sz w:val="24"/>
          <w:lang w:val="bg-BG"/>
        </w:rPr>
        <w:t>ОВ: Моля, въведете в текста номера на регламента, съдържащ се в документ PE-CONS 10/24 (2023/0200(COD)).</w:t>
      </w:r>
    </w:p>
  </w:footnote>
  <w:footnote w:id="8">
    <w:p w:rsidR="00F638B3" w:rsidRPr="00B64FEA" w:rsidRDefault="00F638B3" w:rsidP="00B64FEA">
      <w:pPr>
        <w:pStyle w:val="FootnoteText"/>
        <w:ind w:left="567" w:hanging="567"/>
        <w:rPr>
          <w:sz w:val="24"/>
          <w:lang w:val="bg-BG"/>
        </w:rPr>
      </w:pPr>
      <w:r w:rsidRPr="00B64FEA">
        <w:rPr>
          <w:rStyle w:val="FootnoteReference"/>
          <w:sz w:val="24"/>
          <w:lang w:val="bg-BG"/>
        </w:rPr>
        <w:footnoteRef/>
      </w:r>
      <w:r w:rsidR="00B64FEA" w:rsidRPr="00B64FEA">
        <w:rPr>
          <w:sz w:val="24"/>
          <w:lang w:val="bg-BG"/>
        </w:rPr>
        <w:t xml:space="preserve"> </w:t>
      </w:r>
      <w:r w:rsidR="00B64FEA" w:rsidRPr="00B64FEA">
        <w:rPr>
          <w:sz w:val="24"/>
          <w:lang w:val="bg-BG"/>
        </w:rPr>
        <w:tab/>
      </w:r>
      <w:r w:rsidRPr="00B64FEA">
        <w:rPr>
          <w:sz w:val="24"/>
          <w:lang w:val="bg-BG"/>
        </w:rPr>
        <w:t xml:space="preserve">Решение (ЕС, Евратом) 2020/2053 на Съвета от 14 декември 2020 г. </w:t>
      </w:r>
      <w:r w:rsidRPr="00B64FEA">
        <w:rPr>
          <w:sz w:val="24"/>
          <w:lang w:val="bg-BG"/>
        </w:rPr>
        <w:t>относно системата на собствените ресурси на Европейския съюз и за отмяна на Решение 201</w:t>
      </w:r>
      <w:r w:rsidR="00793599">
        <w:rPr>
          <w:sz w:val="24"/>
          <w:lang w:val="bg-BG"/>
        </w:rPr>
        <w:t>4/335/ЕС, Евратом (OВ L 424, 15.12.</w:t>
      </w:r>
      <w:r w:rsidRPr="00B64FEA">
        <w:rPr>
          <w:sz w:val="24"/>
          <w:lang w:val="bg-BG"/>
        </w:rPr>
        <w:t xml:space="preserve">2020 г., </w:t>
      </w:r>
      <w:proofErr w:type="spellStart"/>
      <w:r w:rsidRPr="00B64FEA">
        <w:rPr>
          <w:sz w:val="24"/>
          <w:lang w:val="bg-BG"/>
        </w:rPr>
        <w:t>стр</w:t>
      </w:r>
      <w:proofErr w:type="spellEnd"/>
      <w:r w:rsidR="00732E69">
        <w:rPr>
          <w:sz w:val="24"/>
          <w:lang w:val="sk-SK"/>
        </w:rPr>
        <w:t>.</w:t>
      </w:r>
      <w:r w:rsidRPr="00B64FEA">
        <w:rPr>
          <w:sz w:val="24"/>
          <w:lang w:val="bg-BG"/>
        </w:rPr>
        <w:t xml:space="preserve"> 1).</w:t>
      </w:r>
    </w:p>
  </w:footnote>
  <w:footnote w:id="9">
    <w:p w:rsidR="00F638B3" w:rsidRPr="00B64FEA" w:rsidRDefault="00F638B3" w:rsidP="00B64FEA">
      <w:pPr>
        <w:pStyle w:val="FootnoteText"/>
        <w:ind w:left="567" w:hanging="567"/>
        <w:rPr>
          <w:sz w:val="24"/>
          <w:lang w:val="bg-BG"/>
        </w:rPr>
      </w:pPr>
      <w:r w:rsidRPr="00B64FEA">
        <w:rPr>
          <w:rStyle w:val="FootnoteReference"/>
          <w:sz w:val="24"/>
          <w:lang w:val="bg-BG"/>
        </w:rPr>
        <w:footnoteRef/>
      </w:r>
      <w:r w:rsidR="00B64FEA" w:rsidRPr="00B64FEA">
        <w:rPr>
          <w:sz w:val="24"/>
          <w:lang w:val="bg-BG"/>
        </w:rPr>
        <w:t xml:space="preserve"> </w:t>
      </w:r>
      <w:r w:rsidR="00B64FEA" w:rsidRPr="00B64FEA">
        <w:rPr>
          <w:sz w:val="24"/>
          <w:lang w:val="bg-BG"/>
        </w:rPr>
        <w:tab/>
      </w:r>
      <w:r w:rsidRPr="00B64FEA">
        <w:rPr>
          <w:sz w:val="24"/>
          <w:lang w:val="bg-BG"/>
        </w:rPr>
        <w:t>Регламент (ЕО) № 2012/2002 на Съвета от 11 ноември 2002 г. за създаване на фонд „Солидарност“ на Европейския съюз (ОВ L 311, 14.11.2002 г., стр. 3).</w:t>
      </w:r>
    </w:p>
  </w:footnote>
  <w:footnote w:id="10">
    <w:p w:rsidR="00F638B3" w:rsidRPr="00B64FEA" w:rsidRDefault="00F638B3" w:rsidP="00B64FEA">
      <w:pPr>
        <w:pStyle w:val="FootnoteText"/>
        <w:ind w:left="567" w:hanging="567"/>
        <w:rPr>
          <w:sz w:val="24"/>
          <w:lang w:val="bg-BG"/>
        </w:rPr>
      </w:pPr>
      <w:r w:rsidRPr="00B64FEA">
        <w:rPr>
          <w:rStyle w:val="FootnoteReference"/>
          <w:sz w:val="24"/>
          <w:lang w:val="bg-BG"/>
        </w:rPr>
        <w:t>+</w:t>
      </w:r>
      <w:r w:rsidR="00B64FEA" w:rsidRPr="00B64FEA">
        <w:rPr>
          <w:sz w:val="24"/>
          <w:lang w:val="bg-BG"/>
        </w:rPr>
        <w:t xml:space="preserve"> </w:t>
      </w:r>
      <w:r w:rsidR="00B64FEA" w:rsidRPr="00B64FEA">
        <w:rPr>
          <w:sz w:val="24"/>
          <w:lang w:val="bg-BG"/>
        </w:rPr>
        <w:tab/>
      </w:r>
      <w:r w:rsidRPr="00B64FEA">
        <w:rPr>
          <w:sz w:val="24"/>
          <w:lang w:val="bg-BG"/>
        </w:rPr>
        <w:t>ОВ: Моля, въведете в текста номера на регламента, съдържащ се в документ PE-CONS 10/24 (2023/0200(COD)), и добавете номера, датата и данните за публикацията в ОВ на посочения регламент в бележката под линия.</w:t>
      </w:r>
    </w:p>
  </w:footnote>
  <w:footnote w:id="11">
    <w:p w:rsidR="00F638B3" w:rsidRPr="00B64FEA" w:rsidRDefault="00F638B3" w:rsidP="00B64FEA">
      <w:pPr>
        <w:pStyle w:val="FootnoteText"/>
        <w:ind w:left="567" w:hanging="567"/>
        <w:rPr>
          <w:sz w:val="24"/>
          <w:lang w:val="bg-BG"/>
        </w:rPr>
      </w:pPr>
      <w:r w:rsidRPr="00B64FEA">
        <w:rPr>
          <w:rStyle w:val="FootnoteReference"/>
          <w:sz w:val="24"/>
          <w:lang w:val="bg-BG"/>
        </w:rPr>
        <w:t>+</w:t>
      </w:r>
      <w:r w:rsidR="00B64FEA" w:rsidRPr="00B64FEA">
        <w:rPr>
          <w:sz w:val="24"/>
          <w:lang w:val="bg-BG"/>
        </w:rPr>
        <w:t xml:space="preserve"> </w:t>
      </w:r>
      <w:r w:rsidR="00B64FEA" w:rsidRPr="00B64FEA">
        <w:rPr>
          <w:sz w:val="24"/>
          <w:lang w:val="bg-BG"/>
        </w:rPr>
        <w:tab/>
      </w:r>
      <w:r w:rsidRPr="00B64FEA">
        <w:rPr>
          <w:sz w:val="24"/>
          <w:lang w:val="bg-BG"/>
        </w:rPr>
        <w:t>ОВ: Моля, въведете в текста номера на регламента, съдържащ се в документ PE-CONS 10/24 (2023/0200(COD)).</w:t>
      </w:r>
    </w:p>
  </w:footnote>
  <w:footnote w:id="12">
    <w:p w:rsidR="00F638B3" w:rsidRPr="00B64FEA" w:rsidRDefault="00F638B3" w:rsidP="00B64FEA">
      <w:pPr>
        <w:pStyle w:val="FootnoteText"/>
        <w:ind w:left="567" w:hanging="567"/>
        <w:rPr>
          <w:sz w:val="24"/>
          <w:lang w:val="bg-BG"/>
        </w:rPr>
      </w:pPr>
      <w:r w:rsidRPr="00B64FEA">
        <w:rPr>
          <w:rStyle w:val="FootnoteReference"/>
          <w:sz w:val="24"/>
          <w:lang w:val="bg-BG"/>
        </w:rPr>
        <w:footnoteRef/>
      </w:r>
      <w:r w:rsidR="00B64FEA" w:rsidRPr="00B64FEA">
        <w:rPr>
          <w:sz w:val="24"/>
          <w:lang w:val="bg-BG"/>
        </w:rPr>
        <w:t xml:space="preserve"> </w:t>
      </w:r>
      <w:r w:rsidR="00B64FEA" w:rsidRPr="00B64FEA">
        <w:rPr>
          <w:sz w:val="24"/>
          <w:lang w:val="bg-BG"/>
        </w:rPr>
        <w:tab/>
      </w:r>
      <w:r w:rsidRPr="00B64FEA">
        <w:rPr>
          <w:sz w:val="24"/>
          <w:lang w:val="bg-BG"/>
        </w:rPr>
        <w:t>Съвместна декларация на Европейския парламент, Съвета и Комисията относно повторното използване на отменени средства във връзка с програмата за научни изследвания 2020/C 444 I/03</w:t>
      </w:r>
      <w:r w:rsidR="007B13BA" w:rsidRPr="00B728EF">
        <w:rPr>
          <w:sz w:val="24"/>
          <w:lang w:val="bg-BG"/>
        </w:rPr>
        <w:t>(</w:t>
      </w:r>
      <w:r w:rsidRPr="00B64FEA">
        <w:rPr>
          <w:sz w:val="24"/>
          <w:lang w:val="bg-BG"/>
        </w:rPr>
        <w:t xml:space="preserve"> ОВ C 444</w:t>
      </w:r>
      <w:r w:rsidR="00793599">
        <w:rPr>
          <w:sz w:val="24"/>
          <w:lang w:val="bg-BG"/>
        </w:rPr>
        <w:t xml:space="preserve"> </w:t>
      </w:r>
      <w:r w:rsidRPr="00B64FEA">
        <w:rPr>
          <w:sz w:val="24"/>
          <w:lang w:val="bg-BG"/>
        </w:rPr>
        <w:t>I, 22.12.2020 г., стр. 3</w:t>
      </w:r>
      <w:r w:rsidR="007B13BA" w:rsidRPr="00B728EF">
        <w:rPr>
          <w:sz w:val="24"/>
          <w:lang w:val="bg-BG"/>
        </w:rPr>
        <w:t>)</w:t>
      </w:r>
      <w:r w:rsidRPr="00B64FEA">
        <w:rPr>
          <w:sz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38B3" w:rsidRPr="00B64FEA" w:rsidRDefault="00F638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38B3" w:rsidRPr="00B64FEA" w:rsidRDefault="00F638B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38B3" w:rsidRPr="00B64FEA" w:rsidRDefault="00F638B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64FEA"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64FEA"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64FE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561226A2"/>
    <w:multiLevelType w:val="singleLevel"/>
    <w:tmpl w:val="E5081854"/>
    <w:name w:val="Tiret 2"/>
    <w:lvl w:ilvl="0">
      <w:start w:val="1"/>
      <w:numFmt w:val="bullet"/>
      <w:pStyle w:val="Tiret2"/>
      <w:lvlText w:val="–"/>
      <w:lvlJc w:val="left"/>
      <w:pPr>
        <w:tabs>
          <w:tab w:val="num" w:pos="1984"/>
        </w:tabs>
        <w:ind w:left="1984" w:hanging="567"/>
      </w:pPr>
      <w:rPr>
        <w:bdr w:val="none" w:sz="0" w:space="0" w:color="auto" w:frame="1"/>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1/2024"/>
    <w:docVar w:name="dvlangue" w:val="BG"/>
    <w:docVar w:name="dvnumam" w:val="0"/>
    <w:docVar w:name="dvpe" w:val="758.992"/>
    <w:docVar w:name="dvrapporteur" w:val="Докладчик: "/>
    <w:docVar w:name="dvstar" w:val="***"/>
    <w:docVar w:name="dvtitre" w:val="Законодателна резолюция на Европейския парламент от ... 2024 г. относно проекта на регламент на Съвета за изменение на Регламент (EC, Евратом) 2020/2093 за определяне на многогодишната финансова рамка за годините 2021—2027(05818/2024 – C9-0030/2024 – 2023/0201(APP))"/>
  </w:docVars>
  <w:rsids>
    <w:rsidRoot w:val="000B51AB"/>
    <w:rsid w:val="00002272"/>
    <w:rsid w:val="00064002"/>
    <w:rsid w:val="000677B9"/>
    <w:rsid w:val="000831BA"/>
    <w:rsid w:val="000A42CC"/>
    <w:rsid w:val="000B51AB"/>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086C"/>
    <w:rsid w:val="00545827"/>
    <w:rsid w:val="00560270"/>
    <w:rsid w:val="005C2568"/>
    <w:rsid w:val="006037C0"/>
    <w:rsid w:val="006631B6"/>
    <w:rsid w:val="00680577"/>
    <w:rsid w:val="006F74FA"/>
    <w:rsid w:val="00731ADD"/>
    <w:rsid w:val="00732E69"/>
    <w:rsid w:val="00734777"/>
    <w:rsid w:val="00747932"/>
    <w:rsid w:val="00751A4A"/>
    <w:rsid w:val="00756632"/>
    <w:rsid w:val="00762C74"/>
    <w:rsid w:val="00786EC0"/>
    <w:rsid w:val="00793599"/>
    <w:rsid w:val="007B13BA"/>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64FEA"/>
    <w:rsid w:val="00B728EF"/>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F045C"/>
    <w:rsid w:val="00E365E1"/>
    <w:rsid w:val="00E820A4"/>
    <w:rsid w:val="00EB006A"/>
    <w:rsid w:val="00EB4772"/>
    <w:rsid w:val="00ED169E"/>
    <w:rsid w:val="00ED4235"/>
    <w:rsid w:val="00F04346"/>
    <w:rsid w:val="00F075DC"/>
    <w:rsid w:val="00F149E9"/>
    <w:rsid w:val="00F5134D"/>
    <w:rsid w:val="00F638B3"/>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18E000"/>
  <w15:chartTrackingRefBased/>
  <w15:docId w15:val="{A5A3892E-4783-4548-A101-3360438BA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638B3"/>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F638B3"/>
    <w:pPr>
      <w:keepNext/>
      <w:spacing w:after="480"/>
      <w:jc w:val="center"/>
    </w:pPr>
    <w:rPr>
      <w:rFonts w:ascii="Arial" w:hAnsi="Arial" w:cs="Arial"/>
      <w:b/>
    </w:rPr>
  </w:style>
  <w:style w:type="paragraph" w:customStyle="1" w:styleId="NormalBold">
    <w:name w:val="NormalBold"/>
    <w:basedOn w:val="Normal"/>
    <w:rsid w:val="00F638B3"/>
    <w:rPr>
      <w:b/>
    </w:rPr>
  </w:style>
  <w:style w:type="paragraph" w:customStyle="1" w:styleId="NormalHanging12a">
    <w:name w:val="NormalHanging12a"/>
    <w:basedOn w:val="Normal"/>
    <w:rsid w:val="00F638B3"/>
    <w:pPr>
      <w:spacing w:after="240"/>
      <w:ind w:left="567" w:hanging="567"/>
    </w:pPr>
  </w:style>
  <w:style w:type="paragraph" w:customStyle="1" w:styleId="EPComma">
    <w:name w:val="EPComma"/>
    <w:basedOn w:val="Normal"/>
    <w:rsid w:val="00F638B3"/>
    <w:pPr>
      <w:spacing w:before="480" w:after="240"/>
    </w:pPr>
  </w:style>
  <w:style w:type="paragraph" w:styleId="Header">
    <w:name w:val="header"/>
    <w:basedOn w:val="Normal"/>
    <w:link w:val="HeaderChar"/>
    <w:rsid w:val="00F638B3"/>
    <w:pPr>
      <w:tabs>
        <w:tab w:val="center" w:pos="4513"/>
        <w:tab w:val="right" w:pos="9026"/>
      </w:tabs>
    </w:pPr>
  </w:style>
  <w:style w:type="character" w:customStyle="1" w:styleId="HeaderChar">
    <w:name w:val="Header Char"/>
    <w:basedOn w:val="DefaultParagraphFont"/>
    <w:link w:val="Header"/>
    <w:rsid w:val="00F638B3"/>
    <w:rPr>
      <w:sz w:val="24"/>
      <w:lang w:val="bg-BG"/>
    </w:rPr>
  </w:style>
  <w:style w:type="paragraph" w:customStyle="1" w:styleId="EPFooter">
    <w:name w:val="EPFooter"/>
    <w:basedOn w:val="Normal"/>
    <w:rsid w:val="00F638B3"/>
    <w:pPr>
      <w:tabs>
        <w:tab w:val="center" w:pos="4535"/>
        <w:tab w:val="right" w:pos="9071"/>
      </w:tabs>
      <w:spacing w:before="240" w:after="240"/>
    </w:pPr>
    <w:rPr>
      <w:color w:val="010000"/>
      <w:sz w:val="22"/>
    </w:rPr>
  </w:style>
  <w:style w:type="paragraph" w:customStyle="1" w:styleId="Text1">
    <w:name w:val="Text 1"/>
    <w:basedOn w:val="Normal"/>
    <w:rsid w:val="00F638B3"/>
    <w:pPr>
      <w:widowControl/>
      <w:spacing w:before="120" w:after="120" w:line="360" w:lineRule="auto"/>
      <w:ind w:left="850"/>
    </w:pPr>
    <w:rPr>
      <w:rFonts w:eastAsiaTheme="minorHAnsi"/>
      <w:szCs w:val="22"/>
      <w:lang w:eastAsia="en-US"/>
    </w:rPr>
  </w:style>
  <w:style w:type="paragraph" w:customStyle="1" w:styleId="Text2">
    <w:name w:val="Text 2"/>
    <w:basedOn w:val="Normal"/>
    <w:rsid w:val="00F638B3"/>
    <w:pPr>
      <w:widowControl/>
      <w:spacing w:before="120" w:after="120" w:line="360" w:lineRule="auto"/>
      <w:ind w:left="1417"/>
    </w:pPr>
    <w:rPr>
      <w:rFonts w:eastAsiaTheme="minorHAnsi"/>
      <w:szCs w:val="22"/>
      <w:lang w:eastAsia="en-US"/>
    </w:rPr>
  </w:style>
  <w:style w:type="paragraph" w:customStyle="1" w:styleId="NormalCentered">
    <w:name w:val="Normal Centered"/>
    <w:basedOn w:val="Normal"/>
    <w:rsid w:val="00F638B3"/>
    <w:pPr>
      <w:widowControl/>
      <w:spacing w:before="120" w:after="120" w:line="360" w:lineRule="auto"/>
      <w:jc w:val="center"/>
    </w:pPr>
    <w:rPr>
      <w:rFonts w:eastAsiaTheme="minorHAnsi"/>
      <w:szCs w:val="22"/>
      <w:lang w:eastAsia="en-US"/>
    </w:rPr>
  </w:style>
  <w:style w:type="paragraph" w:customStyle="1" w:styleId="NormalRight">
    <w:name w:val="Normal Right"/>
    <w:basedOn w:val="Normal"/>
    <w:rsid w:val="00F638B3"/>
    <w:pPr>
      <w:widowControl/>
      <w:spacing w:before="120" w:after="120" w:line="360" w:lineRule="auto"/>
      <w:jc w:val="right"/>
    </w:pPr>
    <w:rPr>
      <w:rFonts w:eastAsiaTheme="minorHAnsi"/>
      <w:szCs w:val="22"/>
      <w:lang w:eastAsia="en-US"/>
    </w:rPr>
  </w:style>
  <w:style w:type="paragraph" w:customStyle="1" w:styleId="Point0">
    <w:name w:val="Point 0"/>
    <w:basedOn w:val="Normal"/>
    <w:rsid w:val="00F638B3"/>
    <w:pPr>
      <w:widowControl/>
      <w:spacing w:before="120" w:after="120" w:line="360" w:lineRule="auto"/>
      <w:ind w:left="850" w:hanging="850"/>
    </w:pPr>
    <w:rPr>
      <w:rFonts w:eastAsiaTheme="minorHAnsi"/>
      <w:szCs w:val="22"/>
      <w:lang w:eastAsia="en-US"/>
    </w:rPr>
  </w:style>
  <w:style w:type="paragraph" w:customStyle="1" w:styleId="Point1">
    <w:name w:val="Point 1"/>
    <w:basedOn w:val="Normal"/>
    <w:rsid w:val="00F638B3"/>
    <w:pPr>
      <w:widowControl/>
      <w:spacing w:before="120" w:after="120" w:line="360" w:lineRule="auto"/>
      <w:ind w:left="1417" w:hanging="567"/>
    </w:pPr>
    <w:rPr>
      <w:rFonts w:eastAsiaTheme="minorHAnsi"/>
      <w:szCs w:val="22"/>
      <w:lang w:eastAsia="en-US"/>
    </w:rPr>
  </w:style>
  <w:style w:type="paragraph" w:customStyle="1" w:styleId="Point2">
    <w:name w:val="Point 2"/>
    <w:basedOn w:val="Normal"/>
    <w:rsid w:val="00F638B3"/>
    <w:pPr>
      <w:widowControl/>
      <w:spacing w:before="120" w:after="120" w:line="360" w:lineRule="auto"/>
      <w:ind w:left="1984" w:hanging="567"/>
    </w:pPr>
    <w:rPr>
      <w:rFonts w:eastAsiaTheme="minorHAnsi"/>
      <w:szCs w:val="22"/>
      <w:lang w:eastAsia="en-US"/>
    </w:rPr>
  </w:style>
  <w:style w:type="paragraph" w:customStyle="1" w:styleId="Tiret2">
    <w:name w:val="Tiret 2"/>
    <w:basedOn w:val="Normal"/>
    <w:rsid w:val="00F638B3"/>
    <w:pPr>
      <w:widowControl/>
      <w:numPr>
        <w:numId w:val="45"/>
      </w:numPr>
      <w:spacing w:before="120" w:after="120" w:line="360" w:lineRule="auto"/>
    </w:pPr>
    <w:rPr>
      <w:rFonts w:eastAsiaTheme="minorHAnsi"/>
      <w:szCs w:val="22"/>
      <w:lang w:eastAsia="en-US"/>
    </w:rPr>
  </w:style>
  <w:style w:type="paragraph" w:customStyle="1" w:styleId="Fait">
    <w:name w:val="Fait à"/>
    <w:basedOn w:val="Normal"/>
    <w:next w:val="Institutionquisigne"/>
    <w:rsid w:val="00F638B3"/>
    <w:pPr>
      <w:keepNext/>
      <w:widowControl/>
      <w:spacing w:before="120" w:line="360" w:lineRule="auto"/>
    </w:pPr>
    <w:rPr>
      <w:rFonts w:eastAsiaTheme="minorHAnsi"/>
      <w:szCs w:val="22"/>
      <w:lang w:eastAsia="en-US"/>
    </w:rPr>
  </w:style>
  <w:style w:type="paragraph" w:customStyle="1" w:styleId="Applicationdirecte">
    <w:name w:val="Application directe"/>
    <w:basedOn w:val="Normal"/>
    <w:next w:val="Fait"/>
    <w:rsid w:val="00F638B3"/>
    <w:pPr>
      <w:widowControl/>
      <w:spacing w:before="480" w:after="120" w:line="360" w:lineRule="auto"/>
    </w:pPr>
    <w:rPr>
      <w:rFonts w:eastAsiaTheme="minorHAnsi"/>
      <w:szCs w:val="22"/>
      <w:lang w:eastAsia="en-US"/>
    </w:rPr>
  </w:style>
  <w:style w:type="paragraph" w:customStyle="1" w:styleId="Titreobjet">
    <w:name w:val="Titre objet"/>
    <w:basedOn w:val="Normal"/>
    <w:next w:val="Normal"/>
    <w:rsid w:val="00F638B3"/>
    <w:pPr>
      <w:widowControl/>
      <w:spacing w:before="360" w:after="360" w:line="360" w:lineRule="auto"/>
      <w:jc w:val="center"/>
    </w:pPr>
    <w:rPr>
      <w:rFonts w:eastAsiaTheme="minorHAnsi"/>
      <w:b/>
      <w:szCs w:val="22"/>
      <w:lang w:eastAsia="en-US"/>
    </w:rPr>
  </w:style>
  <w:style w:type="paragraph" w:customStyle="1" w:styleId="Datedadoption">
    <w:name w:val="Date d'adoption"/>
    <w:basedOn w:val="Normal"/>
    <w:next w:val="Titreobjet"/>
    <w:rsid w:val="00F638B3"/>
    <w:pPr>
      <w:widowControl/>
      <w:spacing w:before="360" w:line="360" w:lineRule="auto"/>
      <w:jc w:val="center"/>
    </w:pPr>
    <w:rPr>
      <w:rFonts w:eastAsiaTheme="minorHAnsi"/>
      <w:b/>
      <w:szCs w:val="22"/>
      <w:lang w:eastAsia="en-US"/>
    </w:rPr>
  </w:style>
  <w:style w:type="paragraph" w:customStyle="1" w:styleId="Institutionquisigne">
    <w:name w:val="Institution qui signe"/>
    <w:basedOn w:val="Normal"/>
    <w:next w:val="Personnequisigne"/>
    <w:rsid w:val="00F638B3"/>
    <w:pPr>
      <w:keepNext/>
      <w:widowControl/>
      <w:tabs>
        <w:tab w:val="left" w:pos="5669"/>
      </w:tabs>
      <w:spacing w:before="720" w:line="360" w:lineRule="auto"/>
    </w:pPr>
    <w:rPr>
      <w:rFonts w:eastAsiaTheme="minorHAnsi"/>
      <w:i/>
      <w:szCs w:val="22"/>
      <w:lang w:eastAsia="en-US"/>
    </w:rPr>
  </w:style>
  <w:style w:type="paragraph" w:customStyle="1" w:styleId="Titrearticle">
    <w:name w:val="Titre article"/>
    <w:basedOn w:val="Normal"/>
    <w:next w:val="Normal"/>
    <w:rsid w:val="00F638B3"/>
    <w:pPr>
      <w:keepNext/>
      <w:widowControl/>
      <w:spacing w:before="360" w:after="120" w:line="360" w:lineRule="auto"/>
      <w:jc w:val="center"/>
    </w:pPr>
    <w:rPr>
      <w:rFonts w:eastAsiaTheme="minorHAnsi"/>
      <w:i/>
      <w:szCs w:val="22"/>
      <w:lang w:eastAsia="en-US"/>
    </w:rPr>
  </w:style>
  <w:style w:type="paragraph" w:customStyle="1" w:styleId="Formuledadoption">
    <w:name w:val="Formule d'adoption"/>
    <w:basedOn w:val="Normal"/>
    <w:next w:val="Titrearticle"/>
    <w:rsid w:val="00F638B3"/>
    <w:pPr>
      <w:keepNext/>
      <w:widowControl/>
      <w:spacing w:before="120" w:after="120" w:line="360" w:lineRule="auto"/>
    </w:pPr>
    <w:rPr>
      <w:rFonts w:eastAsiaTheme="minorHAnsi"/>
      <w:szCs w:val="22"/>
      <w:lang w:eastAsia="en-US"/>
    </w:rPr>
  </w:style>
  <w:style w:type="paragraph" w:customStyle="1" w:styleId="Institutionquiagit">
    <w:name w:val="Institution qui agit"/>
    <w:basedOn w:val="Normal"/>
    <w:next w:val="Normal"/>
    <w:rsid w:val="00F638B3"/>
    <w:pPr>
      <w:keepNext/>
      <w:widowControl/>
      <w:spacing w:before="600" w:after="120" w:line="360" w:lineRule="auto"/>
    </w:pPr>
    <w:rPr>
      <w:rFonts w:eastAsiaTheme="minorHAnsi"/>
      <w:szCs w:val="22"/>
      <w:lang w:eastAsia="en-US"/>
    </w:rPr>
  </w:style>
  <w:style w:type="paragraph" w:customStyle="1" w:styleId="Personnequisigne">
    <w:name w:val="Personne qui signe"/>
    <w:basedOn w:val="Normal"/>
    <w:next w:val="Institutionquisigne"/>
    <w:rsid w:val="00F638B3"/>
    <w:pPr>
      <w:widowControl/>
      <w:tabs>
        <w:tab w:val="left" w:pos="5669"/>
      </w:tabs>
      <w:spacing w:line="360" w:lineRule="auto"/>
    </w:pPr>
    <w:rPr>
      <w:rFonts w:eastAsiaTheme="minorHAnsi"/>
      <w:i/>
      <w:szCs w:val="22"/>
      <w:lang w:eastAsia="en-US"/>
    </w:rPr>
  </w:style>
  <w:style w:type="paragraph" w:customStyle="1" w:styleId="ManualConsidrant">
    <w:name w:val="Manual Considérant"/>
    <w:basedOn w:val="Normal"/>
    <w:rsid w:val="00F638B3"/>
    <w:pPr>
      <w:widowControl/>
      <w:spacing w:before="120" w:after="120" w:line="360" w:lineRule="auto"/>
      <w:ind w:left="850" w:hanging="850"/>
    </w:pPr>
    <w:rPr>
      <w:rFonts w:eastAsiaTheme="minorHAnsi"/>
      <w:szCs w:val="22"/>
      <w:lang w:eastAsia="en-US"/>
    </w:rPr>
  </w:style>
  <w:style w:type="paragraph" w:customStyle="1" w:styleId="Typedudocument">
    <w:name w:val="Type du document"/>
    <w:basedOn w:val="Normal"/>
    <w:next w:val="Datedadoption"/>
    <w:rsid w:val="00F638B3"/>
    <w:pPr>
      <w:widowControl/>
      <w:spacing w:before="360" w:line="360" w:lineRule="auto"/>
      <w:jc w:val="center"/>
    </w:pPr>
    <w:rPr>
      <w:rFonts w:eastAsiaTheme="minorHAnsi"/>
      <w:b/>
      <w:szCs w:val="22"/>
      <w:lang w:eastAsia="en-US"/>
    </w:rPr>
  </w:style>
  <w:style w:type="paragraph" w:customStyle="1" w:styleId="Lignefinal">
    <w:name w:val="Ligne final"/>
    <w:basedOn w:val="Normal"/>
    <w:next w:val="Normal"/>
    <w:rsid w:val="00F638B3"/>
    <w:pPr>
      <w:widowControl/>
      <w:pBdr>
        <w:bottom w:val="single" w:sz="4" w:space="0" w:color="000000"/>
      </w:pBdr>
      <w:spacing w:before="360" w:after="120" w:line="360" w:lineRule="auto"/>
      <w:ind w:left="3400" w:right="3400"/>
      <w:jc w:val="center"/>
    </w:pPr>
    <w:rPr>
      <w:rFonts w:eastAsiaTheme="minorHAnsi"/>
      <w:b/>
      <w:szCs w:val="22"/>
      <w:lang w:eastAsia="en-US"/>
    </w:rPr>
  </w:style>
  <w:style w:type="paragraph" w:customStyle="1" w:styleId="LignefinalLandscape">
    <w:name w:val="Ligne final (Landscape)"/>
    <w:basedOn w:val="Normal"/>
    <w:next w:val="Normal"/>
    <w:rsid w:val="00F638B3"/>
    <w:pPr>
      <w:widowControl/>
      <w:pBdr>
        <w:bottom w:val="single" w:sz="4" w:space="0" w:color="000000"/>
      </w:pBdr>
      <w:spacing w:before="360" w:after="120" w:line="360" w:lineRule="auto"/>
      <w:ind w:left="5868" w:right="5868"/>
      <w:jc w:val="center"/>
    </w:pPr>
    <w:rPr>
      <w:rFonts w:eastAsiaTheme="minorHAnsi"/>
      <w:b/>
      <w:szCs w:val="22"/>
      <w:lang w:eastAsia="en-US"/>
    </w:rPr>
  </w:style>
  <w:style w:type="paragraph" w:customStyle="1" w:styleId="Annexetitre">
    <w:name w:val="Annexe titre"/>
    <w:basedOn w:val="Normal"/>
    <w:next w:val="Normal"/>
    <w:rsid w:val="00F638B3"/>
    <w:pPr>
      <w:widowControl/>
      <w:spacing w:before="120" w:after="120" w:line="360" w:lineRule="auto"/>
      <w:jc w:val="center"/>
    </w:pPr>
    <w:rPr>
      <w:rFonts w:eastAsiaTheme="minorHAnsi"/>
      <w:b/>
      <w:szCs w:val="22"/>
      <w:u w:val="single"/>
      <w:lang w:eastAsia="en-US"/>
    </w:rPr>
  </w:style>
  <w:style w:type="paragraph" w:styleId="NormalWeb">
    <w:name w:val="Normal (Web)"/>
    <w:basedOn w:val="Normal"/>
    <w:uiPriority w:val="99"/>
    <w:unhideWhenUsed/>
    <w:rsid w:val="00F638B3"/>
    <w:pPr>
      <w:widowControl/>
      <w:spacing w:before="100" w:beforeAutospacing="1" w:after="100" w:afterAutospacing="1"/>
    </w:pPr>
    <w:rPr>
      <w:szCs w:val="24"/>
      <w:lang w:eastAsia="en-IE"/>
    </w:rPr>
  </w:style>
  <w:style w:type="paragraph" w:customStyle="1" w:styleId="Normal24a">
    <w:name w:val="Normal24a"/>
    <w:basedOn w:val="Normal"/>
    <w:rsid w:val="00F638B3"/>
    <w:pPr>
      <w:spacing w:after="480"/>
    </w:pPr>
  </w:style>
  <w:style w:type="paragraph" w:customStyle="1" w:styleId="NormalBoldCenter">
    <w:name w:val="NormalBoldCenter"/>
    <w:basedOn w:val="Normal"/>
    <w:rsid w:val="00F638B3"/>
    <w:pPr>
      <w:jc w:val="center"/>
    </w:pPr>
    <w:rPr>
      <w:b/>
    </w:rPr>
  </w:style>
  <w:style w:type="paragraph" w:styleId="BalloonText">
    <w:name w:val="Balloon Text"/>
    <w:basedOn w:val="Normal"/>
    <w:link w:val="BalloonTextChar"/>
    <w:rsid w:val="007B13BA"/>
    <w:rPr>
      <w:rFonts w:ascii="Segoe UI" w:hAnsi="Segoe UI" w:cs="Segoe UI"/>
      <w:sz w:val="18"/>
      <w:szCs w:val="18"/>
    </w:rPr>
  </w:style>
  <w:style w:type="character" w:customStyle="1" w:styleId="BalloonTextChar">
    <w:name w:val="Balloon Text Char"/>
    <w:basedOn w:val="DefaultParagraphFont"/>
    <w:link w:val="BalloonText"/>
    <w:rsid w:val="007B13BA"/>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4D0098-31E8-4352-B671-7E6A3F4361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4463</Words>
  <Characters>23736</Characters>
  <Application>Microsoft Office Word</Application>
  <DocSecurity>4</DocSecurity>
  <Lines>197</Lines>
  <Paragraphs>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SOLTYSOVA Zuzana</cp:lastModifiedBy>
  <cp:revision>2</cp:revision>
  <cp:lastPrinted>2004-11-19T15:42:00Z</cp:lastPrinted>
  <dcterms:created xsi:type="dcterms:W3CDTF">2024-07-02T13:44:00Z</dcterms:created>
  <dcterms:modified xsi:type="dcterms:W3CDTF">2024-07-02T13:44:00Z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P9_TA(2024)0081_</vt:lpwstr>
  </property>
  <property fmtid="{D5CDD505-2E9C-101B-9397-08002B2CF9AE}" pid="4" name="&lt;Type&gt;">
    <vt:lpwstr>RR</vt:lpwstr>
  </property>
</Properties>
</file>