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C0C9C" w:rsidTr="0010095E">
        <w:trPr>
          <w:trHeight w:hRule="exact" w:val="1418"/>
        </w:trPr>
        <w:tc>
          <w:tcPr>
            <w:tcW w:w="6804" w:type="dxa"/>
            <w:shd w:val="clear" w:color="auto" w:fill="auto"/>
            <w:vAlign w:val="center"/>
          </w:tcPr>
          <w:p w:rsidR="00751A4A" w:rsidRPr="009C0C9C" w:rsidRDefault="001D16EE" w:rsidP="0010095E">
            <w:pPr>
              <w:pStyle w:val="EPName"/>
            </w:pPr>
            <w:r w:rsidRPr="009C0C9C">
              <w:t>European Parliament</w:t>
            </w:r>
          </w:p>
          <w:p w:rsidR="00751A4A" w:rsidRPr="009C0C9C" w:rsidRDefault="00817416" w:rsidP="00756632">
            <w:pPr>
              <w:pStyle w:val="EPTerm"/>
              <w:rPr>
                <w:rStyle w:val="HideTWBExt"/>
                <w:noProof w:val="0"/>
                <w:vanish w:val="0"/>
                <w:color w:val="auto"/>
              </w:rPr>
            </w:pPr>
            <w:r w:rsidRPr="009C0C9C">
              <w:t>2019-2024</w:t>
            </w:r>
          </w:p>
        </w:tc>
        <w:tc>
          <w:tcPr>
            <w:tcW w:w="2268" w:type="dxa"/>
            <w:shd w:val="clear" w:color="auto" w:fill="auto"/>
          </w:tcPr>
          <w:p w:rsidR="00751A4A" w:rsidRPr="009C0C9C" w:rsidRDefault="00187494" w:rsidP="0010095E">
            <w:pPr>
              <w:pStyle w:val="EPLogo"/>
            </w:pPr>
            <w:r w:rsidRPr="009C0C9C">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C0C9C" w:rsidRDefault="00D058B8" w:rsidP="004C5D52">
      <w:pPr>
        <w:pStyle w:val="LineTop"/>
      </w:pPr>
    </w:p>
    <w:p w:rsidR="00680577" w:rsidRPr="009C0C9C" w:rsidRDefault="001D16EE" w:rsidP="00680577">
      <w:pPr>
        <w:pStyle w:val="EPBodyTA1"/>
      </w:pPr>
      <w:r w:rsidRPr="009C0C9C">
        <w:t>TEXTS ADOPTED</w:t>
      </w:r>
    </w:p>
    <w:p w:rsidR="00D058B8" w:rsidRPr="009C0C9C" w:rsidRDefault="00D058B8" w:rsidP="00D058B8">
      <w:pPr>
        <w:pStyle w:val="LineBottom"/>
      </w:pPr>
    </w:p>
    <w:p w:rsidR="001D16EE" w:rsidRPr="009C0C9C" w:rsidRDefault="001D16EE" w:rsidP="001D16EE">
      <w:pPr>
        <w:pStyle w:val="ATHeading1"/>
      </w:pPr>
      <w:bookmarkStart w:id="0" w:name="TANumber"/>
      <w:r w:rsidRPr="009C0C9C">
        <w:t>P9_</w:t>
      </w:r>
      <w:proofErr w:type="gramStart"/>
      <w:r w:rsidRPr="009C0C9C">
        <w:t>TA(</w:t>
      </w:r>
      <w:proofErr w:type="gramEnd"/>
      <w:r w:rsidRPr="009C0C9C">
        <w:t>2024)00</w:t>
      </w:r>
      <w:bookmarkEnd w:id="0"/>
      <w:r w:rsidR="00861D0C">
        <w:t>81</w:t>
      </w:r>
    </w:p>
    <w:p w:rsidR="001D16EE" w:rsidRPr="009C0C9C" w:rsidRDefault="001D16EE" w:rsidP="001D16EE">
      <w:pPr>
        <w:pStyle w:val="ATHeading2"/>
      </w:pPr>
      <w:bookmarkStart w:id="1" w:name="title"/>
      <w:r w:rsidRPr="009C0C9C">
        <w:t>Multiannual financial framework for the years 2021 to 2027</w:t>
      </w:r>
      <w:bookmarkEnd w:id="1"/>
    </w:p>
    <w:p w:rsidR="001D16EE" w:rsidRPr="009C0C9C" w:rsidRDefault="001D16EE" w:rsidP="001D16EE">
      <w:pPr>
        <w:rPr>
          <w:i/>
          <w:vanish/>
        </w:rPr>
      </w:pPr>
      <w:r w:rsidRPr="009C0C9C">
        <w:rPr>
          <w:i/>
        </w:rPr>
        <w:fldChar w:fldCharType="begin"/>
      </w:r>
      <w:r w:rsidRPr="009C0C9C">
        <w:rPr>
          <w:i/>
        </w:rPr>
        <w:instrText xml:space="preserve"> TC"(</w:instrText>
      </w:r>
      <w:bookmarkStart w:id="2" w:name="DocNumber"/>
      <w:r w:rsidRPr="009C0C9C">
        <w:rPr>
          <w:i/>
        </w:rPr>
        <w:instrText>A9-0051/2024</w:instrText>
      </w:r>
      <w:bookmarkEnd w:id="2"/>
      <w:r w:rsidRPr="009C0C9C">
        <w:rPr>
          <w:i/>
        </w:rPr>
        <w:instrText xml:space="preserve"> - </w:instrText>
      </w:r>
      <w:r w:rsidR="00EE7BA5">
        <w:rPr>
          <w:i/>
        </w:rPr>
        <w:instrText>Co-r</w:instrText>
      </w:r>
      <w:r w:rsidRPr="009C0C9C">
        <w:rPr>
          <w:i/>
        </w:rPr>
        <w:instrText>apporteur</w:instrText>
      </w:r>
      <w:r w:rsidR="00806E18">
        <w:rPr>
          <w:i/>
        </w:rPr>
        <w:instrText>s</w:instrText>
      </w:r>
      <w:r w:rsidRPr="009C0C9C">
        <w:rPr>
          <w:i/>
        </w:rPr>
        <w:instrText xml:space="preserve">: Jan </w:instrText>
      </w:r>
      <w:proofErr w:type="spellStart"/>
      <w:r w:rsidRPr="009C0C9C">
        <w:rPr>
          <w:i/>
        </w:rPr>
        <w:instrText>Olbrycht</w:instrText>
      </w:r>
      <w:proofErr w:type="spellEnd"/>
      <w:r w:rsidRPr="009C0C9C">
        <w:rPr>
          <w:i/>
        </w:rPr>
        <w:instrText xml:space="preserve">, Margarida Marques)"\l3 \n&gt; \* MERGEFORMAT </w:instrText>
      </w:r>
      <w:r w:rsidRPr="009C0C9C">
        <w:rPr>
          <w:i/>
        </w:rPr>
        <w:fldChar w:fldCharType="end"/>
      </w:r>
    </w:p>
    <w:p w:rsidR="001D16EE" w:rsidRPr="009C0C9C" w:rsidRDefault="001D16EE" w:rsidP="001D16EE">
      <w:pPr>
        <w:rPr>
          <w:vanish/>
        </w:rPr>
      </w:pPr>
      <w:bookmarkStart w:id="3" w:name="Commission"/>
      <w:r w:rsidRPr="009C0C9C">
        <w:rPr>
          <w:vanish/>
        </w:rPr>
        <w:t>Committee on Budgets</w:t>
      </w:r>
      <w:bookmarkEnd w:id="3"/>
    </w:p>
    <w:p w:rsidR="001D16EE" w:rsidRPr="009C0C9C" w:rsidRDefault="001D16EE" w:rsidP="001D16EE">
      <w:pPr>
        <w:rPr>
          <w:vanish/>
        </w:rPr>
      </w:pPr>
      <w:bookmarkStart w:id="4" w:name="PE"/>
      <w:r w:rsidRPr="009C0C9C">
        <w:rPr>
          <w:vanish/>
        </w:rPr>
        <w:t>PE758.992</w:t>
      </w:r>
      <w:bookmarkEnd w:id="4"/>
    </w:p>
    <w:p w:rsidR="001D16EE" w:rsidRPr="009C0C9C" w:rsidRDefault="001D16EE" w:rsidP="00806E18">
      <w:pPr>
        <w:pStyle w:val="ATHeading3"/>
      </w:pPr>
      <w:bookmarkStart w:id="5" w:name="Sujet"/>
      <w:r w:rsidRPr="009C0C9C">
        <w:t xml:space="preserve">European Parliament legislative resolution of </w:t>
      </w:r>
      <w:r w:rsidR="00806E18">
        <w:t>27</w:t>
      </w:r>
      <w:r w:rsidRPr="009C0C9C">
        <w:t xml:space="preserve"> February 2024 on the draft Council regulation amending Regulation (EU, </w:t>
      </w:r>
      <w:proofErr w:type="spellStart"/>
      <w:proofErr w:type="gramStart"/>
      <w:r w:rsidRPr="009C0C9C">
        <w:t>Euratom</w:t>
      </w:r>
      <w:proofErr w:type="spellEnd"/>
      <w:proofErr w:type="gramEnd"/>
      <w:r w:rsidRPr="009C0C9C">
        <w:t>) 2020/2093 laying down the multiannual financial framework for the years 2021 to 2027</w:t>
      </w:r>
      <w:bookmarkEnd w:id="5"/>
      <w:r w:rsidRPr="009C0C9C">
        <w:t xml:space="preserve"> </w:t>
      </w:r>
      <w:bookmarkStart w:id="6" w:name="References"/>
      <w:r w:rsidRPr="009C0C9C">
        <w:t>(05818/2024 – C9-0030/2024 – 2023/0201(APP))</w:t>
      </w:r>
      <w:bookmarkEnd w:id="6"/>
    </w:p>
    <w:p w:rsidR="001C2625" w:rsidRPr="009C0C9C" w:rsidRDefault="001C2625" w:rsidP="001C2625">
      <w:pPr>
        <w:pStyle w:val="NormalBold"/>
      </w:pPr>
      <w:bookmarkStart w:id="7" w:name="TextBodyBegin"/>
      <w:bookmarkEnd w:id="7"/>
      <w:r w:rsidRPr="009C0C9C">
        <w:t>(Special legislative procedure – consent)</w:t>
      </w:r>
    </w:p>
    <w:p w:rsidR="001C2625" w:rsidRPr="009C0C9C" w:rsidRDefault="001C2625" w:rsidP="001C2625">
      <w:pPr>
        <w:pStyle w:val="EPComma"/>
        <w:rPr>
          <w:lang w:val="en-GB"/>
        </w:rPr>
      </w:pPr>
      <w:r w:rsidRPr="009C0C9C">
        <w:rPr>
          <w:i/>
          <w:lang w:val="en-GB"/>
        </w:rPr>
        <w:t>The European Parliament</w:t>
      </w:r>
      <w:r w:rsidRPr="009C0C9C">
        <w:rPr>
          <w:lang w:val="en-GB"/>
        </w:rPr>
        <w:t>,</w:t>
      </w:r>
    </w:p>
    <w:p w:rsidR="001C2625" w:rsidRPr="009C0C9C" w:rsidRDefault="001C2625" w:rsidP="00806E18">
      <w:pPr>
        <w:pStyle w:val="NormalHanging12a"/>
        <w:widowControl/>
      </w:pPr>
      <w:r w:rsidRPr="009C0C9C">
        <w:t>–</w:t>
      </w:r>
      <w:r w:rsidRPr="009C0C9C">
        <w:tab/>
        <w:t xml:space="preserve">having regard to the draft Council regulation amending Regulation (EU, </w:t>
      </w:r>
      <w:proofErr w:type="spellStart"/>
      <w:proofErr w:type="gramStart"/>
      <w:r w:rsidRPr="009C0C9C">
        <w:t>Euratom</w:t>
      </w:r>
      <w:proofErr w:type="spellEnd"/>
      <w:proofErr w:type="gramEnd"/>
      <w:r w:rsidRPr="009C0C9C">
        <w:t>) 2020/2093 laying down the multiannual financial framework for the years 2021 to 2027 (05818/2024),</w:t>
      </w:r>
    </w:p>
    <w:p w:rsidR="001C2625" w:rsidRPr="009C0C9C" w:rsidRDefault="001C2625" w:rsidP="00806E18">
      <w:pPr>
        <w:pStyle w:val="NormalHanging12a"/>
        <w:widowControl/>
      </w:pPr>
      <w:r w:rsidRPr="009C0C9C">
        <w:t>–</w:t>
      </w:r>
      <w:r w:rsidRPr="009C0C9C">
        <w:tab/>
        <w:t>having regard to the request for consent submitted by the Council in accordance with Article 312(2) of the Treaty on the Functioning of the European Union (C9-0030/2024),</w:t>
      </w:r>
    </w:p>
    <w:p w:rsidR="001C2625" w:rsidRPr="009C0C9C" w:rsidRDefault="001C2625" w:rsidP="00806E18">
      <w:pPr>
        <w:pStyle w:val="NormalHanging12a"/>
        <w:widowControl/>
      </w:pPr>
      <w:r w:rsidRPr="009C0C9C">
        <w:t>–</w:t>
      </w:r>
      <w:r w:rsidRPr="009C0C9C">
        <w:tab/>
        <w:t xml:space="preserve">having regard to the Commission proposal of 20 June 2023 for a Council regulation amending Regulation (EU, </w:t>
      </w:r>
      <w:proofErr w:type="spellStart"/>
      <w:r w:rsidRPr="009C0C9C">
        <w:t>Euratom</w:t>
      </w:r>
      <w:proofErr w:type="spellEnd"/>
      <w:r w:rsidRPr="009C0C9C">
        <w:t>) 2020/2093 laying down the multiannual financial framework for the years 2021 to 2027 (</w:t>
      </w:r>
      <w:proofErr w:type="gramStart"/>
      <w:r w:rsidRPr="009C0C9C">
        <w:t>COM(</w:t>
      </w:r>
      <w:proofErr w:type="gramEnd"/>
      <w:r w:rsidRPr="009C0C9C">
        <w:t>2023)0337),</w:t>
      </w:r>
    </w:p>
    <w:p w:rsidR="001C2625" w:rsidRPr="009C0C9C" w:rsidRDefault="001C2625" w:rsidP="00806E18">
      <w:pPr>
        <w:pStyle w:val="NormalHanging12a"/>
        <w:widowControl/>
        <w:rPr>
          <w:snapToGrid w:val="0"/>
          <w:szCs w:val="24"/>
        </w:rPr>
      </w:pPr>
      <w:r w:rsidRPr="009C0C9C">
        <w:t>–</w:t>
      </w:r>
      <w:r w:rsidRPr="009C0C9C">
        <w:tab/>
      </w:r>
      <w:r w:rsidRPr="009C0C9C">
        <w:rPr>
          <w:snapToGrid w:val="0"/>
          <w:szCs w:val="24"/>
        </w:rPr>
        <w:t xml:space="preserve">having regard to its resolution of 3 October 2023 on the proposal for a mid-term revision of </w:t>
      </w:r>
      <w:proofErr w:type="gramStart"/>
      <w:r w:rsidRPr="009C0C9C">
        <w:rPr>
          <w:snapToGrid w:val="0"/>
          <w:szCs w:val="24"/>
        </w:rPr>
        <w:t>the</w:t>
      </w:r>
      <w:proofErr w:type="gramEnd"/>
      <w:r w:rsidRPr="009C0C9C">
        <w:rPr>
          <w:snapToGrid w:val="0"/>
          <w:szCs w:val="24"/>
        </w:rPr>
        <w:t xml:space="preserve"> multiannual financial framework 2021-2027</w:t>
      </w:r>
      <w:r w:rsidRPr="009C0C9C">
        <w:rPr>
          <w:snapToGrid w:val="0"/>
          <w:szCs w:val="24"/>
          <w:vertAlign w:val="superscript"/>
        </w:rPr>
        <w:footnoteReference w:id="1"/>
      </w:r>
      <w:r w:rsidRPr="009C0C9C">
        <w:rPr>
          <w:snapToGrid w:val="0"/>
          <w:szCs w:val="24"/>
        </w:rPr>
        <w:t>,</w:t>
      </w:r>
    </w:p>
    <w:p w:rsidR="001C2625" w:rsidRPr="009C0C9C" w:rsidRDefault="001C2625" w:rsidP="00806E18">
      <w:pPr>
        <w:pStyle w:val="NormalHanging12a"/>
        <w:widowControl/>
      </w:pPr>
      <w:r w:rsidRPr="009C0C9C">
        <w:t>–</w:t>
      </w:r>
      <w:r w:rsidRPr="009C0C9C">
        <w:tab/>
        <w:t>having regard to Rule 92 and Rule 105(1) and (4) of its Rules of Procedure,</w:t>
      </w:r>
    </w:p>
    <w:p w:rsidR="001C2625" w:rsidRPr="009C0C9C" w:rsidRDefault="001C2625" w:rsidP="00806E18">
      <w:pPr>
        <w:pStyle w:val="NormalHanging12a"/>
        <w:widowControl/>
      </w:pPr>
      <w:r w:rsidRPr="009C0C9C">
        <w:t>–</w:t>
      </w:r>
      <w:r w:rsidRPr="009C0C9C">
        <w:tab/>
        <w:t>having regard to the recommendation of the Committee on Budgets (A9-0051/2024),</w:t>
      </w:r>
    </w:p>
    <w:p w:rsidR="001C2625" w:rsidRPr="009C0C9C" w:rsidRDefault="001C2625" w:rsidP="00806E18">
      <w:pPr>
        <w:pStyle w:val="NormalHanging12a"/>
        <w:widowControl/>
      </w:pPr>
      <w:r w:rsidRPr="009C0C9C">
        <w:t>1.</w:t>
      </w:r>
      <w:r w:rsidRPr="009C0C9C">
        <w:tab/>
        <w:t>Gives its consent to the draft Council regulation as set out in annex to this resolution</w:t>
      </w:r>
      <w:proofErr w:type="gramStart"/>
      <w:r w:rsidRPr="009C0C9C">
        <w:t>;</w:t>
      </w:r>
      <w:proofErr w:type="gramEnd"/>
    </w:p>
    <w:p w:rsidR="001C2625" w:rsidRPr="009C0C9C" w:rsidRDefault="001C2625" w:rsidP="00806E18">
      <w:pPr>
        <w:pStyle w:val="NormalHanging12a"/>
        <w:widowControl/>
      </w:pPr>
      <w:r w:rsidRPr="009C0C9C">
        <w:t>2.</w:t>
      </w:r>
      <w:r w:rsidRPr="009C0C9C">
        <w:tab/>
      </w:r>
      <w:proofErr w:type="gramStart"/>
      <w:r w:rsidRPr="009C0C9C">
        <w:t>Approves</w:t>
      </w:r>
      <w:proofErr w:type="gramEnd"/>
      <w:r w:rsidRPr="009C0C9C">
        <w:t xml:space="preserve"> the joint declaration by Parliament, the Council and the Commission annexed to this resolution;</w:t>
      </w:r>
    </w:p>
    <w:p w:rsidR="001C2625" w:rsidRPr="009C0C9C" w:rsidRDefault="001C2625" w:rsidP="00806E18">
      <w:pPr>
        <w:pStyle w:val="NormalHanging12a"/>
        <w:widowControl/>
      </w:pPr>
      <w:r w:rsidRPr="009C0C9C">
        <w:t>3.</w:t>
      </w:r>
      <w:r w:rsidRPr="009C0C9C">
        <w:tab/>
        <w:t>Instructs its President to forward its position to the Council, the Commission and the national parliaments.</w:t>
      </w:r>
    </w:p>
    <w:p w:rsidR="00806E18" w:rsidRDefault="00806E18" w:rsidP="001C2625">
      <w:pPr>
        <w:widowControl/>
        <w:sectPr w:rsidR="00806E18" w:rsidSect="009C0C9C">
          <w:footerReference w:type="even" r:id="rId9"/>
          <w:footerReference w:type="first" r:id="rId10"/>
          <w:footnotePr>
            <w:numRestart w:val="eachSect"/>
          </w:footnotePr>
          <w:endnotePr>
            <w:numFmt w:val="decimal"/>
          </w:endnotePr>
          <w:pgSz w:w="11907" w:h="16839"/>
          <w:pgMar w:top="1134" w:right="1134" w:bottom="1134" w:left="1134" w:header="567" w:footer="567" w:gutter="0"/>
          <w:cols w:space="720"/>
          <w:docGrid w:linePitch="326"/>
        </w:sectPr>
      </w:pPr>
    </w:p>
    <w:p w:rsidR="001C2625" w:rsidRPr="009C0C9C" w:rsidRDefault="001C2625" w:rsidP="001C2625">
      <w:pPr>
        <w:widowControl/>
      </w:pPr>
    </w:p>
    <w:p w:rsidR="001C2625" w:rsidRPr="009C0C9C" w:rsidRDefault="001C2625" w:rsidP="001C2625">
      <w:pPr>
        <w:pStyle w:val="PageHeading"/>
        <w:rPr>
          <w:caps/>
        </w:rPr>
      </w:pPr>
      <w:bookmarkStart w:id="8" w:name="_Toc159509473"/>
      <w:r w:rsidRPr="009C0C9C">
        <w:rPr>
          <w:caps/>
        </w:rPr>
        <w:t xml:space="preserve">ANNEX 1: DRAFT COUNCIL REGULATION amending Regulation </w:t>
      </w:r>
      <w:r w:rsidR="003A2B93">
        <w:rPr>
          <w:caps/>
        </w:rPr>
        <w:t xml:space="preserve">(EU, EURATOM) </w:t>
      </w:r>
      <w:r w:rsidRPr="009C0C9C">
        <w:rPr>
          <w:caps/>
        </w:rPr>
        <w:t>2020/2093 laying down the multiannual financial framework for the years 2021 to 2027</w:t>
      </w:r>
      <w:bookmarkEnd w:id="8"/>
    </w:p>
    <w:p w:rsidR="001C2625" w:rsidRPr="009C0C9C" w:rsidRDefault="001C2625" w:rsidP="001C2625">
      <w:pPr>
        <w:pStyle w:val="NormalHanging12a"/>
        <w:ind w:left="0" w:firstLine="0"/>
        <w:jc w:val="center"/>
        <w:rPr>
          <w:caps/>
        </w:rPr>
      </w:pPr>
    </w:p>
    <w:p w:rsidR="001C2625" w:rsidRPr="009C0C9C" w:rsidRDefault="001C2625" w:rsidP="001C2625">
      <w:pPr>
        <w:pStyle w:val="Typedudocument"/>
        <w:spacing w:before="0" w:after="240" w:line="240" w:lineRule="auto"/>
      </w:pPr>
      <w:r w:rsidRPr="009C0C9C">
        <w:t xml:space="preserve">COUNCIL REGULATION (EU, </w:t>
      </w:r>
      <w:proofErr w:type="spellStart"/>
      <w:proofErr w:type="gramStart"/>
      <w:r w:rsidRPr="009C0C9C">
        <w:t>Euratom</w:t>
      </w:r>
      <w:proofErr w:type="spellEnd"/>
      <w:proofErr w:type="gramEnd"/>
      <w:r w:rsidRPr="009C0C9C">
        <w:t>) 2024/…</w:t>
      </w:r>
    </w:p>
    <w:p w:rsidR="001C2625" w:rsidRPr="009C0C9C" w:rsidRDefault="001C2625" w:rsidP="001C2625">
      <w:pPr>
        <w:pStyle w:val="Datedadoption"/>
        <w:spacing w:before="0" w:after="240" w:line="240" w:lineRule="auto"/>
      </w:pPr>
      <w:proofErr w:type="gramStart"/>
      <w:r w:rsidRPr="009C0C9C">
        <w:t>of</w:t>
      </w:r>
      <w:proofErr w:type="gramEnd"/>
      <w:r w:rsidRPr="009C0C9C">
        <w:t xml:space="preserve"> …</w:t>
      </w:r>
    </w:p>
    <w:p w:rsidR="001C2625" w:rsidRPr="009C0C9C" w:rsidRDefault="001C2625" w:rsidP="001C2625">
      <w:pPr>
        <w:pStyle w:val="Titreobjet"/>
        <w:spacing w:before="0" w:after="240" w:line="240" w:lineRule="auto"/>
      </w:pPr>
      <w:proofErr w:type="gramStart"/>
      <w:r w:rsidRPr="009C0C9C">
        <w:t>amending</w:t>
      </w:r>
      <w:proofErr w:type="gramEnd"/>
      <w:r w:rsidRPr="009C0C9C">
        <w:t xml:space="preserve"> Regulation (EU, </w:t>
      </w:r>
      <w:proofErr w:type="spellStart"/>
      <w:r w:rsidRPr="009C0C9C">
        <w:t>Euratom</w:t>
      </w:r>
      <w:proofErr w:type="spellEnd"/>
      <w:r w:rsidRPr="009C0C9C">
        <w:t xml:space="preserve">) 2020/2093 laying down </w:t>
      </w:r>
      <w:r w:rsidRPr="009C0C9C">
        <w:br/>
        <w:t>the multiannual financial framework for the years 2021 to 2027</w:t>
      </w:r>
    </w:p>
    <w:p w:rsidR="001C2625" w:rsidRPr="009C0C9C" w:rsidRDefault="001C2625" w:rsidP="001C2625">
      <w:pPr>
        <w:pStyle w:val="Institutionquiagit"/>
        <w:spacing w:after="240" w:line="240" w:lineRule="auto"/>
      </w:pPr>
      <w:r w:rsidRPr="009C0C9C">
        <w:t>THE COUNCIL OF THE EUROPEAN UNION,</w:t>
      </w:r>
    </w:p>
    <w:p w:rsidR="001C2625" w:rsidRPr="009C0C9C" w:rsidRDefault="001C2625" w:rsidP="001C2625">
      <w:pPr>
        <w:spacing w:after="240"/>
      </w:pPr>
      <w:r w:rsidRPr="009C0C9C">
        <w:t>Having regard to the Treaty on the Functioning of the European Union, and in particular Article 312 thereof,</w:t>
      </w:r>
    </w:p>
    <w:p w:rsidR="001C2625" w:rsidRPr="009C0C9C" w:rsidRDefault="001C2625" w:rsidP="001C2625">
      <w:pPr>
        <w:spacing w:after="240"/>
      </w:pPr>
      <w:r w:rsidRPr="009C0C9C">
        <w:t>Having regard to the Treaty establishing the European Atomic Energy Community, and in particular Article 106a thereof,</w:t>
      </w:r>
    </w:p>
    <w:p w:rsidR="001C2625" w:rsidRPr="009C0C9C" w:rsidRDefault="001C2625" w:rsidP="001C2625">
      <w:pPr>
        <w:spacing w:after="240"/>
      </w:pPr>
      <w:r w:rsidRPr="009C0C9C">
        <w:t>Having regard to the proposal from the European Commission,</w:t>
      </w:r>
    </w:p>
    <w:p w:rsidR="001C2625" w:rsidRPr="009C0C9C" w:rsidRDefault="001C2625" w:rsidP="001C2625">
      <w:pPr>
        <w:spacing w:after="240"/>
      </w:pPr>
      <w:r w:rsidRPr="009C0C9C">
        <w:t>Having regard to the consent of the European Parliament</w:t>
      </w:r>
      <w:r w:rsidRPr="009C0C9C">
        <w:rPr>
          <w:rStyle w:val="FootnoteReference"/>
        </w:rPr>
        <w:footnoteReference w:id="2"/>
      </w:r>
      <w:r w:rsidRPr="009C0C9C">
        <w:t>,</w:t>
      </w:r>
    </w:p>
    <w:p w:rsidR="001C2625" w:rsidRPr="009C0C9C" w:rsidRDefault="001C2625" w:rsidP="001C2625">
      <w:pPr>
        <w:spacing w:after="240"/>
      </w:pPr>
      <w:r w:rsidRPr="009C0C9C">
        <w:t>After transmission of the draft legislative act to the national parliaments,</w:t>
      </w:r>
    </w:p>
    <w:p w:rsidR="001C2625" w:rsidRPr="009C0C9C" w:rsidRDefault="001C2625" w:rsidP="001C2625">
      <w:pPr>
        <w:spacing w:after="240"/>
      </w:pPr>
      <w:r w:rsidRPr="009C0C9C">
        <w:t>Acting in accordance with a special legislative procedure,</w:t>
      </w:r>
    </w:p>
    <w:p w:rsidR="001C2625" w:rsidRPr="009C0C9C" w:rsidRDefault="001C2625" w:rsidP="001C2625">
      <w:pPr>
        <w:spacing w:after="240"/>
      </w:pPr>
      <w:r w:rsidRPr="009C0C9C">
        <w:br w:type="page"/>
      </w:r>
      <w:r w:rsidRPr="009C0C9C">
        <w:lastRenderedPageBreak/>
        <w:t>Whereas:</w:t>
      </w:r>
    </w:p>
    <w:p w:rsidR="001C2625" w:rsidRPr="009C0C9C" w:rsidRDefault="001C2625" w:rsidP="001C2625">
      <w:pPr>
        <w:pStyle w:val="ManualConsidrant"/>
        <w:spacing w:before="0" w:after="240" w:line="240" w:lineRule="auto"/>
      </w:pPr>
      <w:r w:rsidRPr="009C0C9C">
        <w:t>(1)</w:t>
      </w:r>
      <w:r w:rsidRPr="009C0C9C">
        <w:tab/>
        <w:t>The Commission has presented a review of the functioning of the Multiannual Financial Framework (MFF) for the years 2021-2027 set out in Council Regulation (EU, </w:t>
      </w:r>
      <w:proofErr w:type="spellStart"/>
      <w:r w:rsidRPr="009C0C9C">
        <w:t>Euratom</w:t>
      </w:r>
      <w:proofErr w:type="spellEnd"/>
      <w:r w:rsidRPr="009C0C9C">
        <w:t>) 2020/2093</w:t>
      </w:r>
      <w:r w:rsidRPr="009C0C9C">
        <w:rPr>
          <w:rStyle w:val="FootnoteReference"/>
        </w:rPr>
        <w:footnoteReference w:id="3"/>
      </w:r>
      <w:r w:rsidRPr="009C0C9C">
        <w:t xml:space="preserve"> after its first years of implementation, including an assessment of the sustainability of the expenditure ceilings.</w:t>
      </w:r>
    </w:p>
    <w:p w:rsidR="001C2625" w:rsidRPr="009C0C9C" w:rsidRDefault="001C2625" w:rsidP="001C2625">
      <w:pPr>
        <w:pStyle w:val="ManualConsidrant"/>
        <w:spacing w:before="0" w:after="240" w:line="240" w:lineRule="auto"/>
      </w:pPr>
      <w:r w:rsidRPr="009C0C9C">
        <w:t>(2)</w:t>
      </w:r>
      <w:r w:rsidRPr="009C0C9C">
        <w:tab/>
        <w:t>Since December 2020, the Union has faced a series of unprecedented and unexpected challenges. The Union has acted swiftly and used all means at its disposal, but the limited budgetary flexibility embedded in the MFF for the years 2021-2027 is nearly exhausted, hindering the Union budget’s capacity to address even the most urgent challenges.</w:t>
      </w:r>
    </w:p>
    <w:p w:rsidR="001C2625" w:rsidRPr="009C0C9C" w:rsidRDefault="001C2625" w:rsidP="001C2625">
      <w:pPr>
        <w:pStyle w:val="ManualConsidrant"/>
        <w:spacing w:before="0" w:after="240" w:line="240" w:lineRule="auto"/>
      </w:pPr>
      <w:r w:rsidRPr="009C0C9C">
        <w:t>(3)</w:t>
      </w:r>
      <w:r w:rsidRPr="009C0C9C">
        <w:tab/>
        <w:t xml:space="preserve">Special instruments </w:t>
      </w:r>
      <w:proofErr w:type="gramStart"/>
      <w:r w:rsidRPr="009C0C9C">
        <w:t>have been extensively used</w:t>
      </w:r>
      <w:proofErr w:type="gramEnd"/>
      <w:r w:rsidRPr="009C0C9C">
        <w:t xml:space="preserve"> in the first years of implementation of the MFF to address multiple challenges. The need to take further action persists, while the budgetary availabilities to confront such situations in the remaining period of the MFF are limited.</w:t>
      </w:r>
    </w:p>
    <w:p w:rsidR="001C2625" w:rsidRPr="009C0C9C" w:rsidRDefault="001C2625" w:rsidP="001C2625">
      <w:pPr>
        <w:pStyle w:val="ManualConsidrant"/>
        <w:spacing w:before="0" w:after="240" w:line="240" w:lineRule="auto"/>
        <w:ind w:left="851" w:hanging="851"/>
      </w:pPr>
      <w:r w:rsidRPr="009C0C9C">
        <w:br w:type="page"/>
      </w:r>
      <w:r w:rsidRPr="009C0C9C">
        <w:lastRenderedPageBreak/>
        <w:t>(4)</w:t>
      </w:r>
      <w:r w:rsidRPr="009C0C9C">
        <w:tab/>
        <w:t xml:space="preserve">The Union budget should enable the Union to provide the necessary policy responses to emerging challenges and to meet legal </w:t>
      </w:r>
      <w:proofErr w:type="gramStart"/>
      <w:r w:rsidRPr="009C0C9C">
        <w:t>obligations which</w:t>
      </w:r>
      <w:proofErr w:type="gramEnd"/>
      <w:r w:rsidRPr="009C0C9C">
        <w:t xml:space="preserve"> cannot be accommodated within existing ceilings nor by exhausted flexibility. The expenditure ceilings in commitment appropriations for Headings 1, 2, 3, 4, 5 and 6 </w:t>
      </w:r>
      <w:proofErr w:type="gramStart"/>
      <w:r w:rsidRPr="009C0C9C">
        <w:t>should be modified</w:t>
      </w:r>
      <w:proofErr w:type="gramEnd"/>
      <w:r w:rsidRPr="009C0C9C">
        <w:t xml:space="preserve"> for the years 2024, 2025, 2026 and 2027. As a result, while the expenditure ceilings in payment appropriations </w:t>
      </w:r>
      <w:proofErr w:type="gramStart"/>
      <w:r w:rsidRPr="009C0C9C">
        <w:t>can be maintained</w:t>
      </w:r>
      <w:proofErr w:type="gramEnd"/>
      <w:r w:rsidRPr="009C0C9C">
        <w:t xml:space="preserve"> at their current levels, the capping in payment appropriations for the Single Margin Instrument for 2026 should be adjusted to avoid the risk of backlogs. In addition, the total amount of additional allocations under the programme-specific adjustment provided for in Article 5 as well as the related table in Annex II to Regulation (EU, </w:t>
      </w:r>
      <w:proofErr w:type="spellStart"/>
      <w:r w:rsidRPr="009C0C9C">
        <w:t>Euratom</w:t>
      </w:r>
      <w:proofErr w:type="spellEnd"/>
      <w:r w:rsidRPr="009C0C9C">
        <w:t>) 2020/2093 should be modified.</w:t>
      </w:r>
    </w:p>
    <w:p w:rsidR="001C2625" w:rsidRPr="009C0C9C" w:rsidRDefault="001C2625" w:rsidP="001C2625">
      <w:pPr>
        <w:pStyle w:val="ManualConsidrant"/>
        <w:spacing w:before="0" w:after="240" w:line="240" w:lineRule="auto"/>
        <w:ind w:left="851" w:hanging="851"/>
      </w:pPr>
      <w:r w:rsidRPr="009C0C9C">
        <w:t>(5)</w:t>
      </w:r>
      <w:r w:rsidRPr="009C0C9C">
        <w:tab/>
        <w:t xml:space="preserve">The amounts for the </w:t>
      </w:r>
      <w:proofErr w:type="spellStart"/>
      <w:r w:rsidRPr="009C0C9C">
        <w:t>Brexit</w:t>
      </w:r>
      <w:proofErr w:type="spellEnd"/>
      <w:r w:rsidRPr="009C0C9C">
        <w:t xml:space="preserve"> Adjustment Reserve and the European Globalisation Adjustment Fund </w:t>
      </w:r>
      <w:proofErr w:type="gramStart"/>
      <w:r w:rsidRPr="009C0C9C">
        <w:t>should also be modified</w:t>
      </w:r>
      <w:proofErr w:type="gramEnd"/>
      <w:r w:rsidRPr="009C0C9C">
        <w:t>.</w:t>
      </w:r>
    </w:p>
    <w:p w:rsidR="001C2625" w:rsidRPr="009C0C9C" w:rsidRDefault="001C2625" w:rsidP="001C2625">
      <w:pPr>
        <w:pStyle w:val="ManualConsidrant"/>
        <w:spacing w:before="0" w:after="240" w:line="240" w:lineRule="auto"/>
        <w:ind w:left="851" w:hanging="851"/>
      </w:pPr>
      <w:r w:rsidRPr="009C0C9C">
        <w:t>(6)</w:t>
      </w:r>
      <w:r w:rsidRPr="009C0C9C">
        <w:tab/>
        <w:t>Russia’s illegal war of aggression against Ukraine has brought war back to European soil. The Union will keep supporting Ukraine for as long as it takes and firmly help Ukraine on its European path. To that end, the European Parliament and the Council have adopted Regulation (EU) 2024/… of the European Parliament and of the Council</w:t>
      </w:r>
      <w:r w:rsidRPr="009C0C9C">
        <w:rPr>
          <w:rStyle w:val="FootnoteReference"/>
        </w:rPr>
        <w:footnoteReference w:id="4"/>
      </w:r>
      <w:r w:rsidRPr="009C0C9C">
        <w:rPr>
          <w:rStyle w:val="FootnoteReference"/>
        </w:rPr>
        <w:footnoteReference w:customMarkFollows="1" w:id="5"/>
        <w:t>+</w:t>
      </w:r>
      <w:r w:rsidRPr="009C0C9C">
        <w:t xml:space="preserve"> as the Union’s response to support Ukraine’s macro-financial stability, reconstruction and modernisation, while supporting Ukraine’s reform effort as part of its accession path to the Union (the ‘Ukraine Facility’).</w:t>
      </w:r>
    </w:p>
    <w:p w:rsidR="001C2625" w:rsidRPr="009C0C9C" w:rsidRDefault="001C2625" w:rsidP="001C2625">
      <w:pPr>
        <w:pStyle w:val="ManualConsidrant"/>
        <w:spacing w:before="0" w:after="240" w:line="240" w:lineRule="auto"/>
        <w:ind w:left="851" w:hanging="851"/>
      </w:pPr>
      <w:r w:rsidRPr="009C0C9C">
        <w:br w:type="page"/>
      </w:r>
      <w:r w:rsidRPr="009C0C9C">
        <w:lastRenderedPageBreak/>
        <w:t>(7)</w:t>
      </w:r>
      <w:r w:rsidRPr="009C0C9C">
        <w:tab/>
        <w:t xml:space="preserve">Given the uncertainties linked to Russia’s war of aggression, the Ukraine Facility should be a flexible instrument to provide the adequate form and level of support until 2027. Support under the Ukraine Facility </w:t>
      </w:r>
      <w:proofErr w:type="gramStart"/>
      <w:r w:rsidRPr="009C0C9C">
        <w:t>should be provided</w:t>
      </w:r>
      <w:proofErr w:type="gramEnd"/>
      <w:r w:rsidRPr="009C0C9C">
        <w:t xml:space="preserve"> in the form of loans, non-repayable support and provisioning for budgetary guarantees.</w:t>
      </w:r>
    </w:p>
    <w:p w:rsidR="001C2625" w:rsidRPr="009C0C9C" w:rsidRDefault="001C2625" w:rsidP="001C2625">
      <w:pPr>
        <w:pStyle w:val="ManualConsidrant"/>
        <w:spacing w:before="0" w:after="240" w:line="240" w:lineRule="auto"/>
      </w:pPr>
      <w:r w:rsidRPr="009C0C9C">
        <w:t>(8)</w:t>
      </w:r>
      <w:r w:rsidRPr="009C0C9C">
        <w:tab/>
        <w:t xml:space="preserve">For the part of the support under the Ukraine Facility provided in the form of loans, it is appropriate to extend until 2027 the existing Union budget guarantee to cover the financial </w:t>
      </w:r>
      <w:proofErr w:type="gramStart"/>
      <w:r w:rsidRPr="009C0C9C">
        <w:t>assistance which</w:t>
      </w:r>
      <w:proofErr w:type="gramEnd"/>
      <w:r w:rsidRPr="009C0C9C">
        <w:t xml:space="preserve"> is made available to Ukraine. </w:t>
      </w:r>
      <w:proofErr w:type="gramStart"/>
      <w:r w:rsidRPr="009C0C9C">
        <w:t>As a consequence</w:t>
      </w:r>
      <w:proofErr w:type="gramEnd"/>
      <w:r w:rsidRPr="009C0C9C">
        <w:t>, it should be possible to mobilise the necessary appropriations in the Union budget over and above the ceilings of the MFF for financial assistance to Ukraine available until the end of 2027. In addition to covering short-term financial relief to Ukraine as already foreseen in Regulation (EU) 2022/2463, the Union budget guarantee should cover financial assistance to Ukraine for an amount up to EUR 33 billion as specified in Regulation (EU) 2024/…</w:t>
      </w:r>
      <w:r w:rsidRPr="009C0C9C">
        <w:rPr>
          <w:rStyle w:val="FootnoteReference"/>
        </w:rPr>
        <w:footnoteReference w:customMarkFollows="1" w:id="6"/>
        <w:t>+</w:t>
      </w:r>
      <w:r w:rsidRPr="009C0C9C">
        <w:t>.</w:t>
      </w:r>
    </w:p>
    <w:p w:rsidR="001C2625" w:rsidRPr="009C0C9C" w:rsidRDefault="001C2625" w:rsidP="001C2625">
      <w:pPr>
        <w:pStyle w:val="ManualConsidrant"/>
        <w:spacing w:before="0" w:after="240" w:line="240" w:lineRule="auto"/>
      </w:pPr>
      <w:r w:rsidRPr="009C0C9C">
        <w:br w:type="page"/>
      </w:r>
      <w:r w:rsidRPr="009C0C9C">
        <w:lastRenderedPageBreak/>
        <w:t>(9)</w:t>
      </w:r>
      <w:r w:rsidRPr="009C0C9C">
        <w:tab/>
        <w:t>For the part of the support under the Ukraine Facility provided in the form of non</w:t>
      </w:r>
      <w:r w:rsidRPr="009C0C9C">
        <w:noBreakHyphen/>
        <w:t xml:space="preserve">repayable support and provisioning of budgetary guarantees, the appropriations </w:t>
      </w:r>
      <w:proofErr w:type="gramStart"/>
      <w:r w:rsidRPr="009C0C9C">
        <w:t>should be provided</w:t>
      </w:r>
      <w:proofErr w:type="gramEnd"/>
      <w:r w:rsidRPr="009C0C9C">
        <w:t xml:space="preserve"> through a new thematic special instrument – the ‘Ukraine Reserve’. The commitment appropriations and corresponding payment appropriations should be mobilised annually in the framework of the budgetary procedure set out in Article 314 of the Treaty on the Functioning of the European Union (TFEU), over and above the ceilings of the MFF. For the orderly development of expenditure to </w:t>
      </w:r>
      <w:proofErr w:type="gramStart"/>
      <w:r w:rsidRPr="009C0C9C">
        <w:t>be programmed</w:t>
      </w:r>
      <w:proofErr w:type="gramEnd"/>
      <w:r w:rsidRPr="009C0C9C">
        <w:t xml:space="preserve"> under the relevant provisions of Regulation (EU) 2024/…</w:t>
      </w:r>
      <w:r w:rsidRPr="009C0C9C">
        <w:rPr>
          <w:rStyle w:val="FootnoteReference"/>
        </w:rPr>
        <w:footnoteReference w:customMarkFollows="1" w:id="7"/>
        <w:t>+</w:t>
      </w:r>
      <w:r w:rsidRPr="009C0C9C">
        <w:t xml:space="preserve"> and in particular in light of the amounts to be set out in the Ukraine Plan, it is appropriate to set out overall and annual maximum amounts that can be made available for the Ukraine Reserve through the 2024 to 2027 period. In order to ensure full implementation and flexibility between years, in compliance with the overall amount, it should be possible to use in the following years until 2027 the non-mobilised portion of the annual amount in a given year, in addition to the maximum annual amount for the relevant year.</w:t>
      </w:r>
    </w:p>
    <w:p w:rsidR="001C2625" w:rsidRPr="009C0C9C" w:rsidRDefault="001C2625" w:rsidP="001C2625">
      <w:pPr>
        <w:pStyle w:val="ManualConsidrant"/>
        <w:spacing w:before="0" w:after="240" w:line="240" w:lineRule="auto"/>
      </w:pPr>
      <w:r w:rsidRPr="009C0C9C">
        <w:br w:type="page"/>
      </w:r>
      <w:r w:rsidRPr="009C0C9C">
        <w:lastRenderedPageBreak/>
        <w:t>(10)</w:t>
      </w:r>
      <w:r w:rsidRPr="009C0C9C">
        <w:tab/>
        <w:t xml:space="preserve">Since 2022, the Union and most major economies have witnessed a surge of interest rates for all bonds issuers, including the Union. </w:t>
      </w:r>
      <w:proofErr w:type="gramStart"/>
      <w:r w:rsidRPr="009C0C9C">
        <w:t xml:space="preserve">As a result, the funding costs for the European Union Recovery Instrument </w:t>
      </w:r>
      <w:proofErr w:type="spellStart"/>
      <w:r w:rsidRPr="009C0C9C">
        <w:t>NextGenerationEU</w:t>
      </w:r>
      <w:proofErr w:type="spellEnd"/>
      <w:r w:rsidRPr="009C0C9C">
        <w:t xml:space="preserve"> (‘EURI’) borrowing to be borne by the Union budget under Article 5(2) of Council Decision (EU, </w:t>
      </w:r>
      <w:proofErr w:type="spellStart"/>
      <w:r w:rsidRPr="009C0C9C">
        <w:t>Euratom</w:t>
      </w:r>
      <w:proofErr w:type="spellEnd"/>
      <w:r w:rsidRPr="009C0C9C">
        <w:t>) 2020/2053</w:t>
      </w:r>
      <w:r w:rsidRPr="009C0C9C">
        <w:rPr>
          <w:rStyle w:val="FootnoteReference"/>
        </w:rPr>
        <w:footnoteReference w:id="8"/>
      </w:r>
      <w:r w:rsidRPr="009C0C9C">
        <w:t xml:space="preserve"> are expected to exceed the estimates initially programmed under the MFF ceilings at the time of its adoption in December 2020, which were respectively EUR 2 332 million in 2025 (in 2018 prices), EUR 3 196 million in 2026 (in 2018 prices) and EUR 4 168 million in 2027 (in 2018 prices).</w:t>
      </w:r>
      <w:proofErr w:type="gramEnd"/>
    </w:p>
    <w:p w:rsidR="001C2625" w:rsidRPr="009C0C9C" w:rsidRDefault="001C2625" w:rsidP="001C2625">
      <w:pPr>
        <w:pStyle w:val="ManualConsidrant"/>
        <w:spacing w:before="0" w:after="240" w:line="240" w:lineRule="auto"/>
      </w:pPr>
      <w:proofErr w:type="gramStart"/>
      <w:r w:rsidRPr="009C0C9C">
        <w:t>(11)</w:t>
      </w:r>
      <w:r w:rsidRPr="009C0C9C">
        <w:tab/>
        <w:t>Given the uncertainty surrounding the future evolution of interest rates in evolving market circumstances as well as the overall borrowing needs for funding the ongoing Union programmes financed by the EURI, it is appropriate to establish, as part of the provisions required for the annual budgetary procedure to run smoothly and to ensure that the financial means are made available to allow the Union to fulfil its legal obligations, an exceptional and temporary instrument, limited to the duration of the current MFF, to cover funding costs for EURI borrowing which exceed the amounts initially programmed.</w:t>
      </w:r>
      <w:proofErr w:type="gramEnd"/>
      <w:r w:rsidRPr="009C0C9C">
        <w:t xml:space="preserve"> A new thematic special instrument – ‘EURI Instrument’ – </w:t>
      </w:r>
      <w:proofErr w:type="gramStart"/>
      <w:r w:rsidRPr="009C0C9C">
        <w:t>should therefore be created</w:t>
      </w:r>
      <w:proofErr w:type="gramEnd"/>
      <w:r w:rsidRPr="009C0C9C">
        <w:t xml:space="preserve"> with the sole aim to cover the outstanding cost overruns. This instrument should be exceptional and could not serve as a precedent for future arrangements for post-2027 MFFs, in particular for covering the costs of the interest payments of the funds borrowed on the markets to finance the EURI.</w:t>
      </w:r>
    </w:p>
    <w:p w:rsidR="001C2625" w:rsidRPr="009C0C9C" w:rsidRDefault="001C2625" w:rsidP="001C2625">
      <w:pPr>
        <w:pStyle w:val="ManualConsidrant"/>
        <w:spacing w:before="0" w:after="240" w:line="240" w:lineRule="auto"/>
      </w:pPr>
      <w:r w:rsidRPr="009C0C9C">
        <w:br w:type="page"/>
      </w:r>
      <w:r w:rsidRPr="009C0C9C">
        <w:lastRenderedPageBreak/>
        <w:t>(12)</w:t>
      </w:r>
      <w:r w:rsidRPr="009C0C9C">
        <w:tab/>
        <w:t xml:space="preserve">The EURI Instrument should be mobilised by the budgetary authority during the annual budgetary procedure, only if necessary. </w:t>
      </w:r>
      <w:proofErr w:type="gramStart"/>
      <w:r w:rsidRPr="009C0C9C">
        <w:t>Without prejudice to the prerogatives of the budgetary authority, it should be mobilised after having sought other financing possibilities, including via room created by budgetary implementation of the programmes and reprioritisation as well as non-thematic special instruments, to cover a substantial part of the necessary amounts exceeding the amounts initially inscribed in the existing EURI budget line of Heading 2b, as far as possible, with a view to mobilising an amount equivalent to about 50 % of the EURI interest payments cost overruns as a benchmark.</w:t>
      </w:r>
      <w:proofErr w:type="gramEnd"/>
      <w:r w:rsidRPr="009C0C9C">
        <w:t xml:space="preserve"> This will be done in accordance with the applicable sectoral rules and other legal obligations and taking into account priorities, prudent budgeting and sound financial </w:t>
      </w:r>
      <w:proofErr w:type="gramStart"/>
      <w:r w:rsidRPr="009C0C9C">
        <w:t>management which</w:t>
      </w:r>
      <w:proofErr w:type="gramEnd"/>
      <w:r w:rsidRPr="009C0C9C">
        <w:t xml:space="preserve"> require in particular appropriate margins for unforeseen expenditure. National envelopes of Member </w:t>
      </w:r>
      <w:proofErr w:type="gramStart"/>
      <w:r w:rsidRPr="009C0C9C">
        <w:t>States which have been legally</w:t>
      </w:r>
      <w:proofErr w:type="gramEnd"/>
      <w:r w:rsidRPr="009C0C9C">
        <w:t xml:space="preserve"> committed, in particular those under Common Agricultural Policy and cohesion policy, will not be affected. The commitment appropriations and corresponding payment appropriations of the EURI Instrument in the Union budget </w:t>
      </w:r>
      <w:proofErr w:type="gramStart"/>
      <w:r w:rsidRPr="009C0C9C">
        <w:t>should be made</w:t>
      </w:r>
      <w:proofErr w:type="gramEnd"/>
      <w:r w:rsidRPr="009C0C9C">
        <w:t xml:space="preserve"> available over and above the ceilings of the MFF. Under the EURI Instrument, an amount equivalent to </w:t>
      </w:r>
      <w:proofErr w:type="spellStart"/>
      <w:r w:rsidRPr="009C0C9C">
        <w:t>decommitments</w:t>
      </w:r>
      <w:proofErr w:type="spellEnd"/>
      <w:r w:rsidRPr="009C0C9C">
        <w:t xml:space="preserve"> of appropriations, other than external assigned revenue, made since the beginning of the current MFF </w:t>
      </w:r>
      <w:proofErr w:type="gramStart"/>
      <w:r w:rsidRPr="009C0C9C">
        <w:t>should be drawn</w:t>
      </w:r>
      <w:proofErr w:type="gramEnd"/>
      <w:r w:rsidRPr="009C0C9C">
        <w:t xml:space="preserve"> on first. Amounts of </w:t>
      </w:r>
      <w:proofErr w:type="spellStart"/>
      <w:r w:rsidRPr="009C0C9C">
        <w:t>decommitments</w:t>
      </w:r>
      <w:proofErr w:type="spellEnd"/>
      <w:r w:rsidRPr="009C0C9C">
        <w:t xml:space="preserve"> made available again in accordance with existing relevant provisions </w:t>
      </w:r>
      <w:proofErr w:type="gramStart"/>
      <w:r w:rsidRPr="009C0C9C">
        <w:t>should not be taken</w:t>
      </w:r>
      <w:proofErr w:type="gramEnd"/>
      <w:r w:rsidRPr="009C0C9C">
        <w:t xml:space="preserve"> into account. The available amount of </w:t>
      </w:r>
      <w:proofErr w:type="spellStart"/>
      <w:r w:rsidRPr="009C0C9C">
        <w:t>decommitments</w:t>
      </w:r>
      <w:proofErr w:type="spellEnd"/>
      <w:r w:rsidRPr="009C0C9C">
        <w:t xml:space="preserve"> for the EURI Instrument </w:t>
      </w:r>
      <w:proofErr w:type="gramStart"/>
      <w:r w:rsidRPr="009C0C9C">
        <w:t>should be calculated</w:t>
      </w:r>
      <w:proofErr w:type="gramEnd"/>
      <w:r w:rsidRPr="009C0C9C">
        <w:t xml:space="preserve"> every year as part of the technical adjustment to the MFF, presenting clearly the overall availabilities and the amounts already considered in previous mobilisations of the EURI Instrument. In the unexpected situation where an overrun is still outstanding, the necessary additional amount to fully finance the costs should be mobilised under the EURI Instrument as a backstop as a matter of last resort. If, exceptionally, one or more Member States consider that there are serious concerns with the mobilisation of this backstop, they could request that the President of the European Council refer the matter to the next European Council. This process </w:t>
      </w:r>
      <w:proofErr w:type="gramStart"/>
      <w:r w:rsidRPr="009C0C9C">
        <w:t>should, as a rule, not take</w:t>
      </w:r>
      <w:proofErr w:type="gramEnd"/>
      <w:r w:rsidRPr="009C0C9C">
        <w:t xml:space="preserve"> longer than one month and should be in full respect of the prerogatives of the institutions as laid down in the Treaties.</w:t>
      </w:r>
    </w:p>
    <w:p w:rsidR="001C2625" w:rsidRPr="009C0C9C" w:rsidRDefault="001C2625" w:rsidP="001C2625">
      <w:pPr>
        <w:pStyle w:val="ManualConsidrant"/>
        <w:spacing w:before="0" w:after="240" w:line="240" w:lineRule="auto"/>
      </w:pPr>
      <w:r w:rsidRPr="009C0C9C">
        <w:br w:type="page"/>
      </w:r>
      <w:proofErr w:type="gramStart"/>
      <w:r w:rsidRPr="009C0C9C">
        <w:lastRenderedPageBreak/>
        <w:t>(13)</w:t>
      </w:r>
      <w:r w:rsidRPr="009C0C9C">
        <w:tab/>
        <w:t>In light of the natural disasters which happened in the Member States and countries involved in accession negotiations with the Union, and natural disasters and humanitarian crises in third countries and in order to ensure adequate funding for both, the existing Solidarity and Emergency Aid Reserve should be reinforced and split into two separate instruments: the ‘European Solidarity Reserve’ to provide support to affected countries and regions under the European Union Solidarity Fund established by Council Regulation (EC) No 2012/2002</w:t>
      </w:r>
      <w:r w:rsidRPr="009C0C9C">
        <w:rPr>
          <w:rStyle w:val="FootnoteReference"/>
        </w:rPr>
        <w:footnoteReference w:id="9"/>
      </w:r>
      <w:r w:rsidRPr="009C0C9C">
        <w:t xml:space="preserve"> and the ‘Emergency Aid Reserve’ to provide budgetary reinforcements to relevant Union programmes in response to crises and emergencies within and outside the Union.</w:t>
      </w:r>
      <w:proofErr w:type="gramEnd"/>
    </w:p>
    <w:p w:rsidR="001C2625" w:rsidRPr="009C0C9C" w:rsidRDefault="001C2625" w:rsidP="001C2625">
      <w:pPr>
        <w:pStyle w:val="ManualConsidrant"/>
        <w:spacing w:before="0" w:after="240" w:line="240" w:lineRule="auto"/>
      </w:pPr>
      <w:r w:rsidRPr="009C0C9C">
        <w:t>(14)</w:t>
      </w:r>
      <w:r w:rsidRPr="009C0C9C">
        <w:tab/>
        <w:t xml:space="preserve">The Flexibility Instrument </w:t>
      </w:r>
      <w:proofErr w:type="gramStart"/>
      <w:r w:rsidRPr="009C0C9C">
        <w:t>should be reinforced</w:t>
      </w:r>
      <w:proofErr w:type="gramEnd"/>
      <w:r w:rsidRPr="009C0C9C">
        <w:t xml:space="preserve"> in order to maintain a sufficient capacity for the Union to react to unforeseen circumstances until 2027. Lapsed amounts from the European Solidarity Reserve and the Emergency Aid Reserve </w:t>
      </w:r>
      <w:proofErr w:type="gramStart"/>
      <w:r w:rsidRPr="009C0C9C">
        <w:t>should be made</w:t>
      </w:r>
      <w:proofErr w:type="gramEnd"/>
      <w:r w:rsidRPr="009C0C9C">
        <w:t xml:space="preserve"> available to the Flexibility Instrument as of 2024.</w:t>
      </w:r>
    </w:p>
    <w:p w:rsidR="001C2625" w:rsidRPr="009C0C9C" w:rsidRDefault="001C2625" w:rsidP="001C2625">
      <w:pPr>
        <w:pStyle w:val="ManualConsidrant"/>
        <w:spacing w:before="0" w:after="240" w:line="240" w:lineRule="auto"/>
      </w:pPr>
      <w:r w:rsidRPr="009C0C9C">
        <w:t>(15)</w:t>
      </w:r>
      <w:r w:rsidRPr="009C0C9C">
        <w:tab/>
        <w:t xml:space="preserve">In the light of these unexpected events and new challenges, it is necessary to revise the MFF and Regulation (EU, </w:t>
      </w:r>
      <w:proofErr w:type="spellStart"/>
      <w:proofErr w:type="gramStart"/>
      <w:r w:rsidRPr="009C0C9C">
        <w:t>Euratom</w:t>
      </w:r>
      <w:proofErr w:type="spellEnd"/>
      <w:proofErr w:type="gramEnd"/>
      <w:r w:rsidRPr="009C0C9C">
        <w:t>) 2020/2093 should therefore be amended accordingly.</w:t>
      </w:r>
    </w:p>
    <w:p w:rsidR="001C2625" w:rsidRPr="009C0C9C" w:rsidRDefault="001C2625" w:rsidP="001C2625">
      <w:pPr>
        <w:pStyle w:val="ManualConsidrant"/>
        <w:spacing w:before="0" w:after="240" w:line="240" w:lineRule="auto"/>
      </w:pPr>
      <w:r w:rsidRPr="009C0C9C">
        <w:br w:type="page"/>
      </w:r>
      <w:r w:rsidRPr="009C0C9C">
        <w:lastRenderedPageBreak/>
        <w:t>(16)</w:t>
      </w:r>
      <w:r w:rsidRPr="009C0C9C">
        <w:tab/>
        <w:t xml:space="preserve">The amendments to Regulation (EU, </w:t>
      </w:r>
      <w:proofErr w:type="spellStart"/>
      <w:proofErr w:type="gramStart"/>
      <w:r w:rsidRPr="009C0C9C">
        <w:t>Euratom</w:t>
      </w:r>
      <w:proofErr w:type="spellEnd"/>
      <w:proofErr w:type="gramEnd"/>
      <w:r w:rsidRPr="009C0C9C">
        <w:t xml:space="preserve">) 2020/2093 are without prejudice to the obligation to respect the own resources ceilings laid down in Article 3(1) and Article 6 of Decision (EU, </w:t>
      </w:r>
      <w:proofErr w:type="spellStart"/>
      <w:r w:rsidRPr="009C0C9C">
        <w:t>Euratom</w:t>
      </w:r>
      <w:proofErr w:type="spellEnd"/>
      <w:r w:rsidRPr="009C0C9C">
        <w:t>) 2020/2053.</w:t>
      </w:r>
    </w:p>
    <w:p w:rsidR="001C2625" w:rsidRPr="009C0C9C" w:rsidRDefault="001C2625" w:rsidP="001C2625">
      <w:pPr>
        <w:pStyle w:val="ManualConsidrant"/>
        <w:spacing w:before="0" w:after="240" w:line="240" w:lineRule="auto"/>
      </w:pPr>
      <w:r w:rsidRPr="009C0C9C">
        <w:t>(17)</w:t>
      </w:r>
      <w:r w:rsidRPr="009C0C9C">
        <w:tab/>
        <w:t xml:space="preserve">In light of the situation in Ukraine, this Regulation should enter into force as a matter of urgency on the day of its publication in the </w:t>
      </w:r>
      <w:r w:rsidRPr="009C0C9C">
        <w:rPr>
          <w:i/>
          <w:iCs/>
        </w:rPr>
        <w:t>Official Journal of the European Union</w:t>
      </w:r>
      <w:r w:rsidRPr="009C0C9C">
        <w:t xml:space="preserve"> and should apply, with retroactive effect, from 1 January 2024,</w:t>
      </w:r>
    </w:p>
    <w:p w:rsidR="001C2625" w:rsidRPr="009C0C9C" w:rsidRDefault="001C2625" w:rsidP="001C2625">
      <w:pPr>
        <w:pStyle w:val="Formuledadoption"/>
        <w:spacing w:before="0" w:after="240" w:line="240" w:lineRule="auto"/>
      </w:pPr>
      <w:r w:rsidRPr="009C0C9C">
        <w:t>HAS ADOPTED THIS REGULATION:</w:t>
      </w:r>
    </w:p>
    <w:p w:rsidR="001C2625" w:rsidRPr="009C0C9C" w:rsidRDefault="001C2625" w:rsidP="001C2625">
      <w:pPr>
        <w:pStyle w:val="Titrearticle"/>
        <w:spacing w:before="0" w:after="240" w:line="240" w:lineRule="auto"/>
      </w:pPr>
      <w:r w:rsidRPr="009C0C9C">
        <w:rPr>
          <w:i w:val="0"/>
        </w:rPr>
        <w:br w:type="page"/>
      </w:r>
      <w:r w:rsidRPr="009C0C9C">
        <w:lastRenderedPageBreak/>
        <w:t>Article 1</w:t>
      </w:r>
    </w:p>
    <w:p w:rsidR="001C2625" w:rsidRPr="009C0C9C" w:rsidRDefault="001C2625" w:rsidP="001C2625">
      <w:pPr>
        <w:spacing w:after="240"/>
      </w:pPr>
      <w:r w:rsidRPr="009C0C9C">
        <w:t xml:space="preserve">Regulation (EU, </w:t>
      </w:r>
      <w:proofErr w:type="spellStart"/>
      <w:proofErr w:type="gramStart"/>
      <w:r w:rsidRPr="009C0C9C">
        <w:t>Euratom</w:t>
      </w:r>
      <w:proofErr w:type="spellEnd"/>
      <w:proofErr w:type="gramEnd"/>
      <w:r w:rsidRPr="009C0C9C">
        <w:t>) 2020/2093 is amended as follows:</w:t>
      </w:r>
    </w:p>
    <w:p w:rsidR="001C2625" w:rsidRPr="009C0C9C" w:rsidRDefault="001C2625" w:rsidP="001C2625">
      <w:pPr>
        <w:pStyle w:val="Point0"/>
        <w:spacing w:before="0" w:after="240" w:line="240" w:lineRule="auto"/>
      </w:pPr>
      <w:r w:rsidRPr="009C0C9C">
        <w:t>(1)</w:t>
      </w:r>
      <w:r w:rsidRPr="009C0C9C">
        <w:tab/>
        <w:t xml:space="preserve">Article 2 </w:t>
      </w:r>
      <w:proofErr w:type="gramStart"/>
      <w:r w:rsidRPr="009C0C9C">
        <w:t>is amended</w:t>
      </w:r>
      <w:proofErr w:type="gramEnd"/>
      <w:r w:rsidRPr="009C0C9C">
        <w:t xml:space="preserve"> as follows:</w:t>
      </w:r>
    </w:p>
    <w:p w:rsidR="001C2625" w:rsidRPr="009C0C9C" w:rsidRDefault="001C2625" w:rsidP="001C2625">
      <w:pPr>
        <w:pStyle w:val="Point1"/>
        <w:spacing w:before="0" w:after="240" w:line="240" w:lineRule="auto"/>
      </w:pPr>
      <w:r w:rsidRPr="009C0C9C">
        <w:t>(a)</w:t>
      </w:r>
      <w:r w:rsidRPr="009C0C9C">
        <w:tab/>
      </w:r>
      <w:proofErr w:type="gramStart"/>
      <w:r w:rsidRPr="009C0C9C">
        <w:t>in</w:t>
      </w:r>
      <w:proofErr w:type="gramEnd"/>
      <w:r w:rsidRPr="009C0C9C">
        <w:t xml:space="preserve"> paragraph 2, the first subparagraph is replaced by the following:</w:t>
      </w:r>
    </w:p>
    <w:p w:rsidR="001C2625" w:rsidRPr="009C0C9C" w:rsidRDefault="001C2625" w:rsidP="001C2625">
      <w:pPr>
        <w:pStyle w:val="Point2"/>
        <w:spacing w:before="0" w:after="240" w:line="240" w:lineRule="auto"/>
      </w:pPr>
      <w:r w:rsidRPr="009C0C9C">
        <w:t>‘2.</w:t>
      </w:r>
      <w:r w:rsidRPr="009C0C9C">
        <w:tab/>
        <w:t>Where it is necessary to use the resources from the special instruments provided for in Articles 8, 9, 10, 10a, 10b and 12, commitment and corresponding payment appropriations shall be entered in the budget over and above the relevant MFF ceilings.’;</w:t>
      </w:r>
    </w:p>
    <w:p w:rsidR="001C2625" w:rsidRPr="009C0C9C" w:rsidRDefault="001C2625" w:rsidP="001C2625">
      <w:pPr>
        <w:pStyle w:val="Point1"/>
        <w:spacing w:before="0" w:after="240" w:line="240" w:lineRule="auto"/>
      </w:pPr>
      <w:r w:rsidRPr="009C0C9C">
        <w:t>(b)</w:t>
      </w:r>
      <w:r w:rsidRPr="009C0C9C">
        <w:tab/>
      </w:r>
      <w:proofErr w:type="gramStart"/>
      <w:r w:rsidRPr="009C0C9C">
        <w:t>in</w:t>
      </w:r>
      <w:proofErr w:type="gramEnd"/>
      <w:r w:rsidRPr="009C0C9C">
        <w:t xml:space="preserve"> paragraph 3, the following subparagraph is added:</w:t>
      </w:r>
    </w:p>
    <w:p w:rsidR="001C2625" w:rsidRPr="009C0C9C" w:rsidRDefault="001C2625" w:rsidP="001C2625">
      <w:pPr>
        <w:pStyle w:val="Text2"/>
        <w:spacing w:before="0" w:after="240" w:line="240" w:lineRule="auto"/>
      </w:pPr>
      <w:proofErr w:type="gramStart"/>
      <w:r w:rsidRPr="009C0C9C">
        <w:t>‘Where it is necessary to mobilise a guarantee for financial assistance to Ukraine which is available for the years 2024 to 2027 for an overall amount of loans of up to EUR 33 000 million in current prices as specified in Regulation (EU) 2024/… of the European Parliament and of the Council</w:t>
      </w:r>
      <w:r w:rsidRPr="009C0C9C">
        <w:rPr>
          <w:b/>
          <w:bCs/>
          <w:vertAlign w:val="superscript"/>
        </w:rPr>
        <w:t>*</w:t>
      </w:r>
      <w:r w:rsidRPr="009C0C9C">
        <w:rPr>
          <w:rStyle w:val="FootnoteReference"/>
        </w:rPr>
        <w:footnoteReference w:customMarkFollows="1" w:id="10"/>
        <w:t>+</w:t>
      </w:r>
      <w:r w:rsidRPr="009C0C9C">
        <w:t xml:space="preserve"> and authorised in accordance with Article 220(1) of the Financial Regulation, the necessary amount shall be mobilised over and above the MFF ceilings.</w:t>
      </w:r>
      <w:proofErr w:type="gramEnd"/>
    </w:p>
    <w:p w:rsidR="001C2625" w:rsidRPr="009C0C9C" w:rsidRDefault="001C2625" w:rsidP="001C2625">
      <w:pPr>
        <w:pStyle w:val="Text2"/>
        <w:spacing w:before="0" w:after="240" w:line="240" w:lineRule="auto"/>
      </w:pPr>
      <w:r w:rsidRPr="009C0C9C">
        <w:t>________________</w:t>
      </w:r>
    </w:p>
    <w:p w:rsidR="001C2625" w:rsidRPr="009C0C9C" w:rsidRDefault="001C2625" w:rsidP="001C2625">
      <w:pPr>
        <w:pStyle w:val="Point2"/>
        <w:spacing w:before="0" w:after="240" w:line="240" w:lineRule="auto"/>
        <w:ind w:left="1985"/>
      </w:pPr>
      <w:r w:rsidRPr="009C0C9C">
        <w:rPr>
          <w:b/>
          <w:bCs/>
          <w:vertAlign w:val="superscript"/>
        </w:rPr>
        <w:t>*</w:t>
      </w:r>
      <w:r w:rsidRPr="009C0C9C">
        <w:tab/>
        <w:t>Regulation (EU) 2024/… of the European Parliament and of the Council of … on establishing the Ukraine Facility (OJ L</w:t>
      </w:r>
      <w:proofErr w:type="gramStart"/>
      <w:r w:rsidRPr="009C0C9C">
        <w:t>, …,</w:t>
      </w:r>
      <w:proofErr w:type="gramEnd"/>
      <w:r w:rsidRPr="009C0C9C">
        <w:t xml:space="preserve"> ELI: …).’;</w:t>
      </w:r>
    </w:p>
    <w:p w:rsidR="001C2625" w:rsidRPr="009C0C9C" w:rsidRDefault="001C2625" w:rsidP="001C2625">
      <w:pPr>
        <w:pStyle w:val="Point0"/>
        <w:spacing w:before="0" w:after="240" w:line="240" w:lineRule="auto"/>
      </w:pPr>
      <w:r w:rsidRPr="009C0C9C">
        <w:br w:type="page"/>
      </w:r>
      <w:r w:rsidRPr="009C0C9C">
        <w:lastRenderedPageBreak/>
        <w:t>(2)</w:t>
      </w:r>
      <w:r w:rsidRPr="009C0C9C">
        <w:tab/>
      </w:r>
      <w:proofErr w:type="gramStart"/>
      <w:r w:rsidRPr="009C0C9C">
        <w:t>in</w:t>
      </w:r>
      <w:proofErr w:type="gramEnd"/>
      <w:r w:rsidRPr="009C0C9C">
        <w:t xml:space="preserve"> Article 4(1), the following points are added:</w:t>
      </w:r>
    </w:p>
    <w:p w:rsidR="001C2625" w:rsidRPr="009C0C9C" w:rsidRDefault="001C2625" w:rsidP="001C2625">
      <w:pPr>
        <w:pStyle w:val="Point1"/>
        <w:spacing w:before="0" w:after="240" w:line="240" w:lineRule="auto"/>
      </w:pPr>
      <w:r w:rsidRPr="009C0C9C">
        <w:t>‘(f)</w:t>
      </w:r>
      <w:r w:rsidRPr="009C0C9C">
        <w:tab/>
        <w:t xml:space="preserve">a calculation of the amount available for the EURI Instrument in accordance with Article </w:t>
      </w:r>
      <w:proofErr w:type="gramStart"/>
      <w:r w:rsidRPr="009C0C9C">
        <w:t>10a(</w:t>
      </w:r>
      <w:proofErr w:type="gramEnd"/>
      <w:r w:rsidRPr="009C0C9C">
        <w:t>3), point (a);</w:t>
      </w:r>
    </w:p>
    <w:p w:rsidR="001C2625" w:rsidRPr="009C0C9C" w:rsidRDefault="001C2625" w:rsidP="001C2625">
      <w:pPr>
        <w:pStyle w:val="Point1"/>
        <w:spacing w:before="0" w:after="240" w:line="240" w:lineRule="auto"/>
      </w:pPr>
      <w:r w:rsidRPr="009C0C9C">
        <w:t>(</w:t>
      </w:r>
      <w:proofErr w:type="gramStart"/>
      <w:r w:rsidRPr="009C0C9C">
        <w:t>g</w:t>
      </w:r>
      <w:proofErr w:type="gramEnd"/>
      <w:r w:rsidRPr="009C0C9C">
        <w:t>)</w:t>
      </w:r>
      <w:r w:rsidRPr="009C0C9C">
        <w:tab/>
        <w:t>a calculation of the amounts to be made available to the Flexibility Instrument under Article 12(1), second subparagraph.’;</w:t>
      </w:r>
    </w:p>
    <w:p w:rsidR="001C2625" w:rsidRPr="009C0C9C" w:rsidRDefault="001C2625" w:rsidP="001C2625">
      <w:pPr>
        <w:pStyle w:val="Point0"/>
        <w:spacing w:before="0" w:after="240" w:line="240" w:lineRule="auto"/>
      </w:pPr>
      <w:r w:rsidRPr="009C0C9C">
        <w:t>(3)</w:t>
      </w:r>
      <w:r w:rsidRPr="009C0C9C">
        <w:tab/>
      </w:r>
      <w:proofErr w:type="gramStart"/>
      <w:r w:rsidRPr="009C0C9C">
        <w:t>in</w:t>
      </w:r>
      <w:proofErr w:type="gramEnd"/>
      <w:r w:rsidRPr="009C0C9C">
        <w:t xml:space="preserve"> Article 5(1), the second subparagraph is replaced by the following:</w:t>
      </w:r>
    </w:p>
    <w:p w:rsidR="001C2625" w:rsidRPr="009C0C9C" w:rsidRDefault="001C2625" w:rsidP="001C2625">
      <w:pPr>
        <w:pStyle w:val="Text1"/>
        <w:spacing w:before="0" w:after="240" w:line="240" w:lineRule="auto"/>
      </w:pPr>
      <w:r w:rsidRPr="009C0C9C">
        <w:t>‘The total amount of additional allocations for the period 2022 to 2027 for commitment and payment appropriations respectively shall be EUR 10 155 million (in 2018 prices). For each of the years from 2022 to 2026, the annual amount of additional allocations for commitment and payment appropriations respectively shall be at least EUR 1 500 million (in 2018 prices) and shall not exceed EUR 2 000 million (in 2018 prices).’;</w:t>
      </w:r>
    </w:p>
    <w:p w:rsidR="001C2625" w:rsidRPr="009C0C9C" w:rsidRDefault="001C2625" w:rsidP="001C2625">
      <w:pPr>
        <w:pStyle w:val="Point0"/>
        <w:spacing w:before="0" w:after="240" w:line="240" w:lineRule="auto"/>
      </w:pPr>
      <w:r w:rsidRPr="009C0C9C">
        <w:br w:type="page"/>
      </w:r>
      <w:r w:rsidRPr="009C0C9C">
        <w:lastRenderedPageBreak/>
        <w:t>(4)</w:t>
      </w:r>
      <w:r w:rsidRPr="009C0C9C">
        <w:tab/>
        <w:t xml:space="preserve">Articles 8 and 9 </w:t>
      </w:r>
      <w:proofErr w:type="gramStart"/>
      <w:r w:rsidRPr="009C0C9C">
        <w:t>are replaced</w:t>
      </w:r>
      <w:proofErr w:type="gramEnd"/>
      <w:r w:rsidRPr="009C0C9C">
        <w:t xml:space="preserve"> by the following:</w:t>
      </w:r>
    </w:p>
    <w:p w:rsidR="001C2625" w:rsidRPr="009C0C9C" w:rsidRDefault="001C2625" w:rsidP="001C2625">
      <w:pPr>
        <w:pStyle w:val="Text1"/>
        <w:spacing w:before="0" w:after="240" w:line="240" w:lineRule="auto"/>
      </w:pPr>
      <w:r w:rsidRPr="009C0C9C">
        <w:t>‘</w:t>
      </w:r>
      <w:r w:rsidRPr="009C0C9C">
        <w:rPr>
          <w:i/>
          <w:iCs/>
        </w:rPr>
        <w:t>Article 8</w:t>
      </w:r>
      <w:r w:rsidRPr="009C0C9C">
        <w:rPr>
          <w:i/>
          <w:iCs/>
        </w:rPr>
        <w:br/>
        <w:t>European Globalisation Adjustment Fund</w:t>
      </w:r>
    </w:p>
    <w:p w:rsidR="001C2625" w:rsidRPr="009C0C9C" w:rsidRDefault="001C2625" w:rsidP="001C2625">
      <w:pPr>
        <w:pStyle w:val="Point1"/>
        <w:spacing w:before="0" w:after="240" w:line="240" w:lineRule="auto"/>
      </w:pPr>
      <w:r w:rsidRPr="009C0C9C">
        <w:t>1.</w:t>
      </w:r>
      <w:r w:rsidRPr="009C0C9C">
        <w:tab/>
        <w:t>The European Globalisation Adjustment Fund, the objectives and scope of which are set out in Regulation (EU) 2021/691 of the European Parliament and of the Council</w:t>
      </w:r>
      <w:r w:rsidRPr="009C0C9C">
        <w:rPr>
          <w:b/>
          <w:bCs/>
          <w:vertAlign w:val="superscript"/>
        </w:rPr>
        <w:t>*</w:t>
      </w:r>
      <w:r w:rsidRPr="009C0C9C">
        <w:t>, shall not exceed a maximum annual amount of EUR 30 million (in 2018 prices).</w:t>
      </w:r>
    </w:p>
    <w:p w:rsidR="001C2625" w:rsidRPr="009C0C9C" w:rsidRDefault="001C2625" w:rsidP="001C2625">
      <w:pPr>
        <w:pStyle w:val="Point1"/>
        <w:spacing w:before="0" w:after="240" w:line="240" w:lineRule="auto"/>
      </w:pPr>
      <w:r w:rsidRPr="009C0C9C">
        <w:t>2.</w:t>
      </w:r>
      <w:r w:rsidRPr="009C0C9C">
        <w:tab/>
        <w:t xml:space="preserve">The appropriations for the European Globalisation Adjustment Fund </w:t>
      </w:r>
      <w:proofErr w:type="gramStart"/>
      <w:r w:rsidRPr="009C0C9C">
        <w:t>shall be entered</w:t>
      </w:r>
      <w:proofErr w:type="gramEnd"/>
      <w:r w:rsidRPr="009C0C9C">
        <w:t xml:space="preserve"> in the general budget of the Union as a provision.</w:t>
      </w:r>
    </w:p>
    <w:p w:rsidR="001C2625" w:rsidRPr="009C0C9C" w:rsidRDefault="001C2625" w:rsidP="001C2625">
      <w:pPr>
        <w:pStyle w:val="Text1"/>
        <w:spacing w:before="0" w:after="240" w:line="240" w:lineRule="auto"/>
      </w:pPr>
      <w:r w:rsidRPr="009C0C9C">
        <w:rPr>
          <w:i/>
          <w:iCs/>
        </w:rPr>
        <w:t>Article 9</w:t>
      </w:r>
      <w:r w:rsidRPr="009C0C9C">
        <w:rPr>
          <w:i/>
          <w:iCs/>
        </w:rPr>
        <w:br/>
        <w:t>Solidarity and Emergency Aid Reserve</w:t>
      </w:r>
    </w:p>
    <w:p w:rsidR="001C2625" w:rsidRPr="009C0C9C" w:rsidRDefault="001C2625" w:rsidP="001C2625">
      <w:pPr>
        <w:pStyle w:val="Point1"/>
        <w:spacing w:before="0" w:after="240" w:line="240" w:lineRule="auto"/>
      </w:pPr>
      <w:r w:rsidRPr="009C0C9C">
        <w:t>1.</w:t>
      </w:r>
      <w:r w:rsidRPr="009C0C9C">
        <w:tab/>
        <w:t xml:space="preserve">The Solidarity and Emergency Aid Reserve shall be constituted of two </w:t>
      </w:r>
      <w:proofErr w:type="gramStart"/>
      <w:r w:rsidRPr="009C0C9C">
        <w:t>instruments which</w:t>
      </w:r>
      <w:proofErr w:type="gramEnd"/>
      <w:r w:rsidRPr="009C0C9C">
        <w:t xml:space="preserve"> may be used to finance, respectively:</w:t>
      </w:r>
    </w:p>
    <w:p w:rsidR="001C2625" w:rsidRPr="009C0C9C" w:rsidRDefault="001C2625" w:rsidP="001C2625">
      <w:pPr>
        <w:pStyle w:val="Point2"/>
        <w:spacing w:before="0" w:after="240" w:line="240" w:lineRule="auto"/>
      </w:pPr>
      <w:r w:rsidRPr="009C0C9C">
        <w:t>(a)</w:t>
      </w:r>
      <w:r w:rsidRPr="009C0C9C">
        <w:tab/>
        <w:t>assistance to respond to emergency situations resulting from major disasters that are covered by the European Union Solidarity Fund, the objectives and scope of which are set out in Council Regulation (EC) No 2012/2002</w:t>
      </w:r>
      <w:r w:rsidRPr="009C0C9C">
        <w:rPr>
          <w:b/>
          <w:bCs/>
          <w:vertAlign w:val="superscript"/>
        </w:rPr>
        <w:t>**</w:t>
      </w:r>
      <w:r w:rsidRPr="009C0C9C">
        <w:t xml:space="preserve"> (the “European Solidarity Reserve”); and</w:t>
      </w:r>
    </w:p>
    <w:p w:rsidR="001C2625" w:rsidRPr="009C0C9C" w:rsidRDefault="001C2625" w:rsidP="001C2625">
      <w:pPr>
        <w:pStyle w:val="Point2"/>
        <w:spacing w:before="0" w:after="240" w:line="240" w:lineRule="auto"/>
      </w:pPr>
      <w:r w:rsidRPr="009C0C9C">
        <w:br w:type="page"/>
      </w:r>
      <w:proofErr w:type="gramStart"/>
      <w:r w:rsidRPr="009C0C9C">
        <w:lastRenderedPageBreak/>
        <w:t>(b)</w:t>
      </w:r>
      <w:r w:rsidRPr="009C0C9C">
        <w:tab/>
        <w:t xml:space="preserve">rapid responses to specific emergency needs within the Union or in third countries following events which could not be foreseen when the budget was established, in particular for emergency responses and support operations following natural disasters not covered by point (a), man-made disasters, humanitarian crises in cases of large-scale public health, veterinary or </w:t>
      </w:r>
      <w:proofErr w:type="spellStart"/>
      <w:r w:rsidRPr="009C0C9C">
        <w:t>phytosanitary</w:t>
      </w:r>
      <w:proofErr w:type="spellEnd"/>
      <w:r w:rsidRPr="009C0C9C">
        <w:t xml:space="preserve"> threats, as well as in situations of particular pressure at the Union’s external borders resulting from migratory flows, where circumstances so require (the “Emergency Aid Reserve”).</w:t>
      </w:r>
      <w:proofErr w:type="gramEnd"/>
    </w:p>
    <w:p w:rsidR="001C2625" w:rsidRPr="009C0C9C" w:rsidRDefault="001C2625" w:rsidP="001C2625">
      <w:pPr>
        <w:pStyle w:val="Point1"/>
        <w:spacing w:before="0" w:after="240" w:line="240" w:lineRule="auto"/>
      </w:pPr>
      <w:r w:rsidRPr="009C0C9C">
        <w:t>2.</w:t>
      </w:r>
      <w:r w:rsidRPr="009C0C9C">
        <w:tab/>
        <w:t xml:space="preserve">The European Solidarity Reserve shall not exceed a maximum annual amount of EUR 1 016 million (in 2018 prices). Any portion of the annual amount not used in year n </w:t>
      </w:r>
      <w:proofErr w:type="gramStart"/>
      <w:r w:rsidRPr="009C0C9C">
        <w:t>may be used up</w:t>
      </w:r>
      <w:proofErr w:type="gramEnd"/>
      <w:r w:rsidRPr="009C0C9C">
        <w:t xml:space="preserve"> to year n+1. The portion of the annual amount stemming from the previous year </w:t>
      </w:r>
      <w:proofErr w:type="gramStart"/>
      <w:r w:rsidRPr="009C0C9C">
        <w:t>shall be drawn</w:t>
      </w:r>
      <w:proofErr w:type="gramEnd"/>
      <w:r w:rsidRPr="009C0C9C">
        <w:t xml:space="preserve"> on first. Any portion of the annual amount from year </w:t>
      </w:r>
      <w:proofErr w:type="gramStart"/>
      <w:r w:rsidRPr="009C0C9C">
        <w:t>n which is not used in year n+1</w:t>
      </w:r>
      <w:proofErr w:type="gramEnd"/>
      <w:r w:rsidRPr="009C0C9C">
        <w:t xml:space="preserve"> shall lapse.</w:t>
      </w:r>
    </w:p>
    <w:p w:rsidR="001C2625" w:rsidRPr="009C0C9C" w:rsidRDefault="001C2625" w:rsidP="001C2625">
      <w:pPr>
        <w:pStyle w:val="Text2"/>
        <w:spacing w:before="0" w:after="240" w:line="240" w:lineRule="auto"/>
      </w:pPr>
      <w:r w:rsidRPr="009C0C9C">
        <w:t>On 1 October of each year, at least one quarter of the annual amount of the European Solidarity Reserve shall remain available in order to cover needs arising until the end of that year.</w:t>
      </w:r>
    </w:p>
    <w:p w:rsidR="001C2625" w:rsidRPr="009C0C9C" w:rsidRDefault="001C2625" w:rsidP="001C2625">
      <w:pPr>
        <w:pStyle w:val="Text2"/>
        <w:spacing w:before="0" w:after="240" w:line="240" w:lineRule="auto"/>
      </w:pPr>
      <w:r w:rsidRPr="009C0C9C">
        <w:br w:type="page"/>
      </w:r>
      <w:proofErr w:type="gramStart"/>
      <w:r w:rsidRPr="009C0C9C">
        <w:lastRenderedPageBreak/>
        <w:t>In exceptional cases and if the remaining financial resources available are not sufficient to cover the amounts considered necessary in the year of occurrence of a disaster as referred to in point (a) of paragraph 1, the Commission may propose that the difference be financed through the annual amount referred to in the first subparagraph of this paragraph available in the following year, up to a maximum amount of EUR 400 million (in 2018 prices).</w:t>
      </w:r>
      <w:proofErr w:type="gramEnd"/>
    </w:p>
    <w:p w:rsidR="001C2625" w:rsidRPr="009C0C9C" w:rsidRDefault="001C2625" w:rsidP="001C2625">
      <w:pPr>
        <w:pStyle w:val="Point1"/>
        <w:spacing w:before="0" w:after="240" w:line="240" w:lineRule="auto"/>
      </w:pPr>
      <w:r w:rsidRPr="009C0C9C">
        <w:t>3.</w:t>
      </w:r>
      <w:r w:rsidRPr="009C0C9C">
        <w:tab/>
        <w:t xml:space="preserve">The Emergency Aid Reserve shall not exceed a maximum annual amount of EUR 508 million (in 2018 prices). Any portion of the annual amount not used in year n </w:t>
      </w:r>
      <w:proofErr w:type="gramStart"/>
      <w:r w:rsidRPr="009C0C9C">
        <w:t>may be used up</w:t>
      </w:r>
      <w:proofErr w:type="gramEnd"/>
      <w:r w:rsidRPr="009C0C9C">
        <w:t xml:space="preserve"> to year n+1. The portion of the annual amount stemming from the previous year </w:t>
      </w:r>
      <w:proofErr w:type="gramStart"/>
      <w:r w:rsidRPr="009C0C9C">
        <w:t>shall be drawn</w:t>
      </w:r>
      <w:proofErr w:type="gramEnd"/>
      <w:r w:rsidRPr="009C0C9C">
        <w:t xml:space="preserve"> on first. Any portion of the annual amount from year </w:t>
      </w:r>
      <w:proofErr w:type="gramStart"/>
      <w:r w:rsidRPr="009C0C9C">
        <w:t>n which is not used in year n+1</w:t>
      </w:r>
      <w:proofErr w:type="gramEnd"/>
      <w:r w:rsidRPr="009C0C9C">
        <w:t xml:space="preserve"> shall lapse.</w:t>
      </w:r>
    </w:p>
    <w:p w:rsidR="001C2625" w:rsidRPr="009C0C9C" w:rsidRDefault="001C2625" w:rsidP="001C2625">
      <w:pPr>
        <w:pStyle w:val="Point1"/>
        <w:spacing w:before="0" w:after="240" w:line="240" w:lineRule="auto"/>
      </w:pPr>
      <w:r w:rsidRPr="009C0C9C">
        <w:t>4.</w:t>
      </w:r>
      <w:r w:rsidRPr="009C0C9C">
        <w:tab/>
        <w:t xml:space="preserve">The appropriations for the European Solidarity Reserve and for the Emergency Aid Reserve </w:t>
      </w:r>
      <w:proofErr w:type="gramStart"/>
      <w:r w:rsidRPr="009C0C9C">
        <w:t>shall be entered</w:t>
      </w:r>
      <w:proofErr w:type="gramEnd"/>
      <w:r w:rsidRPr="009C0C9C">
        <w:t xml:space="preserve"> in the general budget of the Union as provisions.</w:t>
      </w:r>
    </w:p>
    <w:p w:rsidR="001C2625" w:rsidRPr="009C0C9C" w:rsidRDefault="001C2625" w:rsidP="001C2625">
      <w:pPr>
        <w:pStyle w:val="Text1"/>
        <w:spacing w:before="0" w:after="240" w:line="240" w:lineRule="auto"/>
      </w:pPr>
      <w:r w:rsidRPr="009C0C9C">
        <w:t>________________</w:t>
      </w:r>
    </w:p>
    <w:p w:rsidR="001C2625" w:rsidRPr="009C0C9C" w:rsidRDefault="001C2625" w:rsidP="001C2625">
      <w:pPr>
        <w:pStyle w:val="Point1"/>
        <w:spacing w:before="0" w:after="240" w:line="240" w:lineRule="auto"/>
        <w:ind w:left="1418"/>
      </w:pPr>
      <w:r w:rsidRPr="009C0C9C">
        <w:rPr>
          <w:b/>
          <w:bCs/>
          <w:vertAlign w:val="superscript"/>
        </w:rPr>
        <w:t>*</w:t>
      </w:r>
      <w:r w:rsidRPr="009C0C9C">
        <w:tab/>
        <w:t>Regulation (EU) 2021/691 of the European Parliament and of the Council of 28 April 2021 on the European Globalisation Adjustment Fund for Displaced Workers (EGF) and repealing Regulation (EU) No 1309/2013 (OJ L 153, 3.5.2021, p. 48).</w:t>
      </w:r>
    </w:p>
    <w:p w:rsidR="001C2625" w:rsidRPr="009C0C9C" w:rsidRDefault="001C2625" w:rsidP="001C2625">
      <w:pPr>
        <w:pStyle w:val="Point1"/>
        <w:spacing w:before="0" w:after="240" w:line="240" w:lineRule="auto"/>
        <w:ind w:left="1418"/>
      </w:pPr>
      <w:r w:rsidRPr="009C0C9C">
        <w:rPr>
          <w:b/>
          <w:bCs/>
          <w:vertAlign w:val="superscript"/>
        </w:rPr>
        <w:t>**</w:t>
      </w:r>
      <w:r w:rsidRPr="009C0C9C">
        <w:tab/>
        <w:t>Council Regulation (EC) No 2012/2002 of 11 November 2002 establishing the European Union Solidarity Fund (OJ L 311, 14.11.2002, p. 3).’;</w:t>
      </w:r>
    </w:p>
    <w:p w:rsidR="001C2625" w:rsidRPr="009C0C9C" w:rsidRDefault="001C2625" w:rsidP="001C2625">
      <w:pPr>
        <w:pStyle w:val="Point0"/>
        <w:spacing w:before="0" w:after="240" w:line="240" w:lineRule="auto"/>
      </w:pPr>
      <w:r w:rsidRPr="009C0C9C">
        <w:t>(5)</w:t>
      </w:r>
      <w:r w:rsidRPr="009C0C9C">
        <w:tab/>
      </w:r>
      <w:proofErr w:type="gramStart"/>
      <w:r w:rsidRPr="009C0C9C">
        <w:t>in</w:t>
      </w:r>
      <w:proofErr w:type="gramEnd"/>
      <w:r w:rsidRPr="009C0C9C">
        <w:t xml:space="preserve"> Article 10, paragraph 2 is replaced by the following:</w:t>
      </w:r>
    </w:p>
    <w:p w:rsidR="001C2625" w:rsidRPr="009C0C9C" w:rsidRDefault="001C2625" w:rsidP="001C2625">
      <w:pPr>
        <w:pStyle w:val="Point1"/>
        <w:spacing w:before="0" w:after="240" w:line="240" w:lineRule="auto"/>
      </w:pPr>
      <w:r w:rsidRPr="009C0C9C">
        <w:t>‘2.</w:t>
      </w:r>
      <w:r w:rsidRPr="009C0C9C">
        <w:tab/>
        <w:t xml:space="preserve">The </w:t>
      </w:r>
      <w:proofErr w:type="spellStart"/>
      <w:r w:rsidRPr="009C0C9C">
        <w:t>Brexit</w:t>
      </w:r>
      <w:proofErr w:type="spellEnd"/>
      <w:r w:rsidRPr="009C0C9C">
        <w:t xml:space="preserve"> Adjustment Reserve shall not exceed an amount of EUR 4 491 million (in 2018 prices).</w:t>
      </w:r>
      <w:proofErr w:type="gramStart"/>
      <w:r w:rsidRPr="009C0C9C">
        <w:t>’;</w:t>
      </w:r>
      <w:proofErr w:type="gramEnd"/>
    </w:p>
    <w:p w:rsidR="001C2625" w:rsidRPr="009C0C9C" w:rsidRDefault="001C2625" w:rsidP="001C2625">
      <w:pPr>
        <w:pStyle w:val="Point0"/>
        <w:spacing w:before="0" w:after="240" w:line="240" w:lineRule="auto"/>
      </w:pPr>
      <w:r w:rsidRPr="009C0C9C">
        <w:br w:type="page"/>
      </w:r>
      <w:r w:rsidRPr="009C0C9C">
        <w:lastRenderedPageBreak/>
        <w:t>(6)</w:t>
      </w:r>
      <w:r w:rsidRPr="009C0C9C">
        <w:tab/>
      </w:r>
      <w:proofErr w:type="gramStart"/>
      <w:r w:rsidRPr="009C0C9C">
        <w:t>the</w:t>
      </w:r>
      <w:proofErr w:type="gramEnd"/>
      <w:r w:rsidRPr="009C0C9C">
        <w:t xml:space="preserve"> following articles are inserted:</w:t>
      </w:r>
    </w:p>
    <w:p w:rsidR="001C2625" w:rsidRPr="009C0C9C" w:rsidRDefault="001C2625" w:rsidP="001C2625">
      <w:pPr>
        <w:pStyle w:val="Text1"/>
        <w:spacing w:before="0" w:after="240" w:line="240" w:lineRule="auto"/>
      </w:pPr>
      <w:r w:rsidRPr="009C0C9C">
        <w:t>‘</w:t>
      </w:r>
      <w:r w:rsidRPr="009C0C9C">
        <w:rPr>
          <w:i/>
          <w:iCs/>
        </w:rPr>
        <w:t>Article 10a</w:t>
      </w:r>
      <w:r w:rsidRPr="009C0C9C">
        <w:rPr>
          <w:i/>
          <w:iCs/>
        </w:rPr>
        <w:br/>
        <w:t>EURI Instrument</w:t>
      </w:r>
    </w:p>
    <w:p w:rsidR="001C2625" w:rsidRPr="009C0C9C" w:rsidRDefault="001C2625" w:rsidP="001C2625">
      <w:pPr>
        <w:pStyle w:val="Point1"/>
        <w:spacing w:before="0" w:after="240" w:line="240" w:lineRule="auto"/>
      </w:pPr>
      <w:r w:rsidRPr="009C0C9C">
        <w:t>1.</w:t>
      </w:r>
      <w:r w:rsidRPr="009C0C9C">
        <w:tab/>
        <w:t>As of 2025, the EURI Instrument may be used to finance, for a given year, part of the costs of the interest and coupon payments due in respect of the funds borrowed on the capital markets in accordance with Article 5(2) of Council Decision (EU, </w:t>
      </w:r>
      <w:proofErr w:type="spellStart"/>
      <w:r w:rsidRPr="009C0C9C">
        <w:t>Euratom</w:t>
      </w:r>
      <w:proofErr w:type="spellEnd"/>
      <w:r w:rsidRPr="009C0C9C">
        <w:t>) 2020/2053</w:t>
      </w:r>
      <w:r w:rsidRPr="009C0C9C">
        <w:rPr>
          <w:b/>
          <w:bCs/>
          <w:vertAlign w:val="superscript"/>
        </w:rPr>
        <w:t>*</w:t>
      </w:r>
      <w:r w:rsidRPr="009C0C9C">
        <w:t>. The EURI Instrument may only be mobilised in a given year to cover, to the extent specified in the following paragraphs, the amount of these costs that exceed the following amounts (in 2018 prices):</w:t>
      </w:r>
    </w:p>
    <w:p w:rsidR="001C2625" w:rsidRPr="009C0C9C" w:rsidRDefault="001C2625" w:rsidP="001C2625">
      <w:pPr>
        <w:pStyle w:val="Tiret2"/>
        <w:numPr>
          <w:ilvl w:val="0"/>
          <w:numId w:val="0"/>
        </w:numPr>
        <w:tabs>
          <w:tab w:val="left" w:pos="1984"/>
        </w:tabs>
        <w:spacing w:before="0" w:after="240" w:line="240" w:lineRule="auto"/>
        <w:ind w:left="1984" w:hanging="567"/>
      </w:pPr>
      <w:r w:rsidRPr="009C0C9C">
        <w:rPr>
          <w:bdr w:val="none" w:sz="0" w:space="0" w:color="auto" w:frame="1"/>
        </w:rPr>
        <w:t>–</w:t>
      </w:r>
      <w:r w:rsidRPr="009C0C9C">
        <w:rPr>
          <w:bdr w:val="none" w:sz="0" w:space="0" w:color="auto" w:frame="1"/>
        </w:rPr>
        <w:tab/>
      </w:r>
      <w:r w:rsidRPr="009C0C9C">
        <w:t>2025 – EUR 2 332 million,</w:t>
      </w:r>
    </w:p>
    <w:p w:rsidR="001C2625" w:rsidRPr="009C0C9C" w:rsidRDefault="001C2625" w:rsidP="001C2625">
      <w:pPr>
        <w:pStyle w:val="Tiret2"/>
        <w:numPr>
          <w:ilvl w:val="0"/>
          <w:numId w:val="0"/>
        </w:numPr>
        <w:tabs>
          <w:tab w:val="left" w:pos="1984"/>
        </w:tabs>
        <w:spacing w:before="0" w:after="240" w:line="240" w:lineRule="auto"/>
        <w:ind w:left="1984" w:hanging="567"/>
      </w:pPr>
      <w:r w:rsidRPr="009C0C9C">
        <w:rPr>
          <w:bdr w:val="none" w:sz="0" w:space="0" w:color="auto" w:frame="1"/>
        </w:rPr>
        <w:t>–</w:t>
      </w:r>
      <w:r w:rsidRPr="009C0C9C">
        <w:rPr>
          <w:bdr w:val="none" w:sz="0" w:space="0" w:color="auto" w:frame="1"/>
        </w:rPr>
        <w:tab/>
      </w:r>
      <w:r w:rsidRPr="009C0C9C">
        <w:t>2026 – EUR 3 196 million,</w:t>
      </w:r>
    </w:p>
    <w:p w:rsidR="001C2625" w:rsidRPr="009C0C9C" w:rsidRDefault="001C2625" w:rsidP="001C2625">
      <w:pPr>
        <w:pStyle w:val="Tiret2"/>
        <w:numPr>
          <w:ilvl w:val="0"/>
          <w:numId w:val="0"/>
        </w:numPr>
        <w:tabs>
          <w:tab w:val="left" w:pos="1984"/>
        </w:tabs>
        <w:spacing w:before="0" w:after="240" w:line="240" w:lineRule="auto"/>
        <w:ind w:left="1984" w:hanging="567"/>
      </w:pPr>
      <w:r w:rsidRPr="009C0C9C">
        <w:rPr>
          <w:bdr w:val="none" w:sz="0" w:space="0" w:color="auto" w:frame="1"/>
        </w:rPr>
        <w:t>–</w:t>
      </w:r>
      <w:r w:rsidRPr="009C0C9C">
        <w:rPr>
          <w:bdr w:val="none" w:sz="0" w:space="0" w:color="auto" w:frame="1"/>
        </w:rPr>
        <w:tab/>
      </w:r>
      <w:r w:rsidRPr="009C0C9C">
        <w:t>2027 – EUR 4 168 million.</w:t>
      </w:r>
    </w:p>
    <w:p w:rsidR="001C2625" w:rsidRPr="009C0C9C" w:rsidRDefault="001C2625" w:rsidP="001C2625">
      <w:pPr>
        <w:pStyle w:val="Point1"/>
        <w:spacing w:before="0" w:after="240" w:line="240" w:lineRule="auto"/>
      </w:pPr>
      <w:proofErr w:type="gramStart"/>
      <w:r w:rsidRPr="009C0C9C">
        <w:t>2.</w:t>
      </w:r>
      <w:r w:rsidRPr="009C0C9C">
        <w:tab/>
        <w:t xml:space="preserve">The EURI Instrument may be mobilised by the European Parliament and the Council in the framework of the budgetary procedure provided for in Article 314 TFEU, only after having sought other means of financing, with a view to covering a substantial part of the amounts exceeding the amounts referred to in paragraph 1 of this Article, </w:t>
      </w:r>
      <w:bookmarkStart w:id="9" w:name="_Hlk155701821"/>
      <w:r w:rsidRPr="009C0C9C">
        <w:t xml:space="preserve">in accordance with the applicable sectoral rules and other legal obligations, </w:t>
      </w:r>
      <w:bookmarkEnd w:id="9"/>
      <w:r w:rsidRPr="009C0C9C">
        <w:t>while taking into account priorities, prudent budgeting and sound financial management.</w:t>
      </w:r>
      <w:proofErr w:type="gramEnd"/>
    </w:p>
    <w:p w:rsidR="001C2625" w:rsidRPr="009C0C9C" w:rsidRDefault="001C2625" w:rsidP="001C2625">
      <w:pPr>
        <w:pStyle w:val="Text2"/>
        <w:spacing w:before="0" w:after="240" w:line="240" w:lineRule="auto"/>
      </w:pPr>
      <w:r w:rsidRPr="009C0C9C">
        <w:br w:type="page"/>
      </w:r>
      <w:r w:rsidRPr="009C0C9C">
        <w:lastRenderedPageBreak/>
        <w:t xml:space="preserve">Appropriations for the EURI Instrument </w:t>
      </w:r>
      <w:proofErr w:type="gramStart"/>
      <w:r w:rsidRPr="009C0C9C">
        <w:t>shall be made</w:t>
      </w:r>
      <w:proofErr w:type="gramEnd"/>
      <w:r w:rsidRPr="009C0C9C">
        <w:t xml:space="preserve"> available over and above the MFF ceilings.</w:t>
      </w:r>
    </w:p>
    <w:p w:rsidR="001C2625" w:rsidRPr="009C0C9C" w:rsidRDefault="001C2625" w:rsidP="001C2625">
      <w:pPr>
        <w:pStyle w:val="Point1"/>
        <w:spacing w:before="0" w:after="240" w:line="240" w:lineRule="auto"/>
      </w:pPr>
      <w:r w:rsidRPr="009C0C9C">
        <w:t>3.</w:t>
      </w:r>
      <w:r w:rsidRPr="009C0C9C">
        <w:tab/>
        <w:t>The EURI Instrument shall comprise the following:</w:t>
      </w:r>
    </w:p>
    <w:p w:rsidR="001C2625" w:rsidRPr="009C0C9C" w:rsidRDefault="001C2625" w:rsidP="001C2625">
      <w:pPr>
        <w:pStyle w:val="Point2"/>
        <w:spacing w:before="0" w:after="240" w:line="240" w:lineRule="auto"/>
      </w:pPr>
      <w:proofErr w:type="gramStart"/>
      <w:r w:rsidRPr="009C0C9C">
        <w:t>(a)</w:t>
      </w:r>
      <w:r w:rsidRPr="009C0C9C">
        <w:tab/>
        <w:t xml:space="preserve">an amount equivalent to </w:t>
      </w:r>
      <w:proofErr w:type="spellStart"/>
      <w:r w:rsidRPr="009C0C9C">
        <w:t>decommitments</w:t>
      </w:r>
      <w:proofErr w:type="spellEnd"/>
      <w:r w:rsidRPr="009C0C9C">
        <w:t xml:space="preserve"> of appropriations, other than external assigned revenue, made cumulatively since 2021, which were not mobilised under this instrument in the previous years, with the exclusion of the amounts of </w:t>
      </w:r>
      <w:proofErr w:type="spellStart"/>
      <w:r w:rsidRPr="009C0C9C">
        <w:t>decommitments</w:t>
      </w:r>
      <w:proofErr w:type="spellEnd"/>
      <w:r w:rsidRPr="009C0C9C">
        <w:t xml:space="preserve"> made available again in accordance with the provisions of Article 15 of the Financial Regulation and specific rules on making appropriations available again as referred to in the relevant basic acts.</w:t>
      </w:r>
      <w:proofErr w:type="gramEnd"/>
      <w:r w:rsidRPr="009C0C9C">
        <w:t xml:space="preserve"> This amount </w:t>
      </w:r>
      <w:proofErr w:type="gramStart"/>
      <w:r w:rsidRPr="009C0C9C">
        <w:t>shall be drawn</w:t>
      </w:r>
      <w:proofErr w:type="gramEnd"/>
      <w:r w:rsidRPr="009C0C9C">
        <w:t xml:space="preserve"> on first;</w:t>
      </w:r>
    </w:p>
    <w:p w:rsidR="001C2625" w:rsidRPr="009C0C9C" w:rsidRDefault="001C2625" w:rsidP="001C2625">
      <w:pPr>
        <w:pStyle w:val="Point2"/>
        <w:spacing w:before="0" w:after="240" w:line="240" w:lineRule="auto"/>
      </w:pPr>
      <w:r w:rsidRPr="009C0C9C">
        <w:t>(b)</w:t>
      </w:r>
      <w:r w:rsidRPr="009C0C9C">
        <w:tab/>
      </w:r>
      <w:proofErr w:type="gramStart"/>
      <w:r w:rsidRPr="009C0C9C">
        <w:t>only</w:t>
      </w:r>
      <w:proofErr w:type="gramEnd"/>
      <w:r w:rsidRPr="009C0C9C">
        <w:t xml:space="preserve"> if the amount under point (a) of this paragraph is insufficient, an additional amount necessary to fully finance the costs referred to in paragraph 1 in the year concerned.</w:t>
      </w:r>
    </w:p>
    <w:p w:rsidR="001C2625" w:rsidRPr="009C0C9C" w:rsidRDefault="001C2625" w:rsidP="001C2625">
      <w:pPr>
        <w:pStyle w:val="Text2"/>
        <w:spacing w:before="0" w:after="240" w:line="240" w:lineRule="auto"/>
      </w:pPr>
      <w:r w:rsidRPr="009C0C9C">
        <w:t xml:space="preserve">Each year, as part of the technical adjustments referred to in Article 4, the Commission shall calculate the amount available </w:t>
      </w:r>
      <w:proofErr w:type="gramStart"/>
      <w:r w:rsidRPr="009C0C9C">
        <w:t>on the basis of</w:t>
      </w:r>
      <w:proofErr w:type="gramEnd"/>
      <w:r w:rsidRPr="009C0C9C">
        <w:t xml:space="preserve"> the first subparagraph, point (a), of this paragraph taking into account the amounts considered for that purpose in the previous years.</w:t>
      </w:r>
    </w:p>
    <w:p w:rsidR="001C2625" w:rsidRPr="009C0C9C" w:rsidRDefault="001C2625" w:rsidP="001C2625">
      <w:pPr>
        <w:pStyle w:val="Text1"/>
        <w:spacing w:before="0" w:after="240" w:line="240" w:lineRule="auto"/>
        <w:rPr>
          <w:i/>
          <w:iCs/>
        </w:rPr>
      </w:pPr>
      <w:r w:rsidRPr="009C0C9C">
        <w:br w:type="page"/>
      </w:r>
      <w:r w:rsidRPr="009C0C9C">
        <w:rPr>
          <w:i/>
          <w:iCs/>
        </w:rPr>
        <w:lastRenderedPageBreak/>
        <w:t>Article 10b</w:t>
      </w:r>
      <w:r w:rsidRPr="009C0C9C">
        <w:rPr>
          <w:i/>
          <w:iCs/>
        </w:rPr>
        <w:br/>
        <w:t>Ukraine Reserve</w:t>
      </w:r>
    </w:p>
    <w:p w:rsidR="001C2625" w:rsidRPr="009C0C9C" w:rsidRDefault="001C2625" w:rsidP="001C2625">
      <w:pPr>
        <w:pStyle w:val="Point1"/>
        <w:spacing w:before="0" w:after="240" w:line="240" w:lineRule="auto"/>
      </w:pPr>
      <w:r w:rsidRPr="009C0C9C">
        <w:t>1.</w:t>
      </w:r>
      <w:r w:rsidRPr="009C0C9C">
        <w:tab/>
        <w:t>The Ukraine Reserve may be mobilised for the sole purpose of financing expenditure under Regulation (EU) 2024/…</w:t>
      </w:r>
      <w:r w:rsidRPr="009C0C9C">
        <w:rPr>
          <w:rStyle w:val="FootnoteReference"/>
        </w:rPr>
        <w:footnoteReference w:customMarkFollows="1" w:id="11"/>
        <w:t>+</w:t>
      </w:r>
      <w:r w:rsidRPr="009C0C9C">
        <w:t>.</w:t>
      </w:r>
    </w:p>
    <w:p w:rsidR="001C2625" w:rsidRPr="009C0C9C" w:rsidRDefault="001C2625" w:rsidP="001C2625">
      <w:pPr>
        <w:pStyle w:val="Point1"/>
        <w:spacing w:before="0" w:after="240" w:line="240" w:lineRule="auto"/>
      </w:pPr>
      <w:r w:rsidRPr="009C0C9C">
        <w:t>2.</w:t>
      </w:r>
      <w:r w:rsidRPr="009C0C9C">
        <w:tab/>
        <w:t>The Ukraine Reserve shall not exceed an amount of EUR 17 000 million in current prices for the period 2024 to 2027.</w:t>
      </w:r>
    </w:p>
    <w:p w:rsidR="001C2625" w:rsidRPr="009C0C9C" w:rsidRDefault="001C2625" w:rsidP="001C2625">
      <w:pPr>
        <w:pStyle w:val="Point1"/>
        <w:spacing w:before="0" w:after="240" w:line="240" w:lineRule="auto"/>
      </w:pPr>
      <w:r w:rsidRPr="009C0C9C">
        <w:t>3.</w:t>
      </w:r>
      <w:r w:rsidRPr="009C0C9C">
        <w:tab/>
        <w:t xml:space="preserve">The annual amount mobilised under the Ukraine Reserve in a given year shall not exceed EUR 5 000 million in current prices. Without prejudice to the overall amount set out in paragraph 2, the unused portion of the annual amount in a given year </w:t>
      </w:r>
      <w:proofErr w:type="gramStart"/>
      <w:r w:rsidRPr="009C0C9C">
        <w:t>may be used</w:t>
      </w:r>
      <w:proofErr w:type="gramEnd"/>
      <w:r w:rsidRPr="009C0C9C">
        <w:t xml:space="preserve"> in the following years, until 2027.</w:t>
      </w:r>
    </w:p>
    <w:p w:rsidR="001C2625" w:rsidRPr="009C0C9C" w:rsidRDefault="001C2625" w:rsidP="001C2625">
      <w:pPr>
        <w:pStyle w:val="Point1"/>
        <w:spacing w:before="0" w:after="240" w:line="240" w:lineRule="auto"/>
      </w:pPr>
      <w:r w:rsidRPr="009C0C9C">
        <w:t>4.</w:t>
      </w:r>
      <w:r w:rsidRPr="009C0C9C">
        <w:tab/>
        <w:t>The Ukraine Reserve may be mobilised by the European Parliament and the Council in the framework of the budgetary procedure provided for in Article 314 TFEU.</w:t>
      </w:r>
    </w:p>
    <w:p w:rsidR="001C2625" w:rsidRPr="009C0C9C" w:rsidRDefault="001C2625" w:rsidP="001C2625">
      <w:pPr>
        <w:pStyle w:val="Text1"/>
        <w:spacing w:before="0" w:after="240" w:line="240" w:lineRule="auto"/>
      </w:pPr>
      <w:r w:rsidRPr="009C0C9C">
        <w:t>________________</w:t>
      </w:r>
    </w:p>
    <w:p w:rsidR="001C2625" w:rsidRPr="009C0C9C" w:rsidRDefault="001C2625" w:rsidP="001C2625">
      <w:pPr>
        <w:pStyle w:val="Point1"/>
        <w:spacing w:before="0" w:after="240" w:line="240" w:lineRule="auto"/>
        <w:ind w:left="1418"/>
      </w:pPr>
      <w:r w:rsidRPr="009C0C9C">
        <w:rPr>
          <w:b/>
          <w:bCs/>
          <w:vertAlign w:val="superscript"/>
        </w:rPr>
        <w:t>*</w:t>
      </w:r>
      <w:r w:rsidRPr="009C0C9C">
        <w:tab/>
        <w:t xml:space="preserve">Council Decision (EU, </w:t>
      </w:r>
      <w:proofErr w:type="spellStart"/>
      <w:r w:rsidRPr="009C0C9C">
        <w:t>Euratom</w:t>
      </w:r>
      <w:proofErr w:type="spellEnd"/>
      <w:r w:rsidRPr="009C0C9C">
        <w:t xml:space="preserve">) 2020/2053 of 14 December 2020 on the system of own resources of the European Union and repealing Decision 2014/335/EU, </w:t>
      </w:r>
      <w:proofErr w:type="spellStart"/>
      <w:r w:rsidRPr="009C0C9C">
        <w:t>Euratom</w:t>
      </w:r>
      <w:proofErr w:type="spellEnd"/>
      <w:r w:rsidRPr="009C0C9C">
        <w:t xml:space="preserve"> (OJ L 424, 15.12.2020, p. 1).</w:t>
      </w:r>
      <w:proofErr w:type="gramStart"/>
      <w:r w:rsidRPr="009C0C9C">
        <w:t>’;</w:t>
      </w:r>
      <w:proofErr w:type="gramEnd"/>
    </w:p>
    <w:p w:rsidR="001C2625" w:rsidRPr="009C0C9C" w:rsidRDefault="001C2625" w:rsidP="001C2625">
      <w:pPr>
        <w:pStyle w:val="Point0"/>
        <w:spacing w:before="0" w:after="240" w:line="240" w:lineRule="auto"/>
      </w:pPr>
      <w:r w:rsidRPr="009C0C9C">
        <w:br w:type="page"/>
      </w:r>
      <w:r w:rsidRPr="009C0C9C">
        <w:lastRenderedPageBreak/>
        <w:t>(7)</w:t>
      </w:r>
      <w:r w:rsidRPr="009C0C9C">
        <w:tab/>
      </w:r>
      <w:proofErr w:type="gramStart"/>
      <w:r w:rsidRPr="009C0C9C">
        <w:t>in</w:t>
      </w:r>
      <w:proofErr w:type="gramEnd"/>
      <w:r w:rsidRPr="009C0C9C">
        <w:t xml:space="preserve"> Article 11, the following paragraph is inserted:</w:t>
      </w:r>
    </w:p>
    <w:p w:rsidR="001C2625" w:rsidRPr="009C0C9C" w:rsidRDefault="001C2625" w:rsidP="001C2625">
      <w:pPr>
        <w:pStyle w:val="Point1"/>
        <w:spacing w:before="0" w:after="240" w:line="240" w:lineRule="auto"/>
      </w:pPr>
      <w:r w:rsidRPr="009C0C9C">
        <w:t>‘3a.</w:t>
      </w:r>
      <w:r w:rsidRPr="009C0C9C">
        <w:tab/>
        <w:t>The maximum amount for the annual adjustment referred to in paragraph 3 of this Article for the year 2026, increased by the amount referred to in the second subparagraph of Article 5(2), shall be adjusted by the amount equivalent to the unused portion of the maximum amount for year 2025.’;</w:t>
      </w:r>
    </w:p>
    <w:p w:rsidR="001C2625" w:rsidRPr="009C0C9C" w:rsidRDefault="001C2625" w:rsidP="001C2625">
      <w:pPr>
        <w:pStyle w:val="Point0"/>
        <w:spacing w:before="0" w:after="240" w:line="240" w:lineRule="auto"/>
      </w:pPr>
      <w:r w:rsidRPr="009C0C9C">
        <w:t>(8)</w:t>
      </w:r>
      <w:r w:rsidRPr="009C0C9C">
        <w:tab/>
        <w:t xml:space="preserve">Article 12 </w:t>
      </w:r>
      <w:proofErr w:type="gramStart"/>
      <w:r w:rsidRPr="009C0C9C">
        <w:t>is replaced</w:t>
      </w:r>
      <w:proofErr w:type="gramEnd"/>
      <w:r w:rsidRPr="009C0C9C">
        <w:t xml:space="preserve"> by the following:</w:t>
      </w:r>
    </w:p>
    <w:p w:rsidR="001C2625" w:rsidRPr="009C0C9C" w:rsidRDefault="001C2625" w:rsidP="001C2625">
      <w:pPr>
        <w:pStyle w:val="Text1"/>
        <w:spacing w:before="0" w:after="240" w:line="240" w:lineRule="auto"/>
      </w:pPr>
      <w:r w:rsidRPr="009C0C9C">
        <w:t>‘</w:t>
      </w:r>
      <w:r w:rsidRPr="009C0C9C">
        <w:rPr>
          <w:i/>
          <w:iCs/>
        </w:rPr>
        <w:t xml:space="preserve">Article 12 </w:t>
      </w:r>
      <w:r w:rsidRPr="009C0C9C">
        <w:rPr>
          <w:i/>
          <w:iCs/>
        </w:rPr>
        <w:br/>
        <w:t>Flexibility Instrument</w:t>
      </w:r>
    </w:p>
    <w:p w:rsidR="001C2625" w:rsidRPr="009C0C9C" w:rsidRDefault="001C2625" w:rsidP="001C2625">
      <w:pPr>
        <w:pStyle w:val="Point1"/>
        <w:spacing w:before="0" w:after="240" w:line="240" w:lineRule="auto"/>
      </w:pPr>
      <w:r w:rsidRPr="009C0C9C">
        <w:t>1.</w:t>
      </w:r>
      <w:r w:rsidRPr="009C0C9C">
        <w:tab/>
        <w:t xml:space="preserve">The Flexibility Instrument </w:t>
      </w:r>
      <w:proofErr w:type="gramStart"/>
      <w:r w:rsidRPr="009C0C9C">
        <w:t>may be used</w:t>
      </w:r>
      <w:proofErr w:type="gramEnd"/>
      <w:r w:rsidRPr="009C0C9C">
        <w:t xml:space="preserve"> for the financing, for a given financial year, of specific unforeseen expenditure in commitment appropriations and corresponding payment appropriations that cannot be financed within the limits of the ceilings available for one or more other headings. The ceiling for the annual amount available for the Flexibility Instrument in the years 2021 to 2023 shall be EUR 915 million (in 2018 prices). The ceiling for the annual amount available for the Flexibility Instrument in the years 2024 to 2027 shall be EUR 1 346 million (in 2018 prices).</w:t>
      </w:r>
    </w:p>
    <w:p w:rsidR="001C2625" w:rsidRPr="009C0C9C" w:rsidRDefault="001C2625" w:rsidP="001C2625">
      <w:pPr>
        <w:pStyle w:val="Text2"/>
        <w:spacing w:before="0" w:after="240" w:line="240" w:lineRule="auto"/>
      </w:pPr>
      <w:r w:rsidRPr="009C0C9C">
        <w:t xml:space="preserve">Each year, the annual amount available for the Flexibility Instrument shall be increased by an amount equivalent to the portions of the annual amounts for the European Solidarity Reserve and the Emergency Aid </w:t>
      </w:r>
      <w:proofErr w:type="gramStart"/>
      <w:r w:rsidRPr="009C0C9C">
        <w:t>Reserve which</w:t>
      </w:r>
      <w:proofErr w:type="gramEnd"/>
      <w:r w:rsidRPr="009C0C9C">
        <w:t xml:space="preserve"> have lapsed in the previous year in accordance with Article 9.</w:t>
      </w:r>
    </w:p>
    <w:p w:rsidR="001C2625" w:rsidRPr="009C0C9C" w:rsidRDefault="001C2625" w:rsidP="001C2625">
      <w:pPr>
        <w:pStyle w:val="Point1"/>
        <w:spacing w:before="0" w:after="240" w:line="240" w:lineRule="auto"/>
      </w:pPr>
      <w:r w:rsidRPr="009C0C9C">
        <w:br w:type="page"/>
      </w:r>
      <w:r w:rsidRPr="009C0C9C">
        <w:lastRenderedPageBreak/>
        <w:t>2.</w:t>
      </w:r>
      <w:r w:rsidRPr="009C0C9C">
        <w:tab/>
        <w:t xml:space="preserve">The unused portion of the annual amount of the Flexibility Instrument </w:t>
      </w:r>
      <w:proofErr w:type="gramStart"/>
      <w:r w:rsidRPr="009C0C9C">
        <w:t>may be used up</w:t>
      </w:r>
      <w:proofErr w:type="gramEnd"/>
      <w:r w:rsidRPr="009C0C9C">
        <w:t xml:space="preserve"> to year n+2. Any portion of the annual amount stemming from previous years </w:t>
      </w:r>
      <w:proofErr w:type="gramStart"/>
      <w:r w:rsidRPr="009C0C9C">
        <w:t>shall be used</w:t>
      </w:r>
      <w:proofErr w:type="gramEnd"/>
      <w:r w:rsidRPr="009C0C9C">
        <w:t xml:space="preserve"> first, in order of age. Any portion of the annual amount from year n which is not used by year n+2 shall </w:t>
      </w:r>
      <w:proofErr w:type="gramStart"/>
      <w:r w:rsidRPr="009C0C9C">
        <w:t>lapse.’;</w:t>
      </w:r>
      <w:proofErr w:type="gramEnd"/>
    </w:p>
    <w:p w:rsidR="001C2625" w:rsidRPr="009C0C9C" w:rsidRDefault="001C2625" w:rsidP="001C2625">
      <w:pPr>
        <w:pStyle w:val="Point0"/>
        <w:spacing w:before="0" w:after="240" w:line="240" w:lineRule="auto"/>
      </w:pPr>
      <w:r w:rsidRPr="009C0C9C">
        <w:t>(9)</w:t>
      </w:r>
      <w:r w:rsidRPr="009C0C9C">
        <w:tab/>
        <w:t xml:space="preserve">Annexes I and II </w:t>
      </w:r>
      <w:proofErr w:type="gramStart"/>
      <w:r w:rsidRPr="009C0C9C">
        <w:t>are replaced</w:t>
      </w:r>
      <w:proofErr w:type="gramEnd"/>
      <w:r w:rsidRPr="009C0C9C">
        <w:t xml:space="preserve"> by the text set out in the Annex to this Regulation.</w:t>
      </w:r>
    </w:p>
    <w:p w:rsidR="001C2625" w:rsidRPr="009C0C9C" w:rsidRDefault="001C2625" w:rsidP="001C2625">
      <w:pPr>
        <w:pStyle w:val="Titrearticle"/>
        <w:spacing w:before="0" w:after="240" w:line="240" w:lineRule="auto"/>
      </w:pPr>
      <w:r w:rsidRPr="009C0C9C">
        <w:t>Article 2</w:t>
      </w:r>
    </w:p>
    <w:p w:rsidR="001C2625" w:rsidRPr="009C0C9C" w:rsidRDefault="001C2625" w:rsidP="001C2625">
      <w:pPr>
        <w:spacing w:after="240"/>
      </w:pPr>
      <w:r w:rsidRPr="009C0C9C">
        <w:t xml:space="preserve">This Regulation shall enter into force on the day of its publication in the </w:t>
      </w:r>
      <w:r w:rsidRPr="009C0C9C">
        <w:rPr>
          <w:i/>
          <w:iCs/>
        </w:rPr>
        <w:t>Official Journal of the European Union</w:t>
      </w:r>
      <w:r w:rsidRPr="009C0C9C">
        <w:t>.</w:t>
      </w:r>
    </w:p>
    <w:p w:rsidR="001C2625" w:rsidRPr="009C0C9C" w:rsidRDefault="001C2625" w:rsidP="001C2625">
      <w:pPr>
        <w:spacing w:after="240"/>
      </w:pPr>
      <w:r w:rsidRPr="009C0C9C">
        <w:t>It shall apply from 1 January 2024.</w:t>
      </w:r>
    </w:p>
    <w:p w:rsidR="001C2625" w:rsidRPr="009C0C9C" w:rsidRDefault="001C2625" w:rsidP="001C2625">
      <w:pPr>
        <w:pStyle w:val="Applicationdirecte"/>
        <w:spacing w:before="0" w:after="240" w:line="240" w:lineRule="auto"/>
      </w:pPr>
      <w:r w:rsidRPr="009C0C9C">
        <w:t>This Regulation shall be binding in its entirety and directly applicable in all Member States.</w:t>
      </w:r>
    </w:p>
    <w:p w:rsidR="001C2625" w:rsidRPr="009C0C9C" w:rsidRDefault="001C2625" w:rsidP="001C2625">
      <w:pPr>
        <w:pStyle w:val="Fait"/>
        <w:spacing w:before="0" w:after="240" w:line="240" w:lineRule="auto"/>
      </w:pPr>
      <w:r w:rsidRPr="009C0C9C">
        <w:t>Done at …,</w:t>
      </w:r>
    </w:p>
    <w:p w:rsidR="001C2625" w:rsidRPr="009C0C9C" w:rsidRDefault="001C2625" w:rsidP="001C2625">
      <w:pPr>
        <w:pStyle w:val="Institutionquisigne"/>
        <w:spacing w:before="0" w:after="240" w:line="240" w:lineRule="auto"/>
      </w:pPr>
      <w:r w:rsidRPr="009C0C9C">
        <w:tab/>
        <w:t>For the Council</w:t>
      </w:r>
    </w:p>
    <w:p w:rsidR="001C2625" w:rsidRPr="009C0C9C" w:rsidRDefault="001C2625" w:rsidP="001C2625">
      <w:pPr>
        <w:pStyle w:val="Personnequisigne"/>
        <w:spacing w:after="240" w:line="240" w:lineRule="auto"/>
      </w:pPr>
      <w:r w:rsidRPr="009C0C9C">
        <w:tab/>
        <w:t>The President</w:t>
      </w:r>
    </w:p>
    <w:p w:rsidR="001C2625" w:rsidRPr="009C0C9C" w:rsidRDefault="001C2625" w:rsidP="001C2625">
      <w:pPr>
        <w:pStyle w:val="Lignefinal"/>
      </w:pPr>
    </w:p>
    <w:p w:rsidR="001C2625" w:rsidRPr="009C0C9C" w:rsidRDefault="001C2625" w:rsidP="001C2625"/>
    <w:p w:rsidR="001C2625" w:rsidRPr="009C0C9C" w:rsidRDefault="001C2625" w:rsidP="001C2625">
      <w:pPr>
        <w:sectPr w:rsidR="001C2625" w:rsidRPr="009C0C9C" w:rsidSect="009C0C9C">
          <w:footnotePr>
            <w:numRestart w:val="eachSect"/>
          </w:footnotePr>
          <w:endnotePr>
            <w:numFmt w:val="decimal"/>
          </w:endnotePr>
          <w:pgSz w:w="11907" w:h="16839"/>
          <w:pgMar w:top="1134" w:right="1134" w:bottom="1134" w:left="1134" w:header="567" w:footer="567" w:gutter="0"/>
          <w:cols w:space="720"/>
          <w:docGrid w:linePitch="326"/>
        </w:sectPr>
      </w:pPr>
    </w:p>
    <w:p w:rsidR="001C2625" w:rsidRPr="009C0C9C" w:rsidRDefault="001C2625" w:rsidP="001C2625">
      <w:pPr>
        <w:pStyle w:val="Annexetitre"/>
      </w:pPr>
      <w:r w:rsidRPr="009C0C9C">
        <w:lastRenderedPageBreak/>
        <w:t>ANNEX</w:t>
      </w:r>
    </w:p>
    <w:p w:rsidR="001C2625" w:rsidRPr="009C0C9C" w:rsidRDefault="001C2625" w:rsidP="001C2625">
      <w:pPr>
        <w:pStyle w:val="NormalCentered"/>
      </w:pPr>
      <w:r w:rsidRPr="009C0C9C">
        <w:t>‘ANNEX I</w:t>
      </w:r>
      <w:r w:rsidRPr="009C0C9C">
        <w:br/>
        <w:t>MULTIANNUAL FINANCIAL FRAMEWORK (EU-27)</w:t>
      </w:r>
    </w:p>
    <w:tbl>
      <w:tblPr>
        <w:tblW w:w="5050" w:type="pct"/>
        <w:tblLook w:val="04A0" w:firstRow="1" w:lastRow="0" w:firstColumn="1" w:lastColumn="0" w:noHBand="0" w:noVBand="1"/>
      </w:tblPr>
      <w:tblGrid>
        <w:gridCol w:w="6501"/>
        <w:gridCol w:w="996"/>
        <w:gridCol w:w="996"/>
        <w:gridCol w:w="996"/>
        <w:gridCol w:w="996"/>
        <w:gridCol w:w="996"/>
        <w:gridCol w:w="996"/>
        <w:gridCol w:w="996"/>
        <w:gridCol w:w="1176"/>
      </w:tblGrid>
      <w:tr w:rsidR="001C2625" w:rsidRPr="009C0C9C" w:rsidTr="00101080">
        <w:trPr>
          <w:trHeight w:val="315"/>
          <w:tblHeader/>
        </w:trPr>
        <w:tc>
          <w:tcPr>
            <w:tcW w:w="1927" w:type="pct"/>
            <w:noWrap/>
            <w:vAlign w:val="bottom"/>
            <w:hideMark/>
          </w:tcPr>
          <w:p w:rsidR="001C2625" w:rsidRPr="009C0C9C" w:rsidRDefault="001C2625" w:rsidP="00101080"/>
        </w:tc>
        <w:tc>
          <w:tcPr>
            <w:tcW w:w="347" w:type="pct"/>
            <w:noWrap/>
            <w:vAlign w:val="bottom"/>
            <w:hideMark/>
          </w:tcPr>
          <w:p w:rsidR="001C2625" w:rsidRPr="009C0C9C" w:rsidRDefault="001C2625" w:rsidP="00101080">
            <w:pPr>
              <w:spacing w:after="160" w:line="256" w:lineRule="auto"/>
              <w:rPr>
                <w:rFonts w:asciiTheme="minorHAnsi" w:hAnsiTheme="minorHAnsi" w:cstheme="minorBidi"/>
                <w:sz w:val="20"/>
              </w:rPr>
            </w:pPr>
          </w:p>
        </w:tc>
        <w:tc>
          <w:tcPr>
            <w:tcW w:w="350" w:type="pct"/>
            <w:noWrap/>
            <w:vAlign w:val="bottom"/>
            <w:hideMark/>
          </w:tcPr>
          <w:p w:rsidR="001C2625" w:rsidRPr="009C0C9C" w:rsidRDefault="001C2625" w:rsidP="00101080">
            <w:pPr>
              <w:spacing w:after="160" w:line="256" w:lineRule="auto"/>
              <w:rPr>
                <w:rFonts w:asciiTheme="minorHAnsi" w:hAnsiTheme="minorHAnsi" w:cstheme="minorBidi"/>
                <w:sz w:val="20"/>
              </w:rPr>
            </w:pPr>
          </w:p>
        </w:tc>
        <w:tc>
          <w:tcPr>
            <w:tcW w:w="350" w:type="pct"/>
            <w:noWrap/>
            <w:vAlign w:val="bottom"/>
            <w:hideMark/>
          </w:tcPr>
          <w:p w:rsidR="001C2625" w:rsidRPr="009C0C9C" w:rsidRDefault="001C2625" w:rsidP="00101080">
            <w:pPr>
              <w:spacing w:after="160" w:line="256" w:lineRule="auto"/>
              <w:rPr>
                <w:rFonts w:asciiTheme="minorHAnsi" w:hAnsiTheme="minorHAnsi" w:cstheme="minorBidi"/>
                <w:sz w:val="20"/>
              </w:rPr>
            </w:pPr>
          </w:p>
        </w:tc>
        <w:tc>
          <w:tcPr>
            <w:tcW w:w="350" w:type="pct"/>
            <w:noWrap/>
            <w:vAlign w:val="bottom"/>
            <w:hideMark/>
          </w:tcPr>
          <w:p w:rsidR="001C2625" w:rsidRPr="009C0C9C" w:rsidRDefault="001C2625" w:rsidP="00101080">
            <w:pPr>
              <w:spacing w:after="160" w:line="256" w:lineRule="auto"/>
              <w:rPr>
                <w:rFonts w:asciiTheme="minorHAnsi" w:hAnsiTheme="minorHAnsi" w:cstheme="minorBidi"/>
                <w:sz w:val="20"/>
              </w:rPr>
            </w:pPr>
          </w:p>
        </w:tc>
        <w:tc>
          <w:tcPr>
            <w:tcW w:w="349" w:type="pct"/>
            <w:noWrap/>
            <w:vAlign w:val="bottom"/>
            <w:hideMark/>
          </w:tcPr>
          <w:p w:rsidR="001C2625" w:rsidRPr="009C0C9C" w:rsidRDefault="001C2625" w:rsidP="00101080">
            <w:pPr>
              <w:spacing w:after="160" w:line="256" w:lineRule="auto"/>
              <w:rPr>
                <w:rFonts w:asciiTheme="minorHAnsi" w:hAnsiTheme="minorHAnsi" w:cstheme="minorBidi"/>
                <w:sz w:val="20"/>
              </w:rPr>
            </w:pPr>
          </w:p>
        </w:tc>
        <w:tc>
          <w:tcPr>
            <w:tcW w:w="1327" w:type="pct"/>
            <w:gridSpan w:val="3"/>
            <w:noWrap/>
            <w:vAlign w:val="center"/>
            <w:hideMark/>
          </w:tcPr>
          <w:p w:rsidR="001C2625" w:rsidRPr="009C0C9C" w:rsidRDefault="001C2625" w:rsidP="00101080">
            <w:pPr>
              <w:spacing w:before="60" w:after="60"/>
              <w:jc w:val="right"/>
              <w:rPr>
                <w:szCs w:val="22"/>
                <w:lang w:eastAsia="en-US"/>
              </w:rPr>
            </w:pPr>
            <w:r w:rsidRPr="009C0C9C">
              <w:t>(</w:t>
            </w:r>
            <w:r w:rsidRPr="009C0C9C">
              <w:rPr>
                <w:i/>
                <w:iCs/>
              </w:rPr>
              <w:t>EUR million – 2018 prices</w:t>
            </w:r>
            <w:r w:rsidRPr="009C0C9C">
              <w:t>)</w:t>
            </w:r>
          </w:p>
        </w:tc>
      </w:tr>
      <w:tr w:rsidR="001C2625" w:rsidRPr="009C0C9C" w:rsidTr="00101080">
        <w:trPr>
          <w:trHeight w:val="645"/>
          <w:tblHeader/>
        </w:trPr>
        <w:tc>
          <w:tcPr>
            <w:tcW w:w="1927" w:type="pct"/>
            <w:tcBorders>
              <w:top w:val="single" w:sz="8" w:space="0" w:color="auto"/>
              <w:left w:val="single" w:sz="8" w:space="0" w:color="auto"/>
              <w:bottom w:val="single" w:sz="8" w:space="0" w:color="auto"/>
              <w:right w:val="single" w:sz="4" w:space="0" w:color="auto"/>
            </w:tcBorders>
            <w:noWrap/>
            <w:vAlign w:val="center"/>
            <w:hideMark/>
          </w:tcPr>
          <w:p w:rsidR="001C2625" w:rsidRPr="009C0C9C" w:rsidRDefault="001C2625" w:rsidP="00101080">
            <w:pPr>
              <w:spacing w:before="60" w:after="60"/>
              <w:jc w:val="center"/>
              <w:rPr>
                <w:b/>
                <w:bCs/>
              </w:rPr>
            </w:pPr>
            <w:r w:rsidRPr="009C0C9C">
              <w:rPr>
                <w:b/>
                <w:bCs/>
              </w:rPr>
              <w:t>COMMITMENT APPROPRIATIONS</w:t>
            </w:r>
          </w:p>
        </w:tc>
        <w:tc>
          <w:tcPr>
            <w:tcW w:w="347" w:type="pct"/>
            <w:tcBorders>
              <w:top w:val="single" w:sz="8" w:space="0" w:color="auto"/>
              <w:left w:val="nil"/>
              <w:bottom w:val="single" w:sz="8" w:space="0" w:color="auto"/>
              <w:right w:val="nil"/>
            </w:tcBorders>
            <w:noWrap/>
            <w:vAlign w:val="center"/>
            <w:hideMark/>
          </w:tcPr>
          <w:p w:rsidR="001C2625" w:rsidRPr="009C0C9C" w:rsidRDefault="001C2625" w:rsidP="00101080">
            <w:pPr>
              <w:spacing w:before="60" w:after="60"/>
              <w:jc w:val="center"/>
              <w:rPr>
                <w:b/>
                <w:bCs/>
              </w:rPr>
            </w:pPr>
            <w:r w:rsidRPr="009C0C9C">
              <w:rPr>
                <w:b/>
                <w:bCs/>
              </w:rPr>
              <w:t>2021</w:t>
            </w:r>
          </w:p>
        </w:tc>
        <w:tc>
          <w:tcPr>
            <w:tcW w:w="350" w:type="pct"/>
            <w:tcBorders>
              <w:top w:val="single" w:sz="8" w:space="0" w:color="auto"/>
              <w:left w:val="nil"/>
              <w:bottom w:val="single" w:sz="8" w:space="0" w:color="auto"/>
              <w:right w:val="nil"/>
            </w:tcBorders>
            <w:noWrap/>
            <w:vAlign w:val="center"/>
            <w:hideMark/>
          </w:tcPr>
          <w:p w:rsidR="001C2625" w:rsidRPr="009C0C9C" w:rsidRDefault="001C2625" w:rsidP="00101080">
            <w:pPr>
              <w:spacing w:before="60" w:after="60"/>
              <w:jc w:val="center"/>
              <w:rPr>
                <w:b/>
                <w:bCs/>
              </w:rPr>
            </w:pPr>
            <w:r w:rsidRPr="009C0C9C">
              <w:rPr>
                <w:b/>
                <w:bCs/>
              </w:rPr>
              <w:t>2022</w:t>
            </w:r>
          </w:p>
        </w:tc>
        <w:tc>
          <w:tcPr>
            <w:tcW w:w="350" w:type="pct"/>
            <w:tcBorders>
              <w:top w:val="single" w:sz="8" w:space="0" w:color="auto"/>
              <w:left w:val="nil"/>
              <w:bottom w:val="single" w:sz="8" w:space="0" w:color="auto"/>
              <w:right w:val="nil"/>
            </w:tcBorders>
            <w:noWrap/>
            <w:vAlign w:val="center"/>
            <w:hideMark/>
          </w:tcPr>
          <w:p w:rsidR="001C2625" w:rsidRPr="009C0C9C" w:rsidRDefault="001C2625" w:rsidP="00101080">
            <w:pPr>
              <w:spacing w:before="60" w:after="60"/>
              <w:jc w:val="center"/>
              <w:rPr>
                <w:b/>
                <w:bCs/>
              </w:rPr>
            </w:pPr>
            <w:r w:rsidRPr="009C0C9C">
              <w:rPr>
                <w:b/>
                <w:bCs/>
              </w:rPr>
              <w:t>2023</w:t>
            </w:r>
          </w:p>
        </w:tc>
        <w:tc>
          <w:tcPr>
            <w:tcW w:w="350" w:type="pct"/>
            <w:tcBorders>
              <w:top w:val="single" w:sz="8" w:space="0" w:color="auto"/>
              <w:left w:val="nil"/>
              <w:bottom w:val="single" w:sz="8" w:space="0" w:color="auto"/>
              <w:right w:val="nil"/>
            </w:tcBorders>
            <w:noWrap/>
            <w:vAlign w:val="center"/>
            <w:hideMark/>
          </w:tcPr>
          <w:p w:rsidR="001C2625" w:rsidRPr="009C0C9C" w:rsidRDefault="001C2625" w:rsidP="00101080">
            <w:pPr>
              <w:spacing w:before="60" w:after="60"/>
              <w:jc w:val="center"/>
              <w:rPr>
                <w:b/>
                <w:bCs/>
              </w:rPr>
            </w:pPr>
            <w:r w:rsidRPr="009C0C9C">
              <w:rPr>
                <w:b/>
                <w:bCs/>
              </w:rPr>
              <w:t>2024</w:t>
            </w:r>
          </w:p>
        </w:tc>
        <w:tc>
          <w:tcPr>
            <w:tcW w:w="349" w:type="pct"/>
            <w:tcBorders>
              <w:top w:val="single" w:sz="8" w:space="0" w:color="auto"/>
              <w:left w:val="nil"/>
              <w:bottom w:val="single" w:sz="8" w:space="0" w:color="auto"/>
              <w:right w:val="nil"/>
            </w:tcBorders>
            <w:noWrap/>
            <w:vAlign w:val="center"/>
            <w:hideMark/>
          </w:tcPr>
          <w:p w:rsidR="001C2625" w:rsidRPr="009C0C9C" w:rsidRDefault="001C2625" w:rsidP="00101080">
            <w:pPr>
              <w:spacing w:before="60" w:after="60"/>
              <w:jc w:val="center"/>
              <w:rPr>
                <w:b/>
                <w:bCs/>
              </w:rPr>
            </w:pPr>
            <w:r w:rsidRPr="009C0C9C">
              <w:rPr>
                <w:b/>
                <w:bCs/>
              </w:rPr>
              <w:t>2025</w:t>
            </w:r>
          </w:p>
        </w:tc>
        <w:tc>
          <w:tcPr>
            <w:tcW w:w="348" w:type="pct"/>
            <w:tcBorders>
              <w:top w:val="single" w:sz="8" w:space="0" w:color="auto"/>
              <w:left w:val="nil"/>
              <w:bottom w:val="single" w:sz="8" w:space="0" w:color="auto"/>
              <w:right w:val="nil"/>
            </w:tcBorders>
            <w:noWrap/>
            <w:vAlign w:val="center"/>
            <w:hideMark/>
          </w:tcPr>
          <w:p w:rsidR="001C2625" w:rsidRPr="009C0C9C" w:rsidRDefault="001C2625" w:rsidP="00101080">
            <w:pPr>
              <w:spacing w:before="60" w:after="60"/>
              <w:jc w:val="center"/>
              <w:rPr>
                <w:b/>
                <w:bCs/>
              </w:rPr>
            </w:pPr>
            <w:r w:rsidRPr="009C0C9C">
              <w:rPr>
                <w:b/>
                <w:bCs/>
              </w:rPr>
              <w:t>2026</w:t>
            </w:r>
          </w:p>
        </w:tc>
        <w:tc>
          <w:tcPr>
            <w:tcW w:w="340" w:type="pct"/>
            <w:tcBorders>
              <w:top w:val="single" w:sz="8" w:space="0" w:color="auto"/>
              <w:left w:val="nil"/>
              <w:bottom w:val="single" w:sz="8" w:space="0" w:color="auto"/>
              <w:right w:val="nil"/>
            </w:tcBorders>
            <w:noWrap/>
            <w:vAlign w:val="center"/>
            <w:hideMark/>
          </w:tcPr>
          <w:p w:rsidR="001C2625" w:rsidRPr="009C0C9C" w:rsidRDefault="001C2625" w:rsidP="00101080">
            <w:pPr>
              <w:spacing w:before="60" w:after="60"/>
              <w:jc w:val="center"/>
              <w:rPr>
                <w:b/>
                <w:bCs/>
              </w:rPr>
            </w:pPr>
            <w:r w:rsidRPr="009C0C9C">
              <w:rPr>
                <w:b/>
                <w:bCs/>
              </w:rPr>
              <w:t>2027</w:t>
            </w:r>
          </w:p>
        </w:tc>
        <w:tc>
          <w:tcPr>
            <w:tcW w:w="639" w:type="pct"/>
            <w:tcBorders>
              <w:top w:val="single" w:sz="8" w:space="0" w:color="auto"/>
              <w:left w:val="single" w:sz="4" w:space="0" w:color="auto"/>
              <w:bottom w:val="single" w:sz="8" w:space="0" w:color="auto"/>
              <w:right w:val="single" w:sz="8" w:space="0" w:color="auto"/>
            </w:tcBorders>
            <w:vAlign w:val="center"/>
            <w:hideMark/>
          </w:tcPr>
          <w:p w:rsidR="001C2625" w:rsidRPr="009C0C9C" w:rsidRDefault="001C2625" w:rsidP="00101080">
            <w:pPr>
              <w:spacing w:before="60" w:after="60"/>
              <w:jc w:val="center"/>
              <w:rPr>
                <w:b/>
                <w:bCs/>
              </w:rPr>
            </w:pPr>
            <w:r w:rsidRPr="009C0C9C">
              <w:rPr>
                <w:b/>
                <w:bCs/>
              </w:rPr>
              <w:t>Total</w:t>
            </w:r>
            <w:r w:rsidRPr="009C0C9C">
              <w:rPr>
                <w:b/>
                <w:bCs/>
              </w:rPr>
              <w:br/>
              <w:t>2021-2027</w:t>
            </w:r>
          </w:p>
        </w:tc>
      </w:tr>
      <w:tr w:rsidR="001C2625" w:rsidRPr="009C0C9C" w:rsidTr="00101080">
        <w:trPr>
          <w:trHeight w:val="300"/>
        </w:trPr>
        <w:tc>
          <w:tcPr>
            <w:tcW w:w="1927" w:type="pct"/>
            <w:tcBorders>
              <w:top w:val="nil"/>
              <w:left w:val="single" w:sz="8" w:space="0" w:color="auto"/>
              <w:bottom w:val="nil"/>
              <w:right w:val="single" w:sz="4" w:space="0" w:color="auto"/>
            </w:tcBorders>
            <w:noWrap/>
            <w:vAlign w:val="center"/>
            <w:hideMark/>
          </w:tcPr>
          <w:p w:rsidR="001C2625" w:rsidRPr="009C0C9C" w:rsidRDefault="001C2625" w:rsidP="00101080">
            <w:pPr>
              <w:spacing w:before="60" w:after="60"/>
              <w:rPr>
                <w:b/>
                <w:bCs/>
              </w:rPr>
            </w:pPr>
            <w:r w:rsidRPr="009C0C9C">
              <w:rPr>
                <w:b/>
                <w:bCs/>
              </w:rPr>
              <w:t>1.</w:t>
            </w:r>
            <w:r w:rsidRPr="009C0C9C">
              <w:rPr>
                <w:b/>
                <w:bCs/>
              </w:rPr>
              <w:tab/>
              <w:t>Single Market, Innovation and Digital</w:t>
            </w:r>
          </w:p>
        </w:tc>
        <w:tc>
          <w:tcPr>
            <w:tcW w:w="347" w:type="pct"/>
            <w:noWrap/>
            <w:vAlign w:val="center"/>
            <w:hideMark/>
          </w:tcPr>
          <w:p w:rsidR="001C2625" w:rsidRPr="009C0C9C" w:rsidRDefault="001C2625" w:rsidP="00101080">
            <w:pPr>
              <w:spacing w:before="60" w:after="60"/>
              <w:jc w:val="right"/>
              <w:rPr>
                <w:b/>
                <w:bCs/>
              </w:rPr>
            </w:pPr>
            <w:r w:rsidRPr="009C0C9C">
              <w:rPr>
                <w:b/>
                <w:bCs/>
              </w:rPr>
              <w:t>19 712</w:t>
            </w:r>
          </w:p>
        </w:tc>
        <w:tc>
          <w:tcPr>
            <w:tcW w:w="350" w:type="pct"/>
            <w:noWrap/>
            <w:vAlign w:val="center"/>
            <w:hideMark/>
          </w:tcPr>
          <w:p w:rsidR="001C2625" w:rsidRPr="009C0C9C" w:rsidRDefault="001C2625" w:rsidP="00101080">
            <w:pPr>
              <w:spacing w:before="60" w:after="60"/>
              <w:jc w:val="right"/>
              <w:rPr>
                <w:b/>
                <w:bCs/>
              </w:rPr>
            </w:pPr>
            <w:r w:rsidRPr="009C0C9C">
              <w:rPr>
                <w:b/>
                <w:bCs/>
              </w:rPr>
              <w:t>20 211</w:t>
            </w:r>
          </w:p>
        </w:tc>
        <w:tc>
          <w:tcPr>
            <w:tcW w:w="350" w:type="pct"/>
            <w:noWrap/>
            <w:vAlign w:val="center"/>
            <w:hideMark/>
          </w:tcPr>
          <w:p w:rsidR="001C2625" w:rsidRPr="009C0C9C" w:rsidRDefault="001C2625" w:rsidP="00101080">
            <w:pPr>
              <w:spacing w:before="60" w:after="60"/>
              <w:jc w:val="right"/>
              <w:rPr>
                <w:b/>
                <w:bCs/>
              </w:rPr>
            </w:pPr>
            <w:r w:rsidRPr="009C0C9C">
              <w:rPr>
                <w:b/>
                <w:bCs/>
              </w:rPr>
              <w:t>19 678</w:t>
            </w:r>
          </w:p>
        </w:tc>
        <w:tc>
          <w:tcPr>
            <w:tcW w:w="350" w:type="pct"/>
            <w:noWrap/>
            <w:vAlign w:val="center"/>
            <w:hideMark/>
          </w:tcPr>
          <w:p w:rsidR="001C2625" w:rsidRPr="009C0C9C" w:rsidRDefault="001C2625" w:rsidP="00101080">
            <w:pPr>
              <w:spacing w:before="60" w:after="60"/>
              <w:jc w:val="right"/>
              <w:rPr>
                <w:b/>
                <w:bCs/>
              </w:rPr>
            </w:pPr>
            <w:r w:rsidRPr="009C0C9C">
              <w:rPr>
                <w:b/>
                <w:bCs/>
              </w:rPr>
              <w:t>19 178</w:t>
            </w:r>
          </w:p>
        </w:tc>
        <w:tc>
          <w:tcPr>
            <w:tcW w:w="349" w:type="pct"/>
            <w:noWrap/>
            <w:vAlign w:val="center"/>
            <w:hideMark/>
          </w:tcPr>
          <w:p w:rsidR="001C2625" w:rsidRPr="009C0C9C" w:rsidRDefault="001C2625" w:rsidP="00101080">
            <w:pPr>
              <w:spacing w:before="60" w:after="60"/>
              <w:jc w:val="right"/>
              <w:rPr>
                <w:b/>
                <w:bCs/>
              </w:rPr>
            </w:pPr>
            <w:r w:rsidRPr="009C0C9C">
              <w:rPr>
                <w:b/>
                <w:bCs/>
              </w:rPr>
              <w:t>18 173</w:t>
            </w:r>
          </w:p>
        </w:tc>
        <w:tc>
          <w:tcPr>
            <w:tcW w:w="348" w:type="pct"/>
            <w:noWrap/>
            <w:vAlign w:val="center"/>
            <w:hideMark/>
          </w:tcPr>
          <w:p w:rsidR="001C2625" w:rsidRPr="009C0C9C" w:rsidRDefault="001C2625" w:rsidP="00101080">
            <w:pPr>
              <w:spacing w:before="60" w:after="60"/>
              <w:jc w:val="right"/>
              <w:rPr>
                <w:b/>
                <w:bCs/>
              </w:rPr>
            </w:pPr>
            <w:r w:rsidRPr="009C0C9C">
              <w:rPr>
                <w:b/>
                <w:bCs/>
              </w:rPr>
              <w:t>18 120</w:t>
            </w:r>
          </w:p>
        </w:tc>
        <w:tc>
          <w:tcPr>
            <w:tcW w:w="340" w:type="pct"/>
            <w:noWrap/>
            <w:vAlign w:val="center"/>
            <w:hideMark/>
          </w:tcPr>
          <w:p w:rsidR="001C2625" w:rsidRPr="009C0C9C" w:rsidRDefault="001C2625" w:rsidP="00101080">
            <w:pPr>
              <w:spacing w:before="60" w:after="60"/>
              <w:jc w:val="right"/>
              <w:rPr>
                <w:b/>
                <w:bCs/>
              </w:rPr>
            </w:pPr>
            <w:r w:rsidRPr="009C0C9C">
              <w:rPr>
                <w:b/>
                <w:bCs/>
              </w:rPr>
              <w:t>17 565</w:t>
            </w:r>
          </w:p>
        </w:tc>
        <w:tc>
          <w:tcPr>
            <w:tcW w:w="639" w:type="pct"/>
            <w:tcBorders>
              <w:top w:val="nil"/>
              <w:left w:val="single" w:sz="4" w:space="0" w:color="auto"/>
              <w:bottom w:val="nil"/>
              <w:right w:val="single" w:sz="8" w:space="0" w:color="auto"/>
            </w:tcBorders>
            <w:noWrap/>
            <w:vAlign w:val="center"/>
            <w:hideMark/>
          </w:tcPr>
          <w:p w:rsidR="001C2625" w:rsidRPr="009C0C9C" w:rsidRDefault="001C2625" w:rsidP="00101080">
            <w:pPr>
              <w:spacing w:before="60" w:after="60"/>
              <w:jc w:val="right"/>
              <w:rPr>
                <w:b/>
                <w:bCs/>
              </w:rPr>
            </w:pPr>
            <w:r w:rsidRPr="009C0C9C">
              <w:rPr>
                <w:b/>
                <w:bCs/>
              </w:rPr>
              <w:t>132 637</w:t>
            </w:r>
          </w:p>
        </w:tc>
      </w:tr>
      <w:tr w:rsidR="001C2625" w:rsidRPr="009C0C9C" w:rsidTr="00101080">
        <w:trPr>
          <w:trHeight w:val="300"/>
        </w:trPr>
        <w:tc>
          <w:tcPr>
            <w:tcW w:w="1927" w:type="pct"/>
            <w:tcBorders>
              <w:top w:val="nil"/>
              <w:left w:val="single" w:sz="8" w:space="0" w:color="auto"/>
              <w:bottom w:val="nil"/>
              <w:right w:val="single" w:sz="4" w:space="0" w:color="auto"/>
            </w:tcBorders>
            <w:noWrap/>
            <w:vAlign w:val="center"/>
            <w:hideMark/>
          </w:tcPr>
          <w:p w:rsidR="001C2625" w:rsidRPr="009C0C9C" w:rsidRDefault="001C2625" w:rsidP="00101080">
            <w:pPr>
              <w:spacing w:before="60" w:after="60"/>
              <w:rPr>
                <w:b/>
                <w:bCs/>
              </w:rPr>
            </w:pPr>
            <w:r w:rsidRPr="009C0C9C">
              <w:rPr>
                <w:b/>
                <w:bCs/>
              </w:rPr>
              <w:t>2.</w:t>
            </w:r>
            <w:r w:rsidRPr="009C0C9C">
              <w:rPr>
                <w:b/>
                <w:bCs/>
              </w:rPr>
              <w:tab/>
              <w:t>Cohesion, Resilience and Values</w:t>
            </w:r>
          </w:p>
        </w:tc>
        <w:tc>
          <w:tcPr>
            <w:tcW w:w="347" w:type="pct"/>
            <w:noWrap/>
            <w:vAlign w:val="center"/>
            <w:hideMark/>
          </w:tcPr>
          <w:p w:rsidR="001C2625" w:rsidRPr="009C0C9C" w:rsidRDefault="001C2625" w:rsidP="00101080">
            <w:pPr>
              <w:spacing w:before="60" w:after="60"/>
              <w:jc w:val="right"/>
              <w:rPr>
                <w:b/>
                <w:bCs/>
              </w:rPr>
            </w:pPr>
            <w:r w:rsidRPr="009C0C9C">
              <w:rPr>
                <w:b/>
                <w:bCs/>
              </w:rPr>
              <w:t>5 996</w:t>
            </w:r>
          </w:p>
        </w:tc>
        <w:tc>
          <w:tcPr>
            <w:tcW w:w="350" w:type="pct"/>
            <w:noWrap/>
            <w:vAlign w:val="center"/>
            <w:hideMark/>
          </w:tcPr>
          <w:p w:rsidR="001C2625" w:rsidRPr="009C0C9C" w:rsidRDefault="001C2625" w:rsidP="00101080">
            <w:pPr>
              <w:spacing w:before="60" w:after="60"/>
              <w:jc w:val="right"/>
              <w:rPr>
                <w:b/>
                <w:bCs/>
              </w:rPr>
            </w:pPr>
            <w:r w:rsidRPr="009C0C9C">
              <w:rPr>
                <w:b/>
                <w:bCs/>
              </w:rPr>
              <w:t>62 642</w:t>
            </w:r>
          </w:p>
        </w:tc>
        <w:tc>
          <w:tcPr>
            <w:tcW w:w="350" w:type="pct"/>
            <w:noWrap/>
            <w:vAlign w:val="center"/>
            <w:hideMark/>
          </w:tcPr>
          <w:p w:rsidR="001C2625" w:rsidRPr="009C0C9C" w:rsidRDefault="001C2625" w:rsidP="00101080">
            <w:pPr>
              <w:spacing w:before="60" w:after="60"/>
              <w:jc w:val="right"/>
              <w:rPr>
                <w:b/>
                <w:bCs/>
              </w:rPr>
            </w:pPr>
            <w:r w:rsidRPr="009C0C9C">
              <w:rPr>
                <w:b/>
                <w:bCs/>
              </w:rPr>
              <w:t>63 525</w:t>
            </w:r>
          </w:p>
        </w:tc>
        <w:tc>
          <w:tcPr>
            <w:tcW w:w="350" w:type="pct"/>
            <w:noWrap/>
            <w:vAlign w:val="center"/>
            <w:hideMark/>
          </w:tcPr>
          <w:p w:rsidR="001C2625" w:rsidRPr="009C0C9C" w:rsidRDefault="001C2625" w:rsidP="00101080">
            <w:pPr>
              <w:spacing w:before="60" w:after="60"/>
              <w:jc w:val="right"/>
              <w:rPr>
                <w:b/>
                <w:bCs/>
              </w:rPr>
            </w:pPr>
            <w:r w:rsidRPr="009C0C9C">
              <w:rPr>
                <w:b/>
                <w:bCs/>
              </w:rPr>
              <w:t>65 079</w:t>
            </w:r>
          </w:p>
        </w:tc>
        <w:tc>
          <w:tcPr>
            <w:tcW w:w="349" w:type="pct"/>
            <w:noWrap/>
            <w:vAlign w:val="center"/>
            <w:hideMark/>
          </w:tcPr>
          <w:p w:rsidR="001C2625" w:rsidRPr="009C0C9C" w:rsidRDefault="001C2625" w:rsidP="00101080">
            <w:pPr>
              <w:spacing w:before="60" w:after="60"/>
              <w:jc w:val="right"/>
              <w:rPr>
                <w:b/>
                <w:bCs/>
              </w:rPr>
            </w:pPr>
            <w:r w:rsidRPr="009C0C9C">
              <w:rPr>
                <w:b/>
                <w:bCs/>
              </w:rPr>
              <w:t>65 184</w:t>
            </w:r>
          </w:p>
        </w:tc>
        <w:tc>
          <w:tcPr>
            <w:tcW w:w="348" w:type="pct"/>
            <w:noWrap/>
            <w:vAlign w:val="center"/>
            <w:hideMark/>
          </w:tcPr>
          <w:p w:rsidR="001C2625" w:rsidRPr="009C0C9C" w:rsidRDefault="001C2625" w:rsidP="00101080">
            <w:pPr>
              <w:spacing w:before="60" w:after="60"/>
              <w:jc w:val="right"/>
              <w:rPr>
                <w:b/>
                <w:bCs/>
              </w:rPr>
            </w:pPr>
            <w:r w:rsidRPr="009C0C9C">
              <w:rPr>
                <w:b/>
                <w:bCs/>
              </w:rPr>
              <w:t>56 675</w:t>
            </w:r>
          </w:p>
        </w:tc>
        <w:tc>
          <w:tcPr>
            <w:tcW w:w="340" w:type="pct"/>
            <w:noWrap/>
            <w:vAlign w:val="center"/>
            <w:hideMark/>
          </w:tcPr>
          <w:p w:rsidR="001C2625" w:rsidRPr="009C0C9C" w:rsidRDefault="001C2625" w:rsidP="00101080">
            <w:pPr>
              <w:spacing w:before="60" w:after="60"/>
              <w:jc w:val="right"/>
              <w:rPr>
                <w:b/>
                <w:bCs/>
              </w:rPr>
            </w:pPr>
            <w:r w:rsidRPr="009C0C9C">
              <w:rPr>
                <w:b/>
                <w:bCs/>
              </w:rPr>
              <w:t>58 680</w:t>
            </w:r>
          </w:p>
        </w:tc>
        <w:tc>
          <w:tcPr>
            <w:tcW w:w="639" w:type="pct"/>
            <w:tcBorders>
              <w:top w:val="nil"/>
              <w:left w:val="single" w:sz="4" w:space="0" w:color="auto"/>
              <w:bottom w:val="nil"/>
              <w:right w:val="single" w:sz="8" w:space="0" w:color="auto"/>
            </w:tcBorders>
            <w:noWrap/>
            <w:vAlign w:val="center"/>
            <w:hideMark/>
          </w:tcPr>
          <w:p w:rsidR="001C2625" w:rsidRPr="009C0C9C" w:rsidRDefault="001C2625" w:rsidP="00101080">
            <w:pPr>
              <w:spacing w:before="60" w:after="60"/>
              <w:jc w:val="right"/>
              <w:rPr>
                <w:b/>
                <w:bCs/>
              </w:rPr>
            </w:pPr>
            <w:r w:rsidRPr="009C0C9C">
              <w:rPr>
                <w:b/>
                <w:bCs/>
              </w:rPr>
              <w:t>377 781</w:t>
            </w:r>
          </w:p>
        </w:tc>
      </w:tr>
      <w:tr w:rsidR="001C2625" w:rsidRPr="009C0C9C" w:rsidTr="00101080">
        <w:trPr>
          <w:trHeight w:val="300"/>
        </w:trPr>
        <w:tc>
          <w:tcPr>
            <w:tcW w:w="1927" w:type="pct"/>
            <w:tcBorders>
              <w:top w:val="nil"/>
              <w:left w:val="single" w:sz="8" w:space="0" w:color="auto"/>
              <w:bottom w:val="nil"/>
              <w:right w:val="single" w:sz="4" w:space="0" w:color="auto"/>
            </w:tcBorders>
            <w:noWrap/>
            <w:vAlign w:val="center"/>
            <w:hideMark/>
          </w:tcPr>
          <w:p w:rsidR="001C2625" w:rsidRPr="009C0C9C" w:rsidRDefault="001C2625" w:rsidP="00101080">
            <w:pPr>
              <w:spacing w:before="60" w:after="60"/>
              <w:ind w:left="720"/>
            </w:pPr>
            <w:r w:rsidRPr="009C0C9C">
              <w:t>2a.</w:t>
            </w:r>
            <w:r w:rsidRPr="009C0C9C">
              <w:tab/>
              <w:t>Economic, social and territorial cohesion</w:t>
            </w:r>
          </w:p>
        </w:tc>
        <w:tc>
          <w:tcPr>
            <w:tcW w:w="347" w:type="pct"/>
            <w:noWrap/>
            <w:vAlign w:val="center"/>
            <w:hideMark/>
          </w:tcPr>
          <w:p w:rsidR="001C2625" w:rsidRPr="009C0C9C" w:rsidRDefault="001C2625" w:rsidP="00101080">
            <w:pPr>
              <w:spacing w:before="60" w:after="60"/>
              <w:jc w:val="right"/>
            </w:pPr>
            <w:r w:rsidRPr="009C0C9C">
              <w:t>1 666</w:t>
            </w:r>
          </w:p>
        </w:tc>
        <w:tc>
          <w:tcPr>
            <w:tcW w:w="350" w:type="pct"/>
            <w:noWrap/>
            <w:vAlign w:val="center"/>
            <w:hideMark/>
          </w:tcPr>
          <w:p w:rsidR="001C2625" w:rsidRPr="009C0C9C" w:rsidRDefault="001C2625" w:rsidP="00101080">
            <w:pPr>
              <w:spacing w:before="60" w:after="60"/>
              <w:jc w:val="right"/>
            </w:pPr>
            <w:r w:rsidRPr="009C0C9C">
              <w:t>56 673</w:t>
            </w:r>
          </w:p>
        </w:tc>
        <w:tc>
          <w:tcPr>
            <w:tcW w:w="350" w:type="pct"/>
            <w:noWrap/>
            <w:vAlign w:val="center"/>
            <w:hideMark/>
          </w:tcPr>
          <w:p w:rsidR="001C2625" w:rsidRPr="009C0C9C" w:rsidRDefault="001C2625" w:rsidP="00101080">
            <w:pPr>
              <w:spacing w:before="60" w:after="60"/>
              <w:jc w:val="right"/>
            </w:pPr>
            <w:r w:rsidRPr="009C0C9C">
              <w:t>57 005</w:t>
            </w:r>
          </w:p>
        </w:tc>
        <w:tc>
          <w:tcPr>
            <w:tcW w:w="350" w:type="pct"/>
            <w:noWrap/>
            <w:vAlign w:val="center"/>
            <w:hideMark/>
          </w:tcPr>
          <w:p w:rsidR="001C2625" w:rsidRPr="009C0C9C" w:rsidRDefault="001C2625" w:rsidP="00101080">
            <w:pPr>
              <w:spacing w:before="60" w:after="60"/>
              <w:jc w:val="right"/>
            </w:pPr>
            <w:r w:rsidRPr="009C0C9C">
              <w:t>57 436</w:t>
            </w:r>
          </w:p>
        </w:tc>
        <w:tc>
          <w:tcPr>
            <w:tcW w:w="349" w:type="pct"/>
            <w:noWrap/>
            <w:vAlign w:val="center"/>
            <w:hideMark/>
          </w:tcPr>
          <w:p w:rsidR="001C2625" w:rsidRPr="009C0C9C" w:rsidRDefault="001C2625" w:rsidP="00101080">
            <w:pPr>
              <w:spacing w:before="60" w:after="60"/>
              <w:jc w:val="right"/>
            </w:pPr>
            <w:r w:rsidRPr="009C0C9C">
              <w:t>57 772</w:t>
            </w:r>
          </w:p>
        </w:tc>
        <w:tc>
          <w:tcPr>
            <w:tcW w:w="348" w:type="pct"/>
            <w:noWrap/>
            <w:vAlign w:val="center"/>
            <w:hideMark/>
          </w:tcPr>
          <w:p w:rsidR="001C2625" w:rsidRPr="009C0C9C" w:rsidRDefault="001C2625" w:rsidP="00101080">
            <w:pPr>
              <w:spacing w:before="60" w:after="60"/>
              <w:jc w:val="right"/>
            </w:pPr>
            <w:r w:rsidRPr="009C0C9C">
              <w:t>48 302</w:t>
            </w:r>
          </w:p>
        </w:tc>
        <w:tc>
          <w:tcPr>
            <w:tcW w:w="340" w:type="pct"/>
            <w:noWrap/>
            <w:vAlign w:val="center"/>
            <w:hideMark/>
          </w:tcPr>
          <w:p w:rsidR="001C2625" w:rsidRPr="009C0C9C" w:rsidRDefault="001C2625" w:rsidP="00101080">
            <w:pPr>
              <w:spacing w:before="60" w:after="60"/>
              <w:jc w:val="right"/>
            </w:pPr>
            <w:r w:rsidRPr="009C0C9C">
              <w:t>48 937</w:t>
            </w:r>
          </w:p>
        </w:tc>
        <w:tc>
          <w:tcPr>
            <w:tcW w:w="639" w:type="pct"/>
            <w:tcBorders>
              <w:top w:val="nil"/>
              <w:left w:val="single" w:sz="4" w:space="0" w:color="auto"/>
              <w:bottom w:val="nil"/>
              <w:right w:val="single" w:sz="8" w:space="0" w:color="auto"/>
            </w:tcBorders>
            <w:noWrap/>
            <w:vAlign w:val="center"/>
            <w:hideMark/>
          </w:tcPr>
          <w:p w:rsidR="001C2625" w:rsidRPr="009C0C9C" w:rsidRDefault="001C2625" w:rsidP="00101080">
            <w:pPr>
              <w:spacing w:before="60" w:after="60"/>
              <w:jc w:val="right"/>
            </w:pPr>
            <w:r w:rsidRPr="009C0C9C">
              <w:t>327 791</w:t>
            </w:r>
          </w:p>
        </w:tc>
      </w:tr>
      <w:tr w:rsidR="001C2625" w:rsidRPr="009C0C9C" w:rsidTr="00101080">
        <w:trPr>
          <w:trHeight w:val="300"/>
        </w:trPr>
        <w:tc>
          <w:tcPr>
            <w:tcW w:w="1927" w:type="pct"/>
            <w:tcBorders>
              <w:top w:val="nil"/>
              <w:left w:val="single" w:sz="8" w:space="0" w:color="auto"/>
              <w:bottom w:val="nil"/>
              <w:right w:val="single" w:sz="4" w:space="0" w:color="auto"/>
            </w:tcBorders>
            <w:noWrap/>
            <w:vAlign w:val="center"/>
            <w:hideMark/>
          </w:tcPr>
          <w:p w:rsidR="001C2625" w:rsidRPr="009C0C9C" w:rsidRDefault="001C2625" w:rsidP="00101080">
            <w:pPr>
              <w:spacing w:before="60" w:after="60"/>
              <w:ind w:left="720"/>
            </w:pPr>
            <w:r w:rsidRPr="009C0C9C">
              <w:t>2b.</w:t>
            </w:r>
            <w:r w:rsidRPr="009C0C9C">
              <w:tab/>
              <w:t>Resilience and Values</w:t>
            </w:r>
          </w:p>
        </w:tc>
        <w:tc>
          <w:tcPr>
            <w:tcW w:w="347" w:type="pct"/>
            <w:noWrap/>
            <w:vAlign w:val="center"/>
            <w:hideMark/>
          </w:tcPr>
          <w:p w:rsidR="001C2625" w:rsidRPr="009C0C9C" w:rsidRDefault="001C2625" w:rsidP="00101080">
            <w:pPr>
              <w:spacing w:before="60" w:after="60"/>
              <w:jc w:val="right"/>
            </w:pPr>
            <w:r w:rsidRPr="009C0C9C">
              <w:t>4 330</w:t>
            </w:r>
          </w:p>
        </w:tc>
        <w:tc>
          <w:tcPr>
            <w:tcW w:w="350" w:type="pct"/>
            <w:noWrap/>
            <w:vAlign w:val="center"/>
            <w:hideMark/>
          </w:tcPr>
          <w:p w:rsidR="001C2625" w:rsidRPr="009C0C9C" w:rsidRDefault="001C2625" w:rsidP="00101080">
            <w:pPr>
              <w:spacing w:before="60" w:after="60"/>
              <w:jc w:val="right"/>
            </w:pPr>
            <w:r w:rsidRPr="009C0C9C">
              <w:t>5 969</w:t>
            </w:r>
          </w:p>
        </w:tc>
        <w:tc>
          <w:tcPr>
            <w:tcW w:w="350" w:type="pct"/>
            <w:noWrap/>
            <w:vAlign w:val="center"/>
            <w:hideMark/>
          </w:tcPr>
          <w:p w:rsidR="001C2625" w:rsidRPr="009C0C9C" w:rsidRDefault="001C2625" w:rsidP="00101080">
            <w:pPr>
              <w:spacing w:before="60" w:after="60"/>
              <w:jc w:val="right"/>
            </w:pPr>
            <w:r w:rsidRPr="009C0C9C">
              <w:t>6 520</w:t>
            </w:r>
          </w:p>
        </w:tc>
        <w:tc>
          <w:tcPr>
            <w:tcW w:w="350" w:type="pct"/>
            <w:noWrap/>
            <w:vAlign w:val="center"/>
            <w:hideMark/>
          </w:tcPr>
          <w:p w:rsidR="001C2625" w:rsidRPr="009C0C9C" w:rsidRDefault="001C2625" w:rsidP="00101080">
            <w:pPr>
              <w:spacing w:before="60" w:after="60"/>
              <w:jc w:val="right"/>
            </w:pPr>
            <w:r w:rsidRPr="009C0C9C">
              <w:t>7 643</w:t>
            </w:r>
          </w:p>
        </w:tc>
        <w:tc>
          <w:tcPr>
            <w:tcW w:w="349" w:type="pct"/>
            <w:noWrap/>
            <w:vAlign w:val="center"/>
            <w:hideMark/>
          </w:tcPr>
          <w:p w:rsidR="001C2625" w:rsidRPr="009C0C9C" w:rsidRDefault="001C2625" w:rsidP="00101080">
            <w:pPr>
              <w:spacing w:before="60" w:after="60"/>
              <w:jc w:val="right"/>
            </w:pPr>
            <w:r w:rsidRPr="009C0C9C">
              <w:t>7 412</w:t>
            </w:r>
          </w:p>
        </w:tc>
        <w:tc>
          <w:tcPr>
            <w:tcW w:w="348" w:type="pct"/>
            <w:noWrap/>
            <w:vAlign w:val="center"/>
            <w:hideMark/>
          </w:tcPr>
          <w:p w:rsidR="001C2625" w:rsidRPr="009C0C9C" w:rsidRDefault="001C2625" w:rsidP="00101080">
            <w:pPr>
              <w:spacing w:before="60" w:after="60"/>
              <w:jc w:val="right"/>
            </w:pPr>
            <w:r w:rsidRPr="009C0C9C">
              <w:t>8 373</w:t>
            </w:r>
          </w:p>
        </w:tc>
        <w:tc>
          <w:tcPr>
            <w:tcW w:w="340" w:type="pct"/>
            <w:noWrap/>
            <w:vAlign w:val="center"/>
            <w:hideMark/>
          </w:tcPr>
          <w:p w:rsidR="001C2625" w:rsidRPr="009C0C9C" w:rsidRDefault="001C2625" w:rsidP="00101080">
            <w:pPr>
              <w:spacing w:before="60" w:after="60"/>
              <w:jc w:val="right"/>
            </w:pPr>
            <w:r w:rsidRPr="009C0C9C">
              <w:t>9 743</w:t>
            </w:r>
          </w:p>
        </w:tc>
        <w:tc>
          <w:tcPr>
            <w:tcW w:w="639" w:type="pct"/>
            <w:tcBorders>
              <w:top w:val="nil"/>
              <w:left w:val="single" w:sz="4" w:space="0" w:color="auto"/>
              <w:bottom w:val="nil"/>
              <w:right w:val="single" w:sz="8" w:space="0" w:color="auto"/>
            </w:tcBorders>
            <w:noWrap/>
            <w:vAlign w:val="center"/>
            <w:hideMark/>
          </w:tcPr>
          <w:p w:rsidR="001C2625" w:rsidRPr="009C0C9C" w:rsidRDefault="001C2625" w:rsidP="00101080">
            <w:pPr>
              <w:spacing w:before="60" w:after="60"/>
              <w:jc w:val="right"/>
            </w:pPr>
            <w:r w:rsidRPr="009C0C9C">
              <w:t>49 990</w:t>
            </w:r>
          </w:p>
        </w:tc>
      </w:tr>
      <w:tr w:rsidR="001C2625" w:rsidRPr="009C0C9C" w:rsidTr="00101080">
        <w:trPr>
          <w:trHeight w:val="300"/>
        </w:trPr>
        <w:tc>
          <w:tcPr>
            <w:tcW w:w="1927" w:type="pct"/>
            <w:tcBorders>
              <w:top w:val="nil"/>
              <w:left w:val="single" w:sz="8" w:space="0" w:color="auto"/>
              <w:bottom w:val="nil"/>
              <w:right w:val="single" w:sz="4" w:space="0" w:color="auto"/>
            </w:tcBorders>
            <w:noWrap/>
            <w:vAlign w:val="center"/>
            <w:hideMark/>
          </w:tcPr>
          <w:p w:rsidR="001C2625" w:rsidRPr="009C0C9C" w:rsidRDefault="001C2625" w:rsidP="00101080">
            <w:pPr>
              <w:spacing w:before="60" w:after="60"/>
              <w:rPr>
                <w:b/>
                <w:bCs/>
              </w:rPr>
            </w:pPr>
            <w:r w:rsidRPr="009C0C9C">
              <w:rPr>
                <w:b/>
                <w:bCs/>
              </w:rPr>
              <w:t>3.</w:t>
            </w:r>
            <w:r w:rsidRPr="009C0C9C">
              <w:rPr>
                <w:b/>
                <w:bCs/>
              </w:rPr>
              <w:tab/>
              <w:t>Natural Resources and Environment</w:t>
            </w:r>
          </w:p>
        </w:tc>
        <w:tc>
          <w:tcPr>
            <w:tcW w:w="347" w:type="pct"/>
            <w:noWrap/>
            <w:vAlign w:val="center"/>
            <w:hideMark/>
          </w:tcPr>
          <w:p w:rsidR="001C2625" w:rsidRPr="009C0C9C" w:rsidRDefault="001C2625" w:rsidP="00101080">
            <w:pPr>
              <w:spacing w:before="60" w:after="60"/>
              <w:jc w:val="right"/>
              <w:rPr>
                <w:b/>
                <w:bCs/>
              </w:rPr>
            </w:pPr>
            <w:r w:rsidRPr="009C0C9C">
              <w:rPr>
                <w:b/>
                <w:bCs/>
              </w:rPr>
              <w:t>53 562</w:t>
            </w:r>
          </w:p>
        </w:tc>
        <w:tc>
          <w:tcPr>
            <w:tcW w:w="350" w:type="pct"/>
            <w:noWrap/>
            <w:vAlign w:val="center"/>
            <w:hideMark/>
          </w:tcPr>
          <w:p w:rsidR="001C2625" w:rsidRPr="009C0C9C" w:rsidRDefault="001C2625" w:rsidP="00101080">
            <w:pPr>
              <w:spacing w:before="60" w:after="60"/>
              <w:jc w:val="right"/>
              <w:rPr>
                <w:b/>
                <w:bCs/>
              </w:rPr>
            </w:pPr>
            <w:r w:rsidRPr="009C0C9C">
              <w:rPr>
                <w:b/>
                <w:bCs/>
              </w:rPr>
              <w:t>52 626</w:t>
            </w:r>
          </w:p>
        </w:tc>
        <w:tc>
          <w:tcPr>
            <w:tcW w:w="350" w:type="pct"/>
            <w:noWrap/>
            <w:vAlign w:val="center"/>
            <w:hideMark/>
          </w:tcPr>
          <w:p w:rsidR="001C2625" w:rsidRPr="009C0C9C" w:rsidRDefault="001C2625" w:rsidP="00101080">
            <w:pPr>
              <w:spacing w:before="60" w:after="60"/>
              <w:jc w:val="right"/>
              <w:rPr>
                <w:b/>
                <w:bCs/>
              </w:rPr>
            </w:pPr>
            <w:r w:rsidRPr="009C0C9C">
              <w:rPr>
                <w:b/>
                <w:bCs/>
              </w:rPr>
              <w:t>51 893</w:t>
            </w:r>
          </w:p>
        </w:tc>
        <w:tc>
          <w:tcPr>
            <w:tcW w:w="350" w:type="pct"/>
            <w:noWrap/>
            <w:vAlign w:val="center"/>
            <w:hideMark/>
          </w:tcPr>
          <w:p w:rsidR="001C2625" w:rsidRPr="009C0C9C" w:rsidRDefault="001C2625" w:rsidP="00101080">
            <w:pPr>
              <w:spacing w:before="60" w:after="60"/>
              <w:jc w:val="right"/>
              <w:rPr>
                <w:b/>
                <w:bCs/>
              </w:rPr>
            </w:pPr>
            <w:r w:rsidRPr="009C0C9C">
              <w:rPr>
                <w:b/>
                <w:bCs/>
              </w:rPr>
              <w:t>51 013</w:t>
            </w:r>
          </w:p>
        </w:tc>
        <w:tc>
          <w:tcPr>
            <w:tcW w:w="349" w:type="pct"/>
            <w:noWrap/>
            <w:vAlign w:val="center"/>
            <w:hideMark/>
          </w:tcPr>
          <w:p w:rsidR="001C2625" w:rsidRPr="009C0C9C" w:rsidRDefault="001C2625" w:rsidP="00101080">
            <w:pPr>
              <w:spacing w:before="60" w:after="60"/>
              <w:jc w:val="right"/>
              <w:rPr>
                <w:b/>
                <w:bCs/>
              </w:rPr>
            </w:pPr>
            <w:r w:rsidRPr="009C0C9C">
              <w:rPr>
                <w:b/>
                <w:bCs/>
              </w:rPr>
              <w:t>49 914</w:t>
            </w:r>
          </w:p>
        </w:tc>
        <w:tc>
          <w:tcPr>
            <w:tcW w:w="348" w:type="pct"/>
            <w:noWrap/>
            <w:vAlign w:val="center"/>
            <w:hideMark/>
          </w:tcPr>
          <w:p w:rsidR="001C2625" w:rsidRPr="009C0C9C" w:rsidRDefault="001C2625" w:rsidP="00101080">
            <w:pPr>
              <w:spacing w:before="60" w:after="60"/>
              <w:jc w:val="right"/>
              <w:rPr>
                <w:b/>
                <w:bCs/>
              </w:rPr>
            </w:pPr>
            <w:r w:rsidRPr="009C0C9C">
              <w:rPr>
                <w:b/>
                <w:bCs/>
              </w:rPr>
              <w:t>48 734</w:t>
            </w:r>
          </w:p>
        </w:tc>
        <w:tc>
          <w:tcPr>
            <w:tcW w:w="340" w:type="pct"/>
            <w:noWrap/>
            <w:vAlign w:val="center"/>
            <w:hideMark/>
          </w:tcPr>
          <w:p w:rsidR="001C2625" w:rsidRPr="009C0C9C" w:rsidRDefault="001C2625" w:rsidP="00101080">
            <w:pPr>
              <w:spacing w:before="60" w:after="60"/>
              <w:jc w:val="right"/>
              <w:rPr>
                <w:b/>
                <w:bCs/>
              </w:rPr>
            </w:pPr>
            <w:r w:rsidRPr="009C0C9C">
              <w:rPr>
                <w:b/>
                <w:bCs/>
              </w:rPr>
              <w:t>47 960</w:t>
            </w:r>
          </w:p>
        </w:tc>
        <w:tc>
          <w:tcPr>
            <w:tcW w:w="639" w:type="pct"/>
            <w:tcBorders>
              <w:top w:val="nil"/>
              <w:left w:val="single" w:sz="4" w:space="0" w:color="auto"/>
              <w:bottom w:val="nil"/>
              <w:right w:val="single" w:sz="8" w:space="0" w:color="auto"/>
            </w:tcBorders>
            <w:noWrap/>
            <w:vAlign w:val="center"/>
            <w:hideMark/>
          </w:tcPr>
          <w:p w:rsidR="001C2625" w:rsidRPr="009C0C9C" w:rsidRDefault="001C2625" w:rsidP="00101080">
            <w:pPr>
              <w:spacing w:before="60" w:after="60"/>
              <w:jc w:val="right"/>
              <w:rPr>
                <w:b/>
                <w:bCs/>
              </w:rPr>
            </w:pPr>
            <w:r w:rsidRPr="009C0C9C">
              <w:rPr>
                <w:b/>
                <w:bCs/>
              </w:rPr>
              <w:t>355 702</w:t>
            </w:r>
          </w:p>
        </w:tc>
      </w:tr>
      <w:tr w:rsidR="001C2625" w:rsidRPr="009C0C9C" w:rsidTr="00101080">
        <w:trPr>
          <w:trHeight w:val="300"/>
        </w:trPr>
        <w:tc>
          <w:tcPr>
            <w:tcW w:w="1927" w:type="pct"/>
            <w:tcBorders>
              <w:top w:val="nil"/>
              <w:left w:val="single" w:sz="8" w:space="0" w:color="auto"/>
              <w:bottom w:val="nil"/>
              <w:right w:val="single" w:sz="4" w:space="0" w:color="auto"/>
            </w:tcBorders>
            <w:noWrap/>
            <w:vAlign w:val="center"/>
            <w:hideMark/>
          </w:tcPr>
          <w:p w:rsidR="001C2625" w:rsidRPr="009C0C9C" w:rsidRDefault="001C2625" w:rsidP="00101080">
            <w:pPr>
              <w:spacing w:before="60" w:after="60"/>
              <w:ind w:left="720"/>
            </w:pPr>
            <w:r w:rsidRPr="009C0C9C">
              <w:t>of which: Market related expenditure and direct payments</w:t>
            </w:r>
          </w:p>
        </w:tc>
        <w:tc>
          <w:tcPr>
            <w:tcW w:w="347" w:type="pct"/>
            <w:noWrap/>
            <w:vAlign w:val="center"/>
            <w:hideMark/>
          </w:tcPr>
          <w:p w:rsidR="001C2625" w:rsidRPr="009C0C9C" w:rsidRDefault="001C2625" w:rsidP="00101080">
            <w:pPr>
              <w:spacing w:before="60" w:after="60"/>
              <w:jc w:val="right"/>
            </w:pPr>
            <w:r w:rsidRPr="009C0C9C">
              <w:t>38 040</w:t>
            </w:r>
          </w:p>
        </w:tc>
        <w:tc>
          <w:tcPr>
            <w:tcW w:w="350" w:type="pct"/>
            <w:noWrap/>
            <w:vAlign w:val="center"/>
            <w:hideMark/>
          </w:tcPr>
          <w:p w:rsidR="001C2625" w:rsidRPr="009C0C9C" w:rsidRDefault="001C2625" w:rsidP="00101080">
            <w:pPr>
              <w:spacing w:before="60" w:after="60"/>
              <w:jc w:val="right"/>
            </w:pPr>
            <w:r w:rsidRPr="009C0C9C">
              <w:t>37 544</w:t>
            </w:r>
          </w:p>
        </w:tc>
        <w:tc>
          <w:tcPr>
            <w:tcW w:w="350" w:type="pct"/>
            <w:noWrap/>
            <w:vAlign w:val="center"/>
            <w:hideMark/>
          </w:tcPr>
          <w:p w:rsidR="001C2625" w:rsidRPr="009C0C9C" w:rsidRDefault="001C2625" w:rsidP="00101080">
            <w:pPr>
              <w:spacing w:before="60" w:after="60"/>
              <w:jc w:val="right"/>
            </w:pPr>
            <w:r w:rsidRPr="009C0C9C">
              <w:t>36 857</w:t>
            </w:r>
          </w:p>
        </w:tc>
        <w:tc>
          <w:tcPr>
            <w:tcW w:w="350" w:type="pct"/>
            <w:noWrap/>
            <w:vAlign w:val="center"/>
            <w:hideMark/>
          </w:tcPr>
          <w:p w:rsidR="001C2625" w:rsidRPr="009C0C9C" w:rsidRDefault="001C2625" w:rsidP="00101080">
            <w:pPr>
              <w:spacing w:before="60" w:after="60"/>
              <w:jc w:val="right"/>
            </w:pPr>
            <w:r w:rsidRPr="009C0C9C">
              <w:t>36 054</w:t>
            </w:r>
          </w:p>
        </w:tc>
        <w:tc>
          <w:tcPr>
            <w:tcW w:w="349" w:type="pct"/>
            <w:noWrap/>
            <w:vAlign w:val="center"/>
            <w:hideMark/>
          </w:tcPr>
          <w:p w:rsidR="001C2625" w:rsidRPr="009C0C9C" w:rsidRDefault="001C2625" w:rsidP="00101080">
            <w:pPr>
              <w:spacing w:before="60" w:after="60"/>
              <w:jc w:val="right"/>
            </w:pPr>
            <w:r w:rsidRPr="009C0C9C">
              <w:t>35 283</w:t>
            </w:r>
          </w:p>
        </w:tc>
        <w:tc>
          <w:tcPr>
            <w:tcW w:w="348" w:type="pct"/>
            <w:noWrap/>
            <w:vAlign w:val="center"/>
            <w:hideMark/>
          </w:tcPr>
          <w:p w:rsidR="001C2625" w:rsidRPr="009C0C9C" w:rsidRDefault="001C2625" w:rsidP="00101080">
            <w:pPr>
              <w:spacing w:before="60" w:after="60"/>
              <w:jc w:val="right"/>
            </w:pPr>
            <w:r w:rsidRPr="009C0C9C">
              <w:t>34 602</w:t>
            </w:r>
          </w:p>
        </w:tc>
        <w:tc>
          <w:tcPr>
            <w:tcW w:w="340" w:type="pct"/>
            <w:noWrap/>
            <w:vAlign w:val="center"/>
            <w:hideMark/>
          </w:tcPr>
          <w:p w:rsidR="001C2625" w:rsidRPr="009C0C9C" w:rsidRDefault="001C2625" w:rsidP="00101080">
            <w:pPr>
              <w:spacing w:before="60" w:after="60"/>
              <w:jc w:val="right"/>
            </w:pPr>
            <w:r w:rsidRPr="009C0C9C">
              <w:t>33 886</w:t>
            </w:r>
          </w:p>
        </w:tc>
        <w:tc>
          <w:tcPr>
            <w:tcW w:w="639" w:type="pct"/>
            <w:tcBorders>
              <w:top w:val="nil"/>
              <w:left w:val="single" w:sz="4" w:space="0" w:color="auto"/>
              <w:bottom w:val="nil"/>
              <w:right w:val="single" w:sz="8" w:space="0" w:color="auto"/>
            </w:tcBorders>
            <w:noWrap/>
            <w:vAlign w:val="center"/>
            <w:hideMark/>
          </w:tcPr>
          <w:p w:rsidR="001C2625" w:rsidRPr="009C0C9C" w:rsidRDefault="001C2625" w:rsidP="00101080">
            <w:pPr>
              <w:spacing w:before="60" w:after="60"/>
              <w:jc w:val="right"/>
            </w:pPr>
            <w:r w:rsidRPr="009C0C9C">
              <w:t>252 266</w:t>
            </w:r>
          </w:p>
        </w:tc>
      </w:tr>
      <w:tr w:rsidR="001C2625" w:rsidRPr="009C0C9C" w:rsidTr="00101080">
        <w:trPr>
          <w:trHeight w:val="300"/>
        </w:trPr>
        <w:tc>
          <w:tcPr>
            <w:tcW w:w="1927" w:type="pct"/>
            <w:tcBorders>
              <w:top w:val="nil"/>
              <w:left w:val="single" w:sz="8" w:space="0" w:color="auto"/>
              <w:bottom w:val="nil"/>
              <w:right w:val="single" w:sz="4" w:space="0" w:color="auto"/>
            </w:tcBorders>
            <w:noWrap/>
            <w:vAlign w:val="center"/>
            <w:hideMark/>
          </w:tcPr>
          <w:p w:rsidR="001C2625" w:rsidRPr="009C0C9C" w:rsidRDefault="001C2625" w:rsidP="00101080">
            <w:pPr>
              <w:pageBreakBefore/>
              <w:spacing w:before="60" w:after="60"/>
              <w:rPr>
                <w:b/>
                <w:bCs/>
              </w:rPr>
            </w:pPr>
            <w:r w:rsidRPr="009C0C9C">
              <w:rPr>
                <w:b/>
                <w:bCs/>
              </w:rPr>
              <w:lastRenderedPageBreak/>
              <w:t>4.</w:t>
            </w:r>
            <w:r w:rsidRPr="009C0C9C">
              <w:rPr>
                <w:b/>
                <w:bCs/>
              </w:rPr>
              <w:tab/>
              <w:t>Migration and Border Management</w:t>
            </w:r>
          </w:p>
        </w:tc>
        <w:tc>
          <w:tcPr>
            <w:tcW w:w="347" w:type="pct"/>
            <w:noWrap/>
            <w:vAlign w:val="center"/>
            <w:hideMark/>
          </w:tcPr>
          <w:p w:rsidR="001C2625" w:rsidRPr="009C0C9C" w:rsidRDefault="001C2625" w:rsidP="00101080">
            <w:pPr>
              <w:spacing w:before="60" w:after="60"/>
              <w:jc w:val="right"/>
              <w:rPr>
                <w:b/>
                <w:bCs/>
              </w:rPr>
            </w:pPr>
            <w:r w:rsidRPr="009C0C9C">
              <w:rPr>
                <w:b/>
                <w:bCs/>
              </w:rPr>
              <w:t>1 687</w:t>
            </w:r>
          </w:p>
        </w:tc>
        <w:tc>
          <w:tcPr>
            <w:tcW w:w="350" w:type="pct"/>
            <w:noWrap/>
            <w:vAlign w:val="center"/>
            <w:hideMark/>
          </w:tcPr>
          <w:p w:rsidR="001C2625" w:rsidRPr="009C0C9C" w:rsidRDefault="001C2625" w:rsidP="00101080">
            <w:pPr>
              <w:spacing w:before="60" w:after="60"/>
              <w:jc w:val="right"/>
              <w:rPr>
                <w:b/>
                <w:bCs/>
              </w:rPr>
            </w:pPr>
            <w:r w:rsidRPr="009C0C9C">
              <w:rPr>
                <w:b/>
                <w:bCs/>
              </w:rPr>
              <w:t>3 104</w:t>
            </w:r>
          </w:p>
        </w:tc>
        <w:tc>
          <w:tcPr>
            <w:tcW w:w="350" w:type="pct"/>
            <w:noWrap/>
            <w:vAlign w:val="center"/>
            <w:hideMark/>
          </w:tcPr>
          <w:p w:rsidR="001C2625" w:rsidRPr="009C0C9C" w:rsidRDefault="001C2625" w:rsidP="00101080">
            <w:pPr>
              <w:spacing w:before="60" w:after="60"/>
              <w:jc w:val="right"/>
              <w:rPr>
                <w:b/>
                <w:bCs/>
              </w:rPr>
            </w:pPr>
            <w:r w:rsidRPr="009C0C9C">
              <w:rPr>
                <w:b/>
                <w:bCs/>
              </w:rPr>
              <w:t>3 454</w:t>
            </w:r>
          </w:p>
        </w:tc>
        <w:tc>
          <w:tcPr>
            <w:tcW w:w="350" w:type="pct"/>
            <w:noWrap/>
            <w:vAlign w:val="center"/>
            <w:hideMark/>
          </w:tcPr>
          <w:p w:rsidR="001C2625" w:rsidRPr="009C0C9C" w:rsidRDefault="001C2625" w:rsidP="00101080">
            <w:pPr>
              <w:spacing w:before="60" w:after="60"/>
              <w:jc w:val="right"/>
              <w:rPr>
                <w:b/>
                <w:bCs/>
              </w:rPr>
            </w:pPr>
            <w:r w:rsidRPr="009C0C9C">
              <w:rPr>
                <w:b/>
                <w:bCs/>
              </w:rPr>
              <w:t>3 569</w:t>
            </w:r>
          </w:p>
        </w:tc>
        <w:tc>
          <w:tcPr>
            <w:tcW w:w="349" w:type="pct"/>
            <w:noWrap/>
            <w:vAlign w:val="center"/>
            <w:hideMark/>
          </w:tcPr>
          <w:p w:rsidR="001C2625" w:rsidRPr="009C0C9C" w:rsidRDefault="001C2625" w:rsidP="00101080">
            <w:pPr>
              <w:spacing w:before="60" w:after="60"/>
              <w:jc w:val="right"/>
              <w:rPr>
                <w:b/>
                <w:bCs/>
              </w:rPr>
            </w:pPr>
            <w:r w:rsidRPr="009C0C9C">
              <w:rPr>
                <w:b/>
                <w:bCs/>
              </w:rPr>
              <w:t>4 083</w:t>
            </w:r>
          </w:p>
        </w:tc>
        <w:tc>
          <w:tcPr>
            <w:tcW w:w="348" w:type="pct"/>
            <w:noWrap/>
            <w:vAlign w:val="center"/>
            <w:hideMark/>
          </w:tcPr>
          <w:p w:rsidR="001C2625" w:rsidRPr="009C0C9C" w:rsidRDefault="001C2625" w:rsidP="00101080">
            <w:pPr>
              <w:spacing w:before="60" w:after="60"/>
              <w:jc w:val="right"/>
              <w:rPr>
                <w:b/>
                <w:bCs/>
              </w:rPr>
            </w:pPr>
            <w:r w:rsidRPr="009C0C9C">
              <w:rPr>
                <w:b/>
                <w:bCs/>
              </w:rPr>
              <w:t>4 145</w:t>
            </w:r>
          </w:p>
        </w:tc>
        <w:tc>
          <w:tcPr>
            <w:tcW w:w="340" w:type="pct"/>
            <w:noWrap/>
            <w:vAlign w:val="center"/>
            <w:hideMark/>
          </w:tcPr>
          <w:p w:rsidR="001C2625" w:rsidRPr="009C0C9C" w:rsidRDefault="001C2625" w:rsidP="00101080">
            <w:pPr>
              <w:spacing w:before="60" w:after="60"/>
              <w:jc w:val="right"/>
              <w:rPr>
                <w:b/>
                <w:bCs/>
              </w:rPr>
            </w:pPr>
            <w:r w:rsidRPr="009C0C9C">
              <w:rPr>
                <w:b/>
                <w:bCs/>
              </w:rPr>
              <w:t>4 701</w:t>
            </w:r>
          </w:p>
        </w:tc>
        <w:tc>
          <w:tcPr>
            <w:tcW w:w="639" w:type="pct"/>
            <w:tcBorders>
              <w:top w:val="nil"/>
              <w:left w:val="single" w:sz="4" w:space="0" w:color="auto"/>
              <w:bottom w:val="nil"/>
              <w:right w:val="single" w:sz="8" w:space="0" w:color="auto"/>
            </w:tcBorders>
            <w:noWrap/>
            <w:vAlign w:val="center"/>
            <w:hideMark/>
          </w:tcPr>
          <w:p w:rsidR="001C2625" w:rsidRPr="009C0C9C" w:rsidRDefault="001C2625" w:rsidP="00101080">
            <w:pPr>
              <w:spacing w:before="60" w:after="60"/>
              <w:jc w:val="right"/>
              <w:rPr>
                <w:b/>
                <w:bCs/>
              </w:rPr>
            </w:pPr>
            <w:r w:rsidRPr="009C0C9C">
              <w:rPr>
                <w:b/>
                <w:bCs/>
              </w:rPr>
              <w:t>24 743</w:t>
            </w:r>
          </w:p>
        </w:tc>
      </w:tr>
      <w:tr w:rsidR="001C2625" w:rsidRPr="009C0C9C" w:rsidTr="00101080">
        <w:trPr>
          <w:trHeight w:val="300"/>
        </w:trPr>
        <w:tc>
          <w:tcPr>
            <w:tcW w:w="1927" w:type="pct"/>
            <w:tcBorders>
              <w:top w:val="nil"/>
              <w:left w:val="single" w:sz="8" w:space="0" w:color="auto"/>
              <w:bottom w:val="nil"/>
              <w:right w:val="single" w:sz="4" w:space="0" w:color="auto"/>
            </w:tcBorders>
            <w:noWrap/>
            <w:vAlign w:val="center"/>
            <w:hideMark/>
          </w:tcPr>
          <w:p w:rsidR="001C2625" w:rsidRPr="009C0C9C" w:rsidRDefault="001C2625" w:rsidP="00101080">
            <w:pPr>
              <w:spacing w:before="60" w:after="60"/>
              <w:rPr>
                <w:b/>
                <w:bCs/>
              </w:rPr>
            </w:pPr>
            <w:r w:rsidRPr="009C0C9C">
              <w:rPr>
                <w:b/>
                <w:bCs/>
              </w:rPr>
              <w:t>5.</w:t>
            </w:r>
            <w:r w:rsidRPr="009C0C9C">
              <w:rPr>
                <w:b/>
                <w:bCs/>
              </w:rPr>
              <w:tab/>
              <w:t>Security and Defence</w:t>
            </w:r>
          </w:p>
        </w:tc>
        <w:tc>
          <w:tcPr>
            <w:tcW w:w="347" w:type="pct"/>
            <w:noWrap/>
            <w:vAlign w:val="center"/>
            <w:hideMark/>
          </w:tcPr>
          <w:p w:rsidR="001C2625" w:rsidRPr="009C0C9C" w:rsidRDefault="001C2625" w:rsidP="00101080">
            <w:pPr>
              <w:spacing w:before="60" w:after="60"/>
              <w:jc w:val="right"/>
              <w:rPr>
                <w:b/>
                <w:bCs/>
              </w:rPr>
            </w:pPr>
            <w:r w:rsidRPr="009C0C9C">
              <w:rPr>
                <w:b/>
                <w:bCs/>
              </w:rPr>
              <w:t>1 598</w:t>
            </w:r>
          </w:p>
        </w:tc>
        <w:tc>
          <w:tcPr>
            <w:tcW w:w="350" w:type="pct"/>
            <w:noWrap/>
            <w:vAlign w:val="center"/>
            <w:hideMark/>
          </w:tcPr>
          <w:p w:rsidR="001C2625" w:rsidRPr="009C0C9C" w:rsidRDefault="001C2625" w:rsidP="00101080">
            <w:pPr>
              <w:spacing w:before="60" w:after="60"/>
              <w:jc w:val="right"/>
              <w:rPr>
                <w:b/>
                <w:bCs/>
              </w:rPr>
            </w:pPr>
            <w:r w:rsidRPr="009C0C9C">
              <w:rPr>
                <w:b/>
                <w:bCs/>
              </w:rPr>
              <w:t>1 750</w:t>
            </w:r>
          </w:p>
        </w:tc>
        <w:tc>
          <w:tcPr>
            <w:tcW w:w="350" w:type="pct"/>
            <w:noWrap/>
            <w:vAlign w:val="center"/>
            <w:hideMark/>
          </w:tcPr>
          <w:p w:rsidR="001C2625" w:rsidRPr="009C0C9C" w:rsidRDefault="001C2625" w:rsidP="00101080">
            <w:pPr>
              <w:spacing w:before="60" w:after="60"/>
              <w:jc w:val="right"/>
              <w:rPr>
                <w:b/>
                <w:bCs/>
              </w:rPr>
            </w:pPr>
            <w:r w:rsidRPr="009C0C9C">
              <w:rPr>
                <w:b/>
                <w:bCs/>
              </w:rPr>
              <w:t>1 762</w:t>
            </w:r>
          </w:p>
        </w:tc>
        <w:tc>
          <w:tcPr>
            <w:tcW w:w="350" w:type="pct"/>
            <w:noWrap/>
            <w:vAlign w:val="center"/>
            <w:hideMark/>
          </w:tcPr>
          <w:p w:rsidR="001C2625" w:rsidRPr="009C0C9C" w:rsidRDefault="001C2625" w:rsidP="00101080">
            <w:pPr>
              <w:spacing w:before="60" w:after="60"/>
              <w:jc w:val="right"/>
              <w:rPr>
                <w:b/>
                <w:bCs/>
              </w:rPr>
            </w:pPr>
            <w:r w:rsidRPr="009C0C9C">
              <w:rPr>
                <w:b/>
                <w:bCs/>
              </w:rPr>
              <w:t>2 112</w:t>
            </w:r>
          </w:p>
        </w:tc>
        <w:tc>
          <w:tcPr>
            <w:tcW w:w="349" w:type="pct"/>
            <w:noWrap/>
            <w:vAlign w:val="center"/>
            <w:hideMark/>
          </w:tcPr>
          <w:p w:rsidR="001C2625" w:rsidRPr="009C0C9C" w:rsidRDefault="001C2625" w:rsidP="00101080">
            <w:pPr>
              <w:spacing w:before="60" w:after="60"/>
              <w:jc w:val="right"/>
              <w:rPr>
                <w:b/>
                <w:bCs/>
              </w:rPr>
            </w:pPr>
            <w:r w:rsidRPr="009C0C9C">
              <w:rPr>
                <w:b/>
                <w:bCs/>
              </w:rPr>
              <w:t>2 277</w:t>
            </w:r>
          </w:p>
        </w:tc>
        <w:tc>
          <w:tcPr>
            <w:tcW w:w="348" w:type="pct"/>
            <w:noWrap/>
            <w:vAlign w:val="center"/>
            <w:hideMark/>
          </w:tcPr>
          <w:p w:rsidR="001C2625" w:rsidRPr="009C0C9C" w:rsidRDefault="001C2625" w:rsidP="00101080">
            <w:pPr>
              <w:spacing w:before="60" w:after="60"/>
              <w:jc w:val="right"/>
              <w:rPr>
                <w:b/>
                <w:bCs/>
              </w:rPr>
            </w:pPr>
            <w:r w:rsidRPr="009C0C9C">
              <w:rPr>
                <w:b/>
                <w:bCs/>
              </w:rPr>
              <w:t>2 398</w:t>
            </w:r>
          </w:p>
        </w:tc>
        <w:tc>
          <w:tcPr>
            <w:tcW w:w="340" w:type="pct"/>
            <w:noWrap/>
            <w:vAlign w:val="center"/>
            <w:hideMark/>
          </w:tcPr>
          <w:p w:rsidR="001C2625" w:rsidRPr="009C0C9C" w:rsidRDefault="001C2625" w:rsidP="00101080">
            <w:pPr>
              <w:spacing w:before="60" w:after="60"/>
              <w:jc w:val="right"/>
              <w:rPr>
                <w:b/>
                <w:bCs/>
              </w:rPr>
            </w:pPr>
            <w:r w:rsidRPr="009C0C9C">
              <w:rPr>
                <w:b/>
                <w:bCs/>
              </w:rPr>
              <w:t>2 576</w:t>
            </w:r>
          </w:p>
        </w:tc>
        <w:tc>
          <w:tcPr>
            <w:tcW w:w="639" w:type="pct"/>
            <w:tcBorders>
              <w:top w:val="nil"/>
              <w:left w:val="single" w:sz="4" w:space="0" w:color="auto"/>
              <w:bottom w:val="nil"/>
              <w:right w:val="single" w:sz="8" w:space="0" w:color="auto"/>
            </w:tcBorders>
            <w:noWrap/>
            <w:vAlign w:val="center"/>
            <w:hideMark/>
          </w:tcPr>
          <w:p w:rsidR="001C2625" w:rsidRPr="009C0C9C" w:rsidRDefault="001C2625" w:rsidP="00101080">
            <w:pPr>
              <w:spacing w:before="60" w:after="60"/>
              <w:jc w:val="right"/>
              <w:rPr>
                <w:b/>
                <w:bCs/>
              </w:rPr>
            </w:pPr>
            <w:r w:rsidRPr="009C0C9C">
              <w:rPr>
                <w:b/>
                <w:bCs/>
              </w:rPr>
              <w:t>14 473</w:t>
            </w:r>
          </w:p>
        </w:tc>
      </w:tr>
      <w:tr w:rsidR="001C2625" w:rsidRPr="009C0C9C" w:rsidTr="00101080">
        <w:trPr>
          <w:trHeight w:val="300"/>
        </w:trPr>
        <w:tc>
          <w:tcPr>
            <w:tcW w:w="1927" w:type="pct"/>
            <w:tcBorders>
              <w:top w:val="nil"/>
              <w:left w:val="single" w:sz="8" w:space="0" w:color="auto"/>
              <w:bottom w:val="nil"/>
              <w:right w:val="single" w:sz="4" w:space="0" w:color="auto"/>
            </w:tcBorders>
            <w:noWrap/>
            <w:vAlign w:val="center"/>
            <w:hideMark/>
          </w:tcPr>
          <w:p w:rsidR="001C2625" w:rsidRPr="009C0C9C" w:rsidRDefault="001C2625" w:rsidP="00101080">
            <w:pPr>
              <w:spacing w:before="60" w:after="60"/>
              <w:rPr>
                <w:b/>
                <w:bCs/>
              </w:rPr>
            </w:pPr>
            <w:r w:rsidRPr="009C0C9C">
              <w:rPr>
                <w:b/>
                <w:bCs/>
              </w:rPr>
              <w:t>6.</w:t>
            </w:r>
            <w:r w:rsidRPr="009C0C9C">
              <w:rPr>
                <w:b/>
                <w:bCs/>
              </w:rPr>
              <w:tab/>
              <w:t>Neighbourhood and the World</w:t>
            </w:r>
          </w:p>
        </w:tc>
        <w:tc>
          <w:tcPr>
            <w:tcW w:w="347" w:type="pct"/>
            <w:noWrap/>
            <w:vAlign w:val="center"/>
            <w:hideMark/>
          </w:tcPr>
          <w:p w:rsidR="001C2625" w:rsidRPr="009C0C9C" w:rsidRDefault="001C2625" w:rsidP="00101080">
            <w:pPr>
              <w:spacing w:before="60" w:after="60"/>
              <w:jc w:val="right"/>
              <w:rPr>
                <w:b/>
                <w:bCs/>
              </w:rPr>
            </w:pPr>
            <w:r w:rsidRPr="009C0C9C">
              <w:rPr>
                <w:b/>
                <w:bCs/>
              </w:rPr>
              <w:t>15 309</w:t>
            </w:r>
          </w:p>
        </w:tc>
        <w:tc>
          <w:tcPr>
            <w:tcW w:w="350" w:type="pct"/>
            <w:noWrap/>
            <w:vAlign w:val="center"/>
            <w:hideMark/>
          </w:tcPr>
          <w:p w:rsidR="001C2625" w:rsidRPr="009C0C9C" w:rsidRDefault="001C2625" w:rsidP="00101080">
            <w:pPr>
              <w:spacing w:before="60" w:after="60"/>
              <w:jc w:val="right"/>
              <w:rPr>
                <w:b/>
                <w:bCs/>
              </w:rPr>
            </w:pPr>
            <w:r w:rsidRPr="009C0C9C">
              <w:rPr>
                <w:b/>
                <w:bCs/>
              </w:rPr>
              <w:t>15 522</w:t>
            </w:r>
          </w:p>
        </w:tc>
        <w:tc>
          <w:tcPr>
            <w:tcW w:w="350" w:type="pct"/>
            <w:noWrap/>
            <w:vAlign w:val="center"/>
            <w:hideMark/>
          </w:tcPr>
          <w:p w:rsidR="001C2625" w:rsidRPr="009C0C9C" w:rsidRDefault="001C2625" w:rsidP="00101080">
            <w:pPr>
              <w:spacing w:before="60" w:after="60"/>
              <w:jc w:val="right"/>
              <w:rPr>
                <w:b/>
                <w:bCs/>
              </w:rPr>
            </w:pPr>
            <w:r w:rsidRPr="009C0C9C">
              <w:rPr>
                <w:b/>
                <w:bCs/>
              </w:rPr>
              <w:t>14 789</w:t>
            </w:r>
          </w:p>
        </w:tc>
        <w:tc>
          <w:tcPr>
            <w:tcW w:w="350" w:type="pct"/>
            <w:noWrap/>
            <w:vAlign w:val="center"/>
            <w:hideMark/>
          </w:tcPr>
          <w:p w:rsidR="001C2625" w:rsidRPr="009C0C9C" w:rsidRDefault="001C2625" w:rsidP="00101080">
            <w:pPr>
              <w:spacing w:before="60" w:after="60"/>
              <w:jc w:val="right"/>
              <w:rPr>
                <w:b/>
                <w:bCs/>
              </w:rPr>
            </w:pPr>
            <w:r w:rsidRPr="009C0C9C">
              <w:rPr>
                <w:b/>
                <w:bCs/>
              </w:rPr>
              <w:t>14 500</w:t>
            </w:r>
          </w:p>
        </w:tc>
        <w:tc>
          <w:tcPr>
            <w:tcW w:w="349" w:type="pct"/>
            <w:noWrap/>
            <w:vAlign w:val="center"/>
            <w:hideMark/>
          </w:tcPr>
          <w:p w:rsidR="001C2625" w:rsidRPr="009C0C9C" w:rsidRDefault="001C2625" w:rsidP="00101080">
            <w:pPr>
              <w:spacing w:before="60" w:after="60"/>
              <w:jc w:val="right"/>
              <w:rPr>
                <w:b/>
                <w:bCs/>
              </w:rPr>
            </w:pPr>
            <w:r w:rsidRPr="009C0C9C">
              <w:rPr>
                <w:b/>
                <w:bCs/>
              </w:rPr>
              <w:t>14 192</w:t>
            </w:r>
          </w:p>
        </w:tc>
        <w:tc>
          <w:tcPr>
            <w:tcW w:w="348" w:type="pct"/>
            <w:noWrap/>
            <w:vAlign w:val="center"/>
            <w:hideMark/>
          </w:tcPr>
          <w:p w:rsidR="001C2625" w:rsidRPr="009C0C9C" w:rsidRDefault="001C2625" w:rsidP="00101080">
            <w:pPr>
              <w:spacing w:before="60" w:after="60"/>
              <w:jc w:val="right"/>
              <w:rPr>
                <w:b/>
                <w:bCs/>
              </w:rPr>
            </w:pPr>
            <w:r w:rsidRPr="009C0C9C">
              <w:rPr>
                <w:b/>
                <w:bCs/>
              </w:rPr>
              <w:t>13 326</w:t>
            </w:r>
          </w:p>
        </w:tc>
        <w:tc>
          <w:tcPr>
            <w:tcW w:w="340" w:type="pct"/>
            <w:noWrap/>
            <w:vAlign w:val="center"/>
            <w:hideMark/>
          </w:tcPr>
          <w:p w:rsidR="001C2625" w:rsidRPr="009C0C9C" w:rsidRDefault="001C2625" w:rsidP="00101080">
            <w:pPr>
              <w:spacing w:before="60" w:after="60"/>
              <w:jc w:val="right"/>
              <w:rPr>
                <w:b/>
                <w:bCs/>
              </w:rPr>
            </w:pPr>
            <w:r w:rsidRPr="009C0C9C">
              <w:rPr>
                <w:b/>
                <w:bCs/>
              </w:rPr>
              <w:t>13 447</w:t>
            </w:r>
          </w:p>
        </w:tc>
        <w:tc>
          <w:tcPr>
            <w:tcW w:w="639" w:type="pct"/>
            <w:tcBorders>
              <w:top w:val="nil"/>
              <w:left w:val="single" w:sz="4" w:space="0" w:color="auto"/>
              <w:bottom w:val="nil"/>
              <w:right w:val="single" w:sz="8" w:space="0" w:color="auto"/>
            </w:tcBorders>
            <w:noWrap/>
            <w:vAlign w:val="center"/>
            <w:hideMark/>
          </w:tcPr>
          <w:p w:rsidR="001C2625" w:rsidRPr="009C0C9C" w:rsidRDefault="001C2625" w:rsidP="00101080">
            <w:pPr>
              <w:spacing w:before="60" w:after="60"/>
              <w:jc w:val="right"/>
              <w:rPr>
                <w:b/>
                <w:bCs/>
              </w:rPr>
            </w:pPr>
            <w:r w:rsidRPr="009C0C9C">
              <w:rPr>
                <w:b/>
                <w:bCs/>
              </w:rPr>
              <w:t>101 085</w:t>
            </w:r>
          </w:p>
        </w:tc>
      </w:tr>
      <w:tr w:rsidR="001C2625" w:rsidRPr="009C0C9C" w:rsidTr="00101080">
        <w:trPr>
          <w:trHeight w:val="300"/>
        </w:trPr>
        <w:tc>
          <w:tcPr>
            <w:tcW w:w="1927" w:type="pct"/>
            <w:tcBorders>
              <w:top w:val="nil"/>
              <w:left w:val="single" w:sz="8" w:space="0" w:color="auto"/>
              <w:bottom w:val="nil"/>
              <w:right w:val="single" w:sz="4" w:space="0" w:color="auto"/>
            </w:tcBorders>
            <w:noWrap/>
            <w:vAlign w:val="center"/>
            <w:hideMark/>
          </w:tcPr>
          <w:p w:rsidR="001C2625" w:rsidRPr="009C0C9C" w:rsidRDefault="001C2625" w:rsidP="00101080">
            <w:pPr>
              <w:spacing w:before="60" w:after="60"/>
              <w:rPr>
                <w:b/>
                <w:bCs/>
              </w:rPr>
            </w:pPr>
            <w:r w:rsidRPr="009C0C9C">
              <w:rPr>
                <w:b/>
                <w:bCs/>
              </w:rPr>
              <w:t>7.</w:t>
            </w:r>
            <w:r w:rsidRPr="009C0C9C">
              <w:rPr>
                <w:b/>
                <w:bCs/>
              </w:rPr>
              <w:tab/>
              <w:t>European Public Administration</w:t>
            </w:r>
          </w:p>
        </w:tc>
        <w:tc>
          <w:tcPr>
            <w:tcW w:w="347" w:type="pct"/>
            <w:noWrap/>
            <w:vAlign w:val="center"/>
            <w:hideMark/>
          </w:tcPr>
          <w:p w:rsidR="001C2625" w:rsidRPr="009C0C9C" w:rsidRDefault="001C2625" w:rsidP="00101080">
            <w:pPr>
              <w:spacing w:before="60" w:after="60"/>
              <w:jc w:val="right"/>
              <w:rPr>
                <w:b/>
                <w:bCs/>
              </w:rPr>
            </w:pPr>
            <w:r w:rsidRPr="009C0C9C">
              <w:rPr>
                <w:b/>
                <w:bCs/>
              </w:rPr>
              <w:t>10 021</w:t>
            </w:r>
          </w:p>
        </w:tc>
        <w:tc>
          <w:tcPr>
            <w:tcW w:w="350" w:type="pct"/>
            <w:noWrap/>
            <w:vAlign w:val="center"/>
            <w:hideMark/>
          </w:tcPr>
          <w:p w:rsidR="001C2625" w:rsidRPr="009C0C9C" w:rsidRDefault="001C2625" w:rsidP="00101080">
            <w:pPr>
              <w:spacing w:before="60" w:after="60"/>
              <w:jc w:val="right"/>
              <w:rPr>
                <w:b/>
                <w:bCs/>
              </w:rPr>
            </w:pPr>
            <w:r w:rsidRPr="009C0C9C">
              <w:rPr>
                <w:b/>
                <w:bCs/>
              </w:rPr>
              <w:t>10 215</w:t>
            </w:r>
          </w:p>
        </w:tc>
        <w:tc>
          <w:tcPr>
            <w:tcW w:w="350" w:type="pct"/>
            <w:noWrap/>
            <w:vAlign w:val="center"/>
            <w:hideMark/>
          </w:tcPr>
          <w:p w:rsidR="001C2625" w:rsidRPr="009C0C9C" w:rsidRDefault="001C2625" w:rsidP="00101080">
            <w:pPr>
              <w:spacing w:before="60" w:after="60"/>
              <w:jc w:val="right"/>
              <w:rPr>
                <w:b/>
                <w:bCs/>
              </w:rPr>
            </w:pPr>
            <w:r w:rsidRPr="009C0C9C">
              <w:rPr>
                <w:b/>
                <w:bCs/>
              </w:rPr>
              <w:t>10 342</w:t>
            </w:r>
          </w:p>
        </w:tc>
        <w:tc>
          <w:tcPr>
            <w:tcW w:w="350" w:type="pct"/>
            <w:noWrap/>
            <w:vAlign w:val="center"/>
            <w:hideMark/>
          </w:tcPr>
          <w:p w:rsidR="001C2625" w:rsidRPr="009C0C9C" w:rsidRDefault="001C2625" w:rsidP="00101080">
            <w:pPr>
              <w:spacing w:before="60" w:after="60"/>
              <w:jc w:val="right"/>
              <w:rPr>
                <w:b/>
                <w:bCs/>
              </w:rPr>
            </w:pPr>
            <w:r w:rsidRPr="009C0C9C">
              <w:rPr>
                <w:b/>
                <w:bCs/>
              </w:rPr>
              <w:t>10 454</w:t>
            </w:r>
          </w:p>
        </w:tc>
        <w:tc>
          <w:tcPr>
            <w:tcW w:w="349" w:type="pct"/>
            <w:noWrap/>
            <w:vAlign w:val="center"/>
            <w:hideMark/>
          </w:tcPr>
          <w:p w:rsidR="001C2625" w:rsidRPr="009C0C9C" w:rsidRDefault="001C2625" w:rsidP="00101080">
            <w:pPr>
              <w:spacing w:before="60" w:after="60"/>
              <w:jc w:val="right"/>
              <w:rPr>
                <w:b/>
                <w:bCs/>
              </w:rPr>
            </w:pPr>
            <w:r w:rsidRPr="009C0C9C">
              <w:rPr>
                <w:b/>
                <w:bCs/>
              </w:rPr>
              <w:t>10 554</w:t>
            </w:r>
          </w:p>
        </w:tc>
        <w:tc>
          <w:tcPr>
            <w:tcW w:w="348" w:type="pct"/>
            <w:noWrap/>
            <w:vAlign w:val="center"/>
            <w:hideMark/>
          </w:tcPr>
          <w:p w:rsidR="001C2625" w:rsidRPr="009C0C9C" w:rsidRDefault="001C2625" w:rsidP="00101080">
            <w:pPr>
              <w:spacing w:before="60" w:after="60"/>
              <w:jc w:val="right"/>
              <w:rPr>
                <w:b/>
                <w:bCs/>
              </w:rPr>
            </w:pPr>
            <w:r w:rsidRPr="009C0C9C">
              <w:rPr>
                <w:b/>
                <w:bCs/>
              </w:rPr>
              <w:t>10 673</w:t>
            </w:r>
          </w:p>
        </w:tc>
        <w:tc>
          <w:tcPr>
            <w:tcW w:w="340" w:type="pct"/>
            <w:noWrap/>
            <w:vAlign w:val="center"/>
            <w:hideMark/>
          </w:tcPr>
          <w:p w:rsidR="001C2625" w:rsidRPr="009C0C9C" w:rsidRDefault="001C2625" w:rsidP="00101080">
            <w:pPr>
              <w:spacing w:before="60" w:after="60"/>
              <w:jc w:val="right"/>
              <w:rPr>
                <w:b/>
                <w:bCs/>
              </w:rPr>
            </w:pPr>
            <w:r w:rsidRPr="009C0C9C">
              <w:rPr>
                <w:b/>
                <w:bCs/>
              </w:rPr>
              <w:t>10 843</w:t>
            </w:r>
          </w:p>
        </w:tc>
        <w:tc>
          <w:tcPr>
            <w:tcW w:w="639" w:type="pct"/>
            <w:tcBorders>
              <w:top w:val="nil"/>
              <w:left w:val="single" w:sz="4" w:space="0" w:color="auto"/>
              <w:bottom w:val="nil"/>
              <w:right w:val="single" w:sz="8" w:space="0" w:color="auto"/>
            </w:tcBorders>
            <w:noWrap/>
            <w:vAlign w:val="center"/>
            <w:hideMark/>
          </w:tcPr>
          <w:p w:rsidR="001C2625" w:rsidRPr="009C0C9C" w:rsidRDefault="001C2625" w:rsidP="00101080">
            <w:pPr>
              <w:spacing w:before="60" w:after="60"/>
              <w:jc w:val="right"/>
              <w:rPr>
                <w:b/>
                <w:bCs/>
              </w:rPr>
            </w:pPr>
            <w:r w:rsidRPr="009C0C9C">
              <w:rPr>
                <w:b/>
                <w:bCs/>
              </w:rPr>
              <w:t>73 102</w:t>
            </w:r>
          </w:p>
        </w:tc>
      </w:tr>
      <w:tr w:rsidR="001C2625" w:rsidRPr="009C0C9C" w:rsidTr="00101080">
        <w:trPr>
          <w:trHeight w:val="315"/>
        </w:trPr>
        <w:tc>
          <w:tcPr>
            <w:tcW w:w="1927" w:type="pct"/>
            <w:tcBorders>
              <w:top w:val="nil"/>
              <w:left w:val="single" w:sz="8" w:space="0" w:color="auto"/>
              <w:bottom w:val="single" w:sz="8" w:space="0" w:color="auto"/>
              <w:right w:val="single" w:sz="4" w:space="0" w:color="auto"/>
            </w:tcBorders>
            <w:noWrap/>
            <w:vAlign w:val="center"/>
            <w:hideMark/>
          </w:tcPr>
          <w:p w:rsidR="001C2625" w:rsidRPr="009C0C9C" w:rsidRDefault="001C2625" w:rsidP="00101080">
            <w:pPr>
              <w:spacing w:before="60" w:after="60"/>
              <w:ind w:left="720"/>
            </w:pPr>
            <w:r w:rsidRPr="009C0C9C">
              <w:t>of which: Administrative expenditure of the institutions</w:t>
            </w:r>
          </w:p>
        </w:tc>
        <w:tc>
          <w:tcPr>
            <w:tcW w:w="347" w:type="pct"/>
            <w:tcBorders>
              <w:top w:val="nil"/>
              <w:left w:val="nil"/>
              <w:bottom w:val="single" w:sz="8" w:space="0" w:color="auto"/>
              <w:right w:val="nil"/>
            </w:tcBorders>
            <w:noWrap/>
            <w:vAlign w:val="center"/>
            <w:hideMark/>
          </w:tcPr>
          <w:p w:rsidR="001C2625" w:rsidRPr="009C0C9C" w:rsidRDefault="001C2625" w:rsidP="00101080">
            <w:pPr>
              <w:spacing w:before="60" w:after="60"/>
              <w:jc w:val="right"/>
            </w:pPr>
            <w:r w:rsidRPr="009C0C9C">
              <w:t>7 742</w:t>
            </w:r>
          </w:p>
        </w:tc>
        <w:tc>
          <w:tcPr>
            <w:tcW w:w="350" w:type="pct"/>
            <w:tcBorders>
              <w:top w:val="nil"/>
              <w:left w:val="nil"/>
              <w:bottom w:val="single" w:sz="8" w:space="0" w:color="auto"/>
              <w:right w:val="nil"/>
            </w:tcBorders>
            <w:noWrap/>
            <w:vAlign w:val="center"/>
            <w:hideMark/>
          </w:tcPr>
          <w:p w:rsidR="001C2625" w:rsidRPr="009C0C9C" w:rsidRDefault="001C2625" w:rsidP="00101080">
            <w:pPr>
              <w:spacing w:before="60" w:after="60"/>
              <w:jc w:val="right"/>
            </w:pPr>
            <w:r w:rsidRPr="009C0C9C">
              <w:t>7 878</w:t>
            </w:r>
          </w:p>
        </w:tc>
        <w:tc>
          <w:tcPr>
            <w:tcW w:w="350" w:type="pct"/>
            <w:tcBorders>
              <w:top w:val="nil"/>
              <w:left w:val="nil"/>
              <w:bottom w:val="single" w:sz="8" w:space="0" w:color="auto"/>
              <w:right w:val="nil"/>
            </w:tcBorders>
            <w:noWrap/>
            <w:vAlign w:val="center"/>
            <w:hideMark/>
          </w:tcPr>
          <w:p w:rsidR="001C2625" w:rsidRPr="009C0C9C" w:rsidRDefault="001C2625" w:rsidP="00101080">
            <w:pPr>
              <w:spacing w:before="60" w:after="60"/>
              <w:jc w:val="right"/>
            </w:pPr>
            <w:r w:rsidRPr="009C0C9C">
              <w:t>7 945</w:t>
            </w:r>
          </w:p>
        </w:tc>
        <w:tc>
          <w:tcPr>
            <w:tcW w:w="350" w:type="pct"/>
            <w:tcBorders>
              <w:top w:val="nil"/>
              <w:left w:val="nil"/>
              <w:bottom w:val="single" w:sz="8" w:space="0" w:color="auto"/>
              <w:right w:val="nil"/>
            </w:tcBorders>
            <w:noWrap/>
            <w:vAlign w:val="center"/>
            <w:hideMark/>
          </w:tcPr>
          <w:p w:rsidR="001C2625" w:rsidRPr="009C0C9C" w:rsidRDefault="001C2625" w:rsidP="00101080">
            <w:pPr>
              <w:spacing w:before="60" w:after="60"/>
              <w:jc w:val="right"/>
            </w:pPr>
            <w:r w:rsidRPr="009C0C9C">
              <w:t>7 997</w:t>
            </w:r>
          </w:p>
        </w:tc>
        <w:tc>
          <w:tcPr>
            <w:tcW w:w="349" w:type="pct"/>
            <w:tcBorders>
              <w:top w:val="nil"/>
              <w:left w:val="nil"/>
              <w:bottom w:val="single" w:sz="8" w:space="0" w:color="auto"/>
              <w:right w:val="nil"/>
            </w:tcBorders>
            <w:noWrap/>
            <w:vAlign w:val="center"/>
            <w:hideMark/>
          </w:tcPr>
          <w:p w:rsidR="001C2625" w:rsidRPr="009C0C9C" w:rsidRDefault="001C2625" w:rsidP="00101080">
            <w:pPr>
              <w:spacing w:before="60" w:after="60"/>
              <w:jc w:val="right"/>
            </w:pPr>
            <w:r w:rsidRPr="009C0C9C">
              <w:t>8 025</w:t>
            </w:r>
          </w:p>
        </w:tc>
        <w:tc>
          <w:tcPr>
            <w:tcW w:w="348" w:type="pct"/>
            <w:tcBorders>
              <w:top w:val="nil"/>
              <w:left w:val="nil"/>
              <w:bottom w:val="single" w:sz="8" w:space="0" w:color="auto"/>
              <w:right w:val="nil"/>
            </w:tcBorders>
            <w:noWrap/>
            <w:vAlign w:val="center"/>
            <w:hideMark/>
          </w:tcPr>
          <w:p w:rsidR="001C2625" w:rsidRPr="009C0C9C" w:rsidRDefault="001C2625" w:rsidP="00101080">
            <w:pPr>
              <w:spacing w:before="60" w:after="60"/>
              <w:jc w:val="right"/>
            </w:pPr>
            <w:r w:rsidRPr="009C0C9C">
              <w:t>8 077</w:t>
            </w:r>
          </w:p>
        </w:tc>
        <w:tc>
          <w:tcPr>
            <w:tcW w:w="340" w:type="pct"/>
            <w:tcBorders>
              <w:top w:val="nil"/>
              <w:left w:val="nil"/>
              <w:bottom w:val="single" w:sz="8" w:space="0" w:color="auto"/>
              <w:right w:val="nil"/>
            </w:tcBorders>
            <w:noWrap/>
            <w:vAlign w:val="center"/>
            <w:hideMark/>
          </w:tcPr>
          <w:p w:rsidR="001C2625" w:rsidRPr="009C0C9C" w:rsidRDefault="001C2625" w:rsidP="00101080">
            <w:pPr>
              <w:spacing w:before="60" w:after="60"/>
              <w:jc w:val="right"/>
            </w:pPr>
            <w:r w:rsidRPr="009C0C9C">
              <w:t>8 188</w:t>
            </w:r>
          </w:p>
        </w:tc>
        <w:tc>
          <w:tcPr>
            <w:tcW w:w="639" w:type="pct"/>
            <w:tcBorders>
              <w:top w:val="nil"/>
              <w:left w:val="single" w:sz="4" w:space="0" w:color="auto"/>
              <w:bottom w:val="single" w:sz="8" w:space="0" w:color="auto"/>
              <w:right w:val="single" w:sz="8" w:space="0" w:color="auto"/>
            </w:tcBorders>
            <w:noWrap/>
            <w:vAlign w:val="center"/>
            <w:hideMark/>
          </w:tcPr>
          <w:p w:rsidR="001C2625" w:rsidRPr="009C0C9C" w:rsidRDefault="001C2625" w:rsidP="00101080">
            <w:pPr>
              <w:spacing w:before="60" w:after="60"/>
              <w:jc w:val="right"/>
            </w:pPr>
            <w:r w:rsidRPr="009C0C9C">
              <w:t>55 852</w:t>
            </w:r>
          </w:p>
        </w:tc>
      </w:tr>
      <w:tr w:rsidR="001C2625" w:rsidRPr="009C0C9C" w:rsidTr="00101080">
        <w:trPr>
          <w:trHeight w:val="315"/>
        </w:trPr>
        <w:tc>
          <w:tcPr>
            <w:tcW w:w="1927" w:type="pct"/>
            <w:tcBorders>
              <w:top w:val="nil"/>
              <w:left w:val="single" w:sz="8" w:space="0" w:color="auto"/>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TOTAL COMMITMENT APPROPRIATIONS</w:t>
            </w:r>
          </w:p>
        </w:tc>
        <w:tc>
          <w:tcPr>
            <w:tcW w:w="347" w:type="pct"/>
            <w:tcBorders>
              <w:top w:val="nil"/>
              <w:left w:val="single" w:sz="4" w:space="0" w:color="auto"/>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107 885</w:t>
            </w:r>
          </w:p>
        </w:tc>
        <w:tc>
          <w:tcPr>
            <w:tcW w:w="350" w:type="pct"/>
            <w:tcBorders>
              <w:top w:val="nil"/>
              <w:left w:val="nil"/>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166 070</w:t>
            </w:r>
          </w:p>
        </w:tc>
        <w:tc>
          <w:tcPr>
            <w:tcW w:w="350" w:type="pct"/>
            <w:tcBorders>
              <w:top w:val="nil"/>
              <w:left w:val="nil"/>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165 443</w:t>
            </w:r>
          </w:p>
        </w:tc>
        <w:tc>
          <w:tcPr>
            <w:tcW w:w="350" w:type="pct"/>
            <w:tcBorders>
              <w:top w:val="nil"/>
              <w:left w:val="nil"/>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165 905</w:t>
            </w:r>
          </w:p>
        </w:tc>
        <w:tc>
          <w:tcPr>
            <w:tcW w:w="349" w:type="pct"/>
            <w:tcBorders>
              <w:top w:val="nil"/>
              <w:left w:val="nil"/>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164 377</w:t>
            </w:r>
          </w:p>
        </w:tc>
        <w:tc>
          <w:tcPr>
            <w:tcW w:w="348" w:type="pct"/>
            <w:tcBorders>
              <w:top w:val="nil"/>
              <w:left w:val="nil"/>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154 071</w:t>
            </w:r>
          </w:p>
        </w:tc>
        <w:tc>
          <w:tcPr>
            <w:tcW w:w="340" w:type="pct"/>
            <w:tcBorders>
              <w:top w:val="nil"/>
              <w:left w:val="nil"/>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155 772</w:t>
            </w:r>
          </w:p>
        </w:tc>
        <w:tc>
          <w:tcPr>
            <w:tcW w:w="639" w:type="pct"/>
            <w:tcBorders>
              <w:top w:val="nil"/>
              <w:left w:val="single" w:sz="4" w:space="0" w:color="auto"/>
              <w:bottom w:val="single" w:sz="8" w:space="0" w:color="auto"/>
              <w:right w:val="single" w:sz="8" w:space="0" w:color="auto"/>
            </w:tcBorders>
            <w:noWrap/>
            <w:vAlign w:val="center"/>
            <w:hideMark/>
          </w:tcPr>
          <w:p w:rsidR="001C2625" w:rsidRPr="009C0C9C" w:rsidRDefault="001C2625" w:rsidP="00101080">
            <w:pPr>
              <w:spacing w:before="60" w:after="60"/>
              <w:jc w:val="right"/>
              <w:rPr>
                <w:b/>
                <w:bCs/>
              </w:rPr>
            </w:pPr>
            <w:r w:rsidRPr="009C0C9C">
              <w:rPr>
                <w:b/>
                <w:bCs/>
              </w:rPr>
              <w:t>1 079 523</w:t>
            </w:r>
          </w:p>
        </w:tc>
      </w:tr>
      <w:tr w:rsidR="001C2625" w:rsidRPr="009C0C9C" w:rsidTr="00101080">
        <w:trPr>
          <w:trHeight w:val="315"/>
        </w:trPr>
        <w:tc>
          <w:tcPr>
            <w:tcW w:w="1927" w:type="pct"/>
            <w:tcBorders>
              <w:top w:val="single" w:sz="8" w:space="0" w:color="auto"/>
              <w:left w:val="nil"/>
              <w:bottom w:val="single" w:sz="8" w:space="0" w:color="auto"/>
              <w:right w:val="nil"/>
            </w:tcBorders>
            <w:noWrap/>
            <w:vAlign w:val="center"/>
          </w:tcPr>
          <w:p w:rsidR="001C2625" w:rsidRPr="009C0C9C" w:rsidRDefault="001C2625" w:rsidP="00101080">
            <w:pPr>
              <w:spacing w:before="60" w:after="60"/>
            </w:pPr>
          </w:p>
        </w:tc>
        <w:tc>
          <w:tcPr>
            <w:tcW w:w="347" w:type="pct"/>
            <w:tcBorders>
              <w:top w:val="single" w:sz="8" w:space="0" w:color="auto"/>
              <w:left w:val="nil"/>
              <w:bottom w:val="single" w:sz="8" w:space="0" w:color="auto"/>
              <w:right w:val="nil"/>
            </w:tcBorders>
            <w:noWrap/>
            <w:vAlign w:val="center"/>
          </w:tcPr>
          <w:p w:rsidR="001C2625" w:rsidRPr="009C0C9C" w:rsidRDefault="001C2625" w:rsidP="00101080">
            <w:pPr>
              <w:spacing w:before="60" w:after="60"/>
              <w:jc w:val="right"/>
            </w:pPr>
          </w:p>
        </w:tc>
        <w:tc>
          <w:tcPr>
            <w:tcW w:w="350" w:type="pct"/>
            <w:tcBorders>
              <w:top w:val="single" w:sz="8" w:space="0" w:color="auto"/>
              <w:left w:val="nil"/>
              <w:bottom w:val="single" w:sz="8" w:space="0" w:color="auto"/>
              <w:right w:val="nil"/>
            </w:tcBorders>
            <w:noWrap/>
            <w:vAlign w:val="center"/>
          </w:tcPr>
          <w:p w:rsidR="001C2625" w:rsidRPr="009C0C9C" w:rsidRDefault="001C2625" w:rsidP="00101080">
            <w:pPr>
              <w:spacing w:before="60" w:after="60"/>
              <w:jc w:val="right"/>
            </w:pPr>
          </w:p>
        </w:tc>
        <w:tc>
          <w:tcPr>
            <w:tcW w:w="350" w:type="pct"/>
            <w:tcBorders>
              <w:top w:val="single" w:sz="8" w:space="0" w:color="auto"/>
              <w:left w:val="nil"/>
              <w:bottom w:val="single" w:sz="8" w:space="0" w:color="auto"/>
              <w:right w:val="nil"/>
            </w:tcBorders>
            <w:noWrap/>
            <w:vAlign w:val="center"/>
          </w:tcPr>
          <w:p w:rsidR="001C2625" w:rsidRPr="009C0C9C" w:rsidRDefault="001C2625" w:rsidP="00101080">
            <w:pPr>
              <w:spacing w:before="60" w:after="60"/>
              <w:jc w:val="right"/>
            </w:pPr>
          </w:p>
        </w:tc>
        <w:tc>
          <w:tcPr>
            <w:tcW w:w="350" w:type="pct"/>
            <w:tcBorders>
              <w:top w:val="single" w:sz="8" w:space="0" w:color="auto"/>
              <w:left w:val="nil"/>
              <w:bottom w:val="single" w:sz="8" w:space="0" w:color="auto"/>
              <w:right w:val="nil"/>
            </w:tcBorders>
            <w:noWrap/>
            <w:vAlign w:val="center"/>
          </w:tcPr>
          <w:p w:rsidR="001C2625" w:rsidRPr="009C0C9C" w:rsidRDefault="001C2625" w:rsidP="00101080">
            <w:pPr>
              <w:spacing w:before="60" w:after="60"/>
              <w:jc w:val="right"/>
            </w:pPr>
          </w:p>
        </w:tc>
        <w:tc>
          <w:tcPr>
            <w:tcW w:w="349" w:type="pct"/>
            <w:tcBorders>
              <w:top w:val="single" w:sz="8" w:space="0" w:color="auto"/>
              <w:left w:val="nil"/>
              <w:bottom w:val="single" w:sz="8" w:space="0" w:color="auto"/>
              <w:right w:val="nil"/>
            </w:tcBorders>
            <w:noWrap/>
            <w:vAlign w:val="center"/>
          </w:tcPr>
          <w:p w:rsidR="001C2625" w:rsidRPr="009C0C9C" w:rsidRDefault="001C2625" w:rsidP="00101080">
            <w:pPr>
              <w:spacing w:before="60" w:after="60"/>
              <w:jc w:val="right"/>
            </w:pPr>
          </w:p>
        </w:tc>
        <w:tc>
          <w:tcPr>
            <w:tcW w:w="348" w:type="pct"/>
            <w:tcBorders>
              <w:top w:val="single" w:sz="8" w:space="0" w:color="auto"/>
              <w:left w:val="nil"/>
              <w:bottom w:val="single" w:sz="8" w:space="0" w:color="auto"/>
              <w:right w:val="nil"/>
            </w:tcBorders>
            <w:noWrap/>
            <w:vAlign w:val="center"/>
          </w:tcPr>
          <w:p w:rsidR="001C2625" w:rsidRPr="009C0C9C" w:rsidRDefault="001C2625" w:rsidP="00101080">
            <w:pPr>
              <w:spacing w:before="60" w:after="60"/>
              <w:jc w:val="right"/>
            </w:pPr>
          </w:p>
        </w:tc>
        <w:tc>
          <w:tcPr>
            <w:tcW w:w="340" w:type="pct"/>
            <w:tcBorders>
              <w:top w:val="single" w:sz="8" w:space="0" w:color="auto"/>
              <w:left w:val="nil"/>
              <w:bottom w:val="single" w:sz="8" w:space="0" w:color="auto"/>
              <w:right w:val="nil"/>
            </w:tcBorders>
            <w:noWrap/>
            <w:vAlign w:val="center"/>
          </w:tcPr>
          <w:p w:rsidR="001C2625" w:rsidRPr="009C0C9C" w:rsidRDefault="001C2625" w:rsidP="00101080">
            <w:pPr>
              <w:spacing w:before="60" w:after="60"/>
              <w:jc w:val="right"/>
            </w:pPr>
          </w:p>
        </w:tc>
        <w:tc>
          <w:tcPr>
            <w:tcW w:w="639" w:type="pct"/>
            <w:tcBorders>
              <w:top w:val="single" w:sz="8" w:space="0" w:color="auto"/>
              <w:left w:val="nil"/>
              <w:bottom w:val="single" w:sz="8" w:space="0" w:color="auto"/>
              <w:right w:val="nil"/>
            </w:tcBorders>
            <w:noWrap/>
            <w:vAlign w:val="center"/>
          </w:tcPr>
          <w:p w:rsidR="001C2625" w:rsidRPr="009C0C9C" w:rsidRDefault="001C2625" w:rsidP="00101080">
            <w:pPr>
              <w:spacing w:before="60" w:after="60"/>
              <w:jc w:val="right"/>
            </w:pPr>
          </w:p>
        </w:tc>
      </w:tr>
      <w:tr w:rsidR="001C2625" w:rsidRPr="009C0C9C" w:rsidTr="00101080">
        <w:trPr>
          <w:trHeight w:val="315"/>
        </w:trPr>
        <w:tc>
          <w:tcPr>
            <w:tcW w:w="1927" w:type="pct"/>
            <w:tcBorders>
              <w:top w:val="single" w:sz="8" w:space="0" w:color="auto"/>
              <w:left w:val="single" w:sz="8" w:space="0" w:color="auto"/>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TOTAL PAYMENT APPROPRIATIONS</w:t>
            </w:r>
          </w:p>
        </w:tc>
        <w:tc>
          <w:tcPr>
            <w:tcW w:w="347" w:type="pct"/>
            <w:tcBorders>
              <w:top w:val="single" w:sz="8" w:space="0" w:color="auto"/>
              <w:left w:val="single" w:sz="4" w:space="0" w:color="auto"/>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154 065</w:t>
            </w:r>
          </w:p>
        </w:tc>
        <w:tc>
          <w:tcPr>
            <w:tcW w:w="350" w:type="pct"/>
            <w:tcBorders>
              <w:top w:val="single" w:sz="8" w:space="0" w:color="auto"/>
              <w:left w:val="nil"/>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153 850</w:t>
            </w:r>
          </w:p>
        </w:tc>
        <w:tc>
          <w:tcPr>
            <w:tcW w:w="350" w:type="pct"/>
            <w:tcBorders>
              <w:top w:val="single" w:sz="8" w:space="0" w:color="auto"/>
              <w:left w:val="nil"/>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152 682</w:t>
            </w:r>
          </w:p>
        </w:tc>
        <w:tc>
          <w:tcPr>
            <w:tcW w:w="350" w:type="pct"/>
            <w:tcBorders>
              <w:top w:val="single" w:sz="8" w:space="0" w:color="auto"/>
              <w:left w:val="nil"/>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151 436</w:t>
            </w:r>
          </w:p>
        </w:tc>
        <w:tc>
          <w:tcPr>
            <w:tcW w:w="349" w:type="pct"/>
            <w:tcBorders>
              <w:top w:val="single" w:sz="8" w:space="0" w:color="auto"/>
              <w:left w:val="nil"/>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151 175</w:t>
            </w:r>
          </w:p>
        </w:tc>
        <w:tc>
          <w:tcPr>
            <w:tcW w:w="348" w:type="pct"/>
            <w:tcBorders>
              <w:top w:val="single" w:sz="8" w:space="0" w:color="auto"/>
              <w:left w:val="nil"/>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151 175</w:t>
            </w:r>
          </w:p>
        </w:tc>
        <w:tc>
          <w:tcPr>
            <w:tcW w:w="340" w:type="pct"/>
            <w:tcBorders>
              <w:top w:val="single" w:sz="8" w:space="0" w:color="auto"/>
              <w:left w:val="nil"/>
              <w:bottom w:val="single" w:sz="8" w:space="0" w:color="auto"/>
              <w:right w:val="nil"/>
            </w:tcBorders>
            <w:noWrap/>
            <w:vAlign w:val="center"/>
            <w:hideMark/>
          </w:tcPr>
          <w:p w:rsidR="001C2625" w:rsidRPr="009C0C9C" w:rsidRDefault="001C2625" w:rsidP="00101080">
            <w:pPr>
              <w:spacing w:before="60" w:after="60"/>
              <w:jc w:val="right"/>
              <w:rPr>
                <w:b/>
                <w:bCs/>
              </w:rPr>
            </w:pPr>
            <w:r w:rsidRPr="009C0C9C">
              <w:rPr>
                <w:b/>
                <w:bCs/>
              </w:rPr>
              <w:t>151 175</w:t>
            </w:r>
          </w:p>
        </w:tc>
        <w:tc>
          <w:tcPr>
            <w:tcW w:w="639" w:type="pct"/>
            <w:tcBorders>
              <w:top w:val="single" w:sz="8" w:space="0" w:color="auto"/>
              <w:left w:val="single" w:sz="4" w:space="0" w:color="auto"/>
              <w:bottom w:val="single" w:sz="8" w:space="0" w:color="auto"/>
              <w:right w:val="single" w:sz="8" w:space="0" w:color="auto"/>
            </w:tcBorders>
            <w:noWrap/>
            <w:vAlign w:val="center"/>
            <w:hideMark/>
          </w:tcPr>
          <w:p w:rsidR="001C2625" w:rsidRPr="009C0C9C" w:rsidRDefault="001C2625" w:rsidP="00101080">
            <w:pPr>
              <w:spacing w:before="60" w:after="60"/>
              <w:jc w:val="right"/>
              <w:rPr>
                <w:b/>
                <w:bCs/>
              </w:rPr>
            </w:pPr>
            <w:r w:rsidRPr="009C0C9C">
              <w:rPr>
                <w:b/>
                <w:bCs/>
              </w:rPr>
              <w:t>1 065 558</w:t>
            </w:r>
          </w:p>
        </w:tc>
      </w:tr>
    </w:tbl>
    <w:p w:rsidR="001C2625" w:rsidRPr="009C0C9C" w:rsidRDefault="001C2625" w:rsidP="001C2625">
      <w:pPr>
        <w:pStyle w:val="NormalRight"/>
      </w:pPr>
    </w:p>
    <w:p w:rsidR="001C2625" w:rsidRPr="009C0C9C" w:rsidRDefault="001C2625" w:rsidP="001C2625">
      <w:pPr>
        <w:pStyle w:val="NormalCentered"/>
      </w:pPr>
      <w:r w:rsidRPr="009C0C9C">
        <w:br w:type="page"/>
      </w:r>
      <w:r w:rsidRPr="009C0C9C">
        <w:lastRenderedPageBreak/>
        <w:t>ANNEX II</w:t>
      </w:r>
      <w:r w:rsidRPr="009C0C9C">
        <w:br/>
        <w:t>PROGRAMME-SPECIFIC ADJUSTMENT – LIST OF PROGRAMMES, DISTRIBUTION KEY AND TOTAL ADDITIONAL ALLOCATION OF COMMITMENT APPROPRIATIONS</w:t>
      </w:r>
    </w:p>
    <w:tbl>
      <w:tblPr>
        <w:tblW w:w="5000" w:type="pct"/>
        <w:tblLook w:val="04A0" w:firstRow="1" w:lastRow="0" w:firstColumn="1" w:lastColumn="0" w:noHBand="0" w:noVBand="1"/>
      </w:tblPr>
      <w:tblGrid>
        <w:gridCol w:w="5171"/>
        <w:gridCol w:w="2329"/>
        <w:gridCol w:w="2466"/>
        <w:gridCol w:w="4320"/>
      </w:tblGrid>
      <w:tr w:rsidR="001C2625" w:rsidRPr="009C0C9C" w:rsidTr="00101080">
        <w:trPr>
          <w:trHeight w:val="20"/>
        </w:trPr>
        <w:tc>
          <w:tcPr>
            <w:tcW w:w="1810" w:type="pct"/>
            <w:tcBorders>
              <w:top w:val="nil"/>
              <w:left w:val="nil"/>
              <w:bottom w:val="single" w:sz="8" w:space="0" w:color="auto"/>
              <w:right w:val="nil"/>
            </w:tcBorders>
            <w:noWrap/>
            <w:hideMark/>
          </w:tcPr>
          <w:p w:rsidR="001C2625" w:rsidRPr="009C0C9C" w:rsidRDefault="001C2625" w:rsidP="00101080"/>
        </w:tc>
        <w:tc>
          <w:tcPr>
            <w:tcW w:w="815" w:type="pct"/>
            <w:tcBorders>
              <w:top w:val="nil"/>
              <w:left w:val="nil"/>
              <w:bottom w:val="single" w:sz="8" w:space="0" w:color="auto"/>
              <w:right w:val="nil"/>
            </w:tcBorders>
            <w:noWrap/>
            <w:hideMark/>
          </w:tcPr>
          <w:p w:rsidR="001C2625" w:rsidRPr="009C0C9C" w:rsidRDefault="001C2625" w:rsidP="00101080">
            <w:pPr>
              <w:spacing w:after="160" w:line="256" w:lineRule="auto"/>
              <w:rPr>
                <w:rFonts w:asciiTheme="minorHAnsi" w:hAnsiTheme="minorHAnsi" w:cstheme="minorBidi"/>
                <w:sz w:val="20"/>
              </w:rPr>
            </w:pPr>
          </w:p>
        </w:tc>
        <w:tc>
          <w:tcPr>
            <w:tcW w:w="863" w:type="pct"/>
            <w:tcBorders>
              <w:top w:val="nil"/>
              <w:left w:val="nil"/>
              <w:bottom w:val="single" w:sz="8" w:space="0" w:color="auto"/>
              <w:right w:val="nil"/>
            </w:tcBorders>
          </w:tcPr>
          <w:p w:rsidR="001C2625" w:rsidRPr="009C0C9C" w:rsidRDefault="001C2625" w:rsidP="00101080">
            <w:pPr>
              <w:spacing w:before="60" w:after="60"/>
              <w:jc w:val="right"/>
              <w:rPr>
                <w:szCs w:val="22"/>
                <w:lang w:eastAsia="en-US"/>
              </w:rPr>
            </w:pPr>
          </w:p>
        </w:tc>
        <w:tc>
          <w:tcPr>
            <w:tcW w:w="1512" w:type="pct"/>
            <w:tcBorders>
              <w:top w:val="nil"/>
              <w:left w:val="nil"/>
              <w:bottom w:val="single" w:sz="8" w:space="0" w:color="auto"/>
              <w:right w:val="nil"/>
            </w:tcBorders>
            <w:noWrap/>
            <w:hideMark/>
          </w:tcPr>
          <w:p w:rsidR="001C2625" w:rsidRPr="009C0C9C" w:rsidRDefault="001C2625" w:rsidP="00101080">
            <w:pPr>
              <w:spacing w:before="60" w:after="60"/>
              <w:jc w:val="right"/>
            </w:pPr>
            <w:r w:rsidRPr="009C0C9C">
              <w:t>(</w:t>
            </w:r>
            <w:r w:rsidRPr="009C0C9C">
              <w:rPr>
                <w:i/>
                <w:iCs/>
              </w:rPr>
              <w:t>EUR million – 2018 prices</w:t>
            </w:r>
            <w:r w:rsidRPr="009C0C9C">
              <w:t>)</w:t>
            </w:r>
          </w:p>
        </w:tc>
      </w:tr>
      <w:tr w:rsidR="001C2625" w:rsidRPr="009C0C9C" w:rsidTr="00101080">
        <w:trPr>
          <w:trHeight w:val="20"/>
        </w:trPr>
        <w:tc>
          <w:tcPr>
            <w:tcW w:w="1810" w:type="pct"/>
            <w:tcBorders>
              <w:top w:val="single" w:sz="8" w:space="0" w:color="auto"/>
              <w:left w:val="nil"/>
              <w:bottom w:val="single" w:sz="8" w:space="0" w:color="auto"/>
              <w:right w:val="nil"/>
            </w:tcBorders>
            <w:noWrap/>
            <w:hideMark/>
          </w:tcPr>
          <w:p w:rsidR="001C2625" w:rsidRPr="009C0C9C" w:rsidRDefault="001C2625" w:rsidP="00101080"/>
        </w:tc>
        <w:tc>
          <w:tcPr>
            <w:tcW w:w="1678" w:type="pct"/>
            <w:gridSpan w:val="2"/>
            <w:tcBorders>
              <w:top w:val="single" w:sz="4" w:space="0" w:color="auto"/>
              <w:left w:val="nil"/>
              <w:bottom w:val="single" w:sz="8" w:space="0" w:color="auto"/>
              <w:right w:val="nil"/>
            </w:tcBorders>
            <w:noWrap/>
            <w:hideMark/>
          </w:tcPr>
          <w:p w:rsidR="001C2625" w:rsidRPr="009C0C9C" w:rsidRDefault="001C2625" w:rsidP="00101080">
            <w:pPr>
              <w:spacing w:before="60" w:after="60"/>
              <w:jc w:val="center"/>
              <w:rPr>
                <w:szCs w:val="22"/>
                <w:lang w:eastAsia="en-US"/>
              </w:rPr>
            </w:pPr>
            <w:r w:rsidRPr="009C0C9C">
              <w:t>Distribution key</w:t>
            </w:r>
          </w:p>
        </w:tc>
        <w:tc>
          <w:tcPr>
            <w:tcW w:w="1512" w:type="pct"/>
            <w:tcBorders>
              <w:top w:val="single" w:sz="8" w:space="0" w:color="auto"/>
              <w:left w:val="nil"/>
              <w:bottom w:val="single" w:sz="8" w:space="0" w:color="auto"/>
              <w:right w:val="nil"/>
            </w:tcBorders>
            <w:hideMark/>
          </w:tcPr>
          <w:p w:rsidR="001C2625" w:rsidRPr="009C0C9C" w:rsidRDefault="001C2625" w:rsidP="00101080">
            <w:pPr>
              <w:spacing w:before="60" w:after="60"/>
              <w:jc w:val="center"/>
            </w:pPr>
            <w:r w:rsidRPr="009C0C9C">
              <w:t>Total additional allocation of commitment appropriations under Article 5</w:t>
            </w:r>
          </w:p>
        </w:tc>
      </w:tr>
      <w:tr w:rsidR="001C2625" w:rsidRPr="009C0C9C" w:rsidTr="00101080">
        <w:trPr>
          <w:trHeight w:val="20"/>
        </w:trPr>
        <w:tc>
          <w:tcPr>
            <w:tcW w:w="1810" w:type="pct"/>
            <w:tcBorders>
              <w:top w:val="single" w:sz="8" w:space="0" w:color="auto"/>
              <w:left w:val="nil"/>
              <w:bottom w:val="nil"/>
              <w:right w:val="nil"/>
            </w:tcBorders>
            <w:noWrap/>
          </w:tcPr>
          <w:p w:rsidR="001C2625" w:rsidRPr="009C0C9C" w:rsidRDefault="001C2625" w:rsidP="00101080">
            <w:pPr>
              <w:spacing w:before="60" w:after="60"/>
              <w:jc w:val="center"/>
            </w:pPr>
          </w:p>
        </w:tc>
        <w:tc>
          <w:tcPr>
            <w:tcW w:w="815" w:type="pct"/>
            <w:tcBorders>
              <w:top w:val="single" w:sz="8" w:space="0" w:color="auto"/>
              <w:left w:val="nil"/>
              <w:bottom w:val="nil"/>
              <w:right w:val="nil"/>
            </w:tcBorders>
            <w:noWrap/>
            <w:hideMark/>
          </w:tcPr>
          <w:p w:rsidR="001C2625" w:rsidRPr="009C0C9C" w:rsidRDefault="001C2625" w:rsidP="00101080">
            <w:pPr>
              <w:spacing w:before="60" w:after="60"/>
              <w:jc w:val="center"/>
              <w:rPr>
                <w:b/>
              </w:rPr>
            </w:pPr>
            <w:r w:rsidRPr="009C0C9C">
              <w:rPr>
                <w:b/>
              </w:rPr>
              <w:t>2022-2024</w:t>
            </w:r>
          </w:p>
        </w:tc>
        <w:tc>
          <w:tcPr>
            <w:tcW w:w="863" w:type="pct"/>
            <w:tcBorders>
              <w:top w:val="single" w:sz="8" w:space="0" w:color="auto"/>
              <w:left w:val="nil"/>
              <w:bottom w:val="nil"/>
              <w:right w:val="nil"/>
            </w:tcBorders>
            <w:hideMark/>
          </w:tcPr>
          <w:p w:rsidR="001C2625" w:rsidRPr="009C0C9C" w:rsidRDefault="001C2625" w:rsidP="00101080">
            <w:pPr>
              <w:spacing w:before="60" w:after="60"/>
              <w:jc w:val="center"/>
              <w:rPr>
                <w:b/>
              </w:rPr>
            </w:pPr>
            <w:r w:rsidRPr="009C0C9C">
              <w:rPr>
                <w:b/>
              </w:rPr>
              <w:t>2025-2027</w:t>
            </w:r>
          </w:p>
        </w:tc>
        <w:tc>
          <w:tcPr>
            <w:tcW w:w="1512" w:type="pct"/>
            <w:tcBorders>
              <w:top w:val="single" w:sz="8" w:space="0" w:color="auto"/>
              <w:left w:val="nil"/>
              <w:bottom w:val="nil"/>
              <w:right w:val="nil"/>
            </w:tcBorders>
          </w:tcPr>
          <w:p w:rsidR="001C2625" w:rsidRPr="009C0C9C" w:rsidRDefault="001C2625" w:rsidP="00101080">
            <w:pPr>
              <w:spacing w:before="60" w:after="60"/>
              <w:jc w:val="center"/>
            </w:pPr>
          </w:p>
        </w:tc>
      </w:tr>
      <w:tr w:rsidR="001C2625" w:rsidRPr="009C0C9C" w:rsidTr="00101080">
        <w:trPr>
          <w:trHeight w:val="20"/>
        </w:trPr>
        <w:tc>
          <w:tcPr>
            <w:tcW w:w="1810" w:type="pct"/>
            <w:noWrap/>
            <w:hideMark/>
          </w:tcPr>
          <w:p w:rsidR="001C2625" w:rsidRPr="009C0C9C" w:rsidRDefault="001C2625" w:rsidP="00101080">
            <w:pPr>
              <w:pStyle w:val="Point0"/>
              <w:spacing w:before="60" w:after="60" w:line="240" w:lineRule="auto"/>
              <w:rPr>
                <w:b/>
                <w:bCs/>
              </w:rPr>
            </w:pPr>
            <w:r w:rsidRPr="009C0C9C">
              <w:rPr>
                <w:b/>
                <w:bCs/>
              </w:rPr>
              <w:t>1.</w:t>
            </w:r>
            <w:r w:rsidRPr="009C0C9C">
              <w:rPr>
                <w:b/>
                <w:bCs/>
              </w:rPr>
              <w:tab/>
              <w:t>Single Market, Innovation and Digital</w:t>
            </w:r>
          </w:p>
        </w:tc>
        <w:tc>
          <w:tcPr>
            <w:tcW w:w="815" w:type="pct"/>
            <w:noWrap/>
            <w:hideMark/>
          </w:tcPr>
          <w:p w:rsidR="001C2625" w:rsidRPr="009C0C9C" w:rsidRDefault="001C2625" w:rsidP="00101080">
            <w:pPr>
              <w:spacing w:before="60" w:after="60"/>
              <w:ind w:right="567"/>
              <w:jc w:val="right"/>
              <w:rPr>
                <w:b/>
              </w:rPr>
            </w:pPr>
            <w:r w:rsidRPr="009C0C9C">
              <w:rPr>
                <w:b/>
              </w:rPr>
              <w:t>36,36 %</w:t>
            </w:r>
          </w:p>
        </w:tc>
        <w:tc>
          <w:tcPr>
            <w:tcW w:w="863" w:type="pct"/>
            <w:hideMark/>
          </w:tcPr>
          <w:p w:rsidR="001C2625" w:rsidRPr="009C0C9C" w:rsidRDefault="001C2625" w:rsidP="00101080">
            <w:pPr>
              <w:spacing w:before="60" w:after="60"/>
              <w:ind w:right="567"/>
              <w:jc w:val="right"/>
              <w:rPr>
                <w:b/>
              </w:rPr>
            </w:pPr>
            <w:r w:rsidRPr="009C0C9C">
              <w:rPr>
                <w:b/>
              </w:rPr>
              <w:t>41,79 %</w:t>
            </w:r>
          </w:p>
        </w:tc>
        <w:tc>
          <w:tcPr>
            <w:tcW w:w="1512" w:type="pct"/>
            <w:noWrap/>
            <w:hideMark/>
          </w:tcPr>
          <w:p w:rsidR="001C2625" w:rsidRPr="009C0C9C" w:rsidRDefault="001C2625" w:rsidP="00101080">
            <w:pPr>
              <w:spacing w:before="60" w:after="60"/>
              <w:ind w:right="1134"/>
              <w:jc w:val="right"/>
              <w:rPr>
                <w:b/>
              </w:rPr>
            </w:pPr>
            <w:r w:rsidRPr="009C0C9C">
              <w:rPr>
                <w:b/>
              </w:rPr>
              <w:t>4 000</w:t>
            </w:r>
          </w:p>
        </w:tc>
      </w:tr>
      <w:tr w:rsidR="001C2625" w:rsidRPr="009C0C9C" w:rsidTr="00101080">
        <w:trPr>
          <w:trHeight w:val="20"/>
        </w:trPr>
        <w:tc>
          <w:tcPr>
            <w:tcW w:w="1810" w:type="pct"/>
            <w:noWrap/>
            <w:hideMark/>
          </w:tcPr>
          <w:p w:rsidR="001C2625" w:rsidRPr="009C0C9C" w:rsidRDefault="001C2625" w:rsidP="00101080">
            <w:pPr>
              <w:pStyle w:val="Text1"/>
              <w:spacing w:before="60" w:after="60" w:line="240" w:lineRule="auto"/>
            </w:pPr>
            <w:r w:rsidRPr="009C0C9C">
              <w:t>Horizon Europe</w:t>
            </w:r>
          </w:p>
        </w:tc>
        <w:tc>
          <w:tcPr>
            <w:tcW w:w="815" w:type="pct"/>
            <w:noWrap/>
            <w:hideMark/>
          </w:tcPr>
          <w:p w:rsidR="001C2625" w:rsidRPr="009C0C9C" w:rsidRDefault="001C2625" w:rsidP="00101080">
            <w:pPr>
              <w:spacing w:before="60" w:after="60"/>
              <w:ind w:left="-156" w:right="567" w:firstLine="156"/>
              <w:jc w:val="right"/>
            </w:pPr>
            <w:r w:rsidRPr="009C0C9C">
              <w:t>27,27 %</w:t>
            </w:r>
          </w:p>
        </w:tc>
        <w:tc>
          <w:tcPr>
            <w:tcW w:w="863" w:type="pct"/>
            <w:hideMark/>
          </w:tcPr>
          <w:p w:rsidR="001C2625" w:rsidRPr="009C0C9C" w:rsidRDefault="001C2625" w:rsidP="00101080">
            <w:pPr>
              <w:spacing w:before="60" w:after="60"/>
              <w:ind w:right="567"/>
              <w:jc w:val="right"/>
            </w:pPr>
            <w:r w:rsidRPr="009C0C9C">
              <w:t>31</w:t>
            </w:r>
            <w:r w:rsidRPr="009C0C9C">
              <w:rPr>
                <w:bCs/>
              </w:rPr>
              <w:t>,</w:t>
            </w:r>
            <w:r w:rsidRPr="009C0C9C">
              <w:t>34 %</w:t>
            </w:r>
          </w:p>
        </w:tc>
        <w:tc>
          <w:tcPr>
            <w:tcW w:w="1512" w:type="pct"/>
            <w:noWrap/>
            <w:hideMark/>
          </w:tcPr>
          <w:p w:rsidR="001C2625" w:rsidRPr="009C0C9C" w:rsidRDefault="001C2625" w:rsidP="00101080">
            <w:pPr>
              <w:spacing w:before="60" w:after="60"/>
              <w:ind w:right="1134"/>
              <w:jc w:val="right"/>
            </w:pPr>
            <w:r w:rsidRPr="009C0C9C">
              <w:t>3 000</w:t>
            </w:r>
          </w:p>
        </w:tc>
      </w:tr>
      <w:tr w:rsidR="001C2625" w:rsidRPr="009C0C9C" w:rsidTr="00101080">
        <w:trPr>
          <w:trHeight w:val="20"/>
        </w:trPr>
        <w:tc>
          <w:tcPr>
            <w:tcW w:w="1810" w:type="pct"/>
            <w:noWrap/>
            <w:hideMark/>
          </w:tcPr>
          <w:p w:rsidR="001C2625" w:rsidRPr="009C0C9C" w:rsidRDefault="001C2625" w:rsidP="00101080">
            <w:pPr>
              <w:pStyle w:val="Text1"/>
              <w:spacing w:before="60" w:after="60" w:line="240" w:lineRule="auto"/>
            </w:pPr>
            <w:proofErr w:type="spellStart"/>
            <w:r w:rsidRPr="009C0C9C">
              <w:t>InvestEU</w:t>
            </w:r>
            <w:proofErr w:type="spellEnd"/>
            <w:r w:rsidRPr="009C0C9C">
              <w:t xml:space="preserve"> Fund</w:t>
            </w:r>
          </w:p>
        </w:tc>
        <w:tc>
          <w:tcPr>
            <w:tcW w:w="815" w:type="pct"/>
            <w:noWrap/>
            <w:hideMark/>
          </w:tcPr>
          <w:p w:rsidR="001C2625" w:rsidRPr="009C0C9C" w:rsidRDefault="001C2625" w:rsidP="00101080">
            <w:pPr>
              <w:spacing w:before="60" w:after="60"/>
              <w:ind w:right="567"/>
              <w:jc w:val="right"/>
            </w:pPr>
            <w:r w:rsidRPr="009C0C9C">
              <w:t>9,09 %</w:t>
            </w:r>
          </w:p>
        </w:tc>
        <w:tc>
          <w:tcPr>
            <w:tcW w:w="863" w:type="pct"/>
            <w:hideMark/>
          </w:tcPr>
          <w:p w:rsidR="001C2625" w:rsidRPr="009C0C9C" w:rsidRDefault="001C2625" w:rsidP="00101080">
            <w:pPr>
              <w:spacing w:before="60" w:after="60"/>
              <w:ind w:right="567"/>
              <w:jc w:val="right"/>
            </w:pPr>
            <w:r w:rsidRPr="009C0C9C">
              <w:t>10</w:t>
            </w:r>
            <w:r w:rsidRPr="009C0C9C">
              <w:rPr>
                <w:bCs/>
              </w:rPr>
              <w:t>,</w:t>
            </w:r>
            <w:r w:rsidRPr="009C0C9C">
              <w:t>45 %</w:t>
            </w:r>
          </w:p>
        </w:tc>
        <w:tc>
          <w:tcPr>
            <w:tcW w:w="1512" w:type="pct"/>
            <w:noWrap/>
            <w:hideMark/>
          </w:tcPr>
          <w:p w:rsidR="001C2625" w:rsidRPr="009C0C9C" w:rsidRDefault="001C2625" w:rsidP="00101080">
            <w:pPr>
              <w:spacing w:before="60" w:after="60"/>
              <w:ind w:right="1134"/>
              <w:jc w:val="right"/>
            </w:pPr>
            <w:r w:rsidRPr="009C0C9C">
              <w:t>1 000</w:t>
            </w:r>
          </w:p>
        </w:tc>
      </w:tr>
      <w:tr w:rsidR="001C2625" w:rsidRPr="009C0C9C" w:rsidTr="00101080">
        <w:trPr>
          <w:trHeight w:val="20"/>
        </w:trPr>
        <w:tc>
          <w:tcPr>
            <w:tcW w:w="1810" w:type="pct"/>
            <w:noWrap/>
            <w:hideMark/>
          </w:tcPr>
          <w:p w:rsidR="001C2625" w:rsidRPr="009C0C9C" w:rsidRDefault="001C2625" w:rsidP="00101080">
            <w:pPr>
              <w:pStyle w:val="Point0"/>
              <w:spacing w:before="60" w:after="60" w:line="240" w:lineRule="auto"/>
              <w:rPr>
                <w:b/>
                <w:bCs/>
              </w:rPr>
            </w:pPr>
            <w:r w:rsidRPr="009C0C9C">
              <w:rPr>
                <w:b/>
                <w:bCs/>
              </w:rPr>
              <w:t>2b.</w:t>
            </w:r>
            <w:r w:rsidRPr="009C0C9C">
              <w:rPr>
                <w:b/>
                <w:bCs/>
              </w:rPr>
              <w:tab/>
              <w:t>Resilience and Values</w:t>
            </w:r>
          </w:p>
        </w:tc>
        <w:tc>
          <w:tcPr>
            <w:tcW w:w="815" w:type="pct"/>
            <w:noWrap/>
            <w:hideMark/>
          </w:tcPr>
          <w:p w:rsidR="001C2625" w:rsidRPr="009C0C9C" w:rsidRDefault="001C2625" w:rsidP="00101080">
            <w:pPr>
              <w:spacing w:before="60" w:after="60"/>
              <w:ind w:right="567"/>
              <w:jc w:val="right"/>
              <w:rPr>
                <w:b/>
              </w:rPr>
            </w:pPr>
            <w:r w:rsidRPr="009C0C9C">
              <w:rPr>
                <w:b/>
              </w:rPr>
              <w:t>54,55 %</w:t>
            </w:r>
          </w:p>
        </w:tc>
        <w:tc>
          <w:tcPr>
            <w:tcW w:w="863" w:type="pct"/>
            <w:hideMark/>
          </w:tcPr>
          <w:p w:rsidR="001C2625" w:rsidRPr="009C0C9C" w:rsidRDefault="001C2625" w:rsidP="00101080">
            <w:pPr>
              <w:spacing w:before="60" w:after="60"/>
              <w:ind w:right="567"/>
              <w:jc w:val="right"/>
              <w:rPr>
                <w:b/>
              </w:rPr>
            </w:pPr>
            <w:r w:rsidRPr="009C0C9C">
              <w:rPr>
                <w:b/>
              </w:rPr>
              <w:t>47,76 %</w:t>
            </w:r>
          </w:p>
        </w:tc>
        <w:tc>
          <w:tcPr>
            <w:tcW w:w="1512" w:type="pct"/>
            <w:noWrap/>
            <w:hideMark/>
          </w:tcPr>
          <w:p w:rsidR="001C2625" w:rsidRPr="009C0C9C" w:rsidRDefault="001C2625" w:rsidP="00101080">
            <w:pPr>
              <w:spacing w:before="60" w:after="60"/>
              <w:ind w:right="1134"/>
              <w:jc w:val="right"/>
              <w:rPr>
                <w:b/>
              </w:rPr>
            </w:pPr>
            <w:r w:rsidRPr="009C0C9C">
              <w:rPr>
                <w:b/>
              </w:rPr>
              <w:t>5 155</w:t>
            </w:r>
          </w:p>
        </w:tc>
      </w:tr>
      <w:tr w:rsidR="001C2625" w:rsidRPr="009C0C9C" w:rsidTr="00101080">
        <w:trPr>
          <w:trHeight w:val="20"/>
        </w:trPr>
        <w:tc>
          <w:tcPr>
            <w:tcW w:w="1810" w:type="pct"/>
            <w:noWrap/>
            <w:hideMark/>
          </w:tcPr>
          <w:p w:rsidR="001C2625" w:rsidRPr="009C0C9C" w:rsidRDefault="001C2625" w:rsidP="00101080">
            <w:pPr>
              <w:pStyle w:val="Text1"/>
              <w:spacing w:before="60" w:after="60" w:line="240" w:lineRule="auto"/>
            </w:pPr>
            <w:r w:rsidRPr="009C0C9C">
              <w:t>EU4Health</w:t>
            </w:r>
          </w:p>
        </w:tc>
        <w:tc>
          <w:tcPr>
            <w:tcW w:w="815" w:type="pct"/>
            <w:noWrap/>
            <w:hideMark/>
          </w:tcPr>
          <w:p w:rsidR="001C2625" w:rsidRPr="009C0C9C" w:rsidRDefault="001C2625" w:rsidP="00101080">
            <w:pPr>
              <w:spacing w:before="60" w:after="60"/>
              <w:ind w:right="567"/>
              <w:jc w:val="right"/>
            </w:pPr>
            <w:r w:rsidRPr="009C0C9C">
              <w:t>26,37 %</w:t>
            </w:r>
          </w:p>
        </w:tc>
        <w:tc>
          <w:tcPr>
            <w:tcW w:w="863" w:type="pct"/>
            <w:hideMark/>
          </w:tcPr>
          <w:p w:rsidR="001C2625" w:rsidRPr="009C0C9C" w:rsidRDefault="001C2625" w:rsidP="00101080">
            <w:pPr>
              <w:spacing w:before="60" w:after="60"/>
              <w:ind w:right="567"/>
              <w:jc w:val="right"/>
            </w:pPr>
            <w:r w:rsidRPr="009C0C9C">
              <w:t>15</w:t>
            </w:r>
            <w:r w:rsidRPr="009C0C9C">
              <w:rPr>
                <w:bCs/>
              </w:rPr>
              <w:t>,</w:t>
            </w:r>
            <w:r w:rsidRPr="009C0C9C">
              <w:t>37 %</w:t>
            </w:r>
          </w:p>
        </w:tc>
        <w:tc>
          <w:tcPr>
            <w:tcW w:w="1512" w:type="pct"/>
            <w:noWrap/>
            <w:hideMark/>
          </w:tcPr>
          <w:p w:rsidR="001C2625" w:rsidRPr="009C0C9C" w:rsidRDefault="001C2625" w:rsidP="00101080">
            <w:pPr>
              <w:spacing w:before="60" w:after="60"/>
              <w:ind w:right="1134"/>
              <w:jc w:val="right"/>
              <w:rPr>
                <w:bCs/>
              </w:rPr>
            </w:pPr>
            <w:r w:rsidRPr="009C0C9C">
              <w:rPr>
                <w:bCs/>
              </w:rPr>
              <w:t>2 055</w:t>
            </w:r>
          </w:p>
        </w:tc>
      </w:tr>
      <w:tr w:rsidR="001C2625" w:rsidRPr="009C0C9C" w:rsidTr="00101080">
        <w:trPr>
          <w:trHeight w:val="20"/>
        </w:trPr>
        <w:tc>
          <w:tcPr>
            <w:tcW w:w="1810" w:type="pct"/>
            <w:noWrap/>
            <w:hideMark/>
          </w:tcPr>
          <w:p w:rsidR="001C2625" w:rsidRPr="009C0C9C" w:rsidRDefault="001C2625" w:rsidP="00101080">
            <w:pPr>
              <w:pStyle w:val="Text1"/>
              <w:spacing w:before="60" w:after="60" w:line="240" w:lineRule="auto"/>
            </w:pPr>
            <w:r w:rsidRPr="009C0C9C">
              <w:t>Erasmus+</w:t>
            </w:r>
          </w:p>
        </w:tc>
        <w:tc>
          <w:tcPr>
            <w:tcW w:w="815" w:type="pct"/>
            <w:noWrap/>
            <w:hideMark/>
          </w:tcPr>
          <w:p w:rsidR="001C2625" w:rsidRPr="009C0C9C" w:rsidRDefault="001C2625" w:rsidP="00101080">
            <w:pPr>
              <w:spacing w:before="60" w:after="60"/>
              <w:ind w:right="567"/>
              <w:jc w:val="right"/>
            </w:pPr>
            <w:r w:rsidRPr="009C0C9C">
              <w:t>15,46 %</w:t>
            </w:r>
          </w:p>
        </w:tc>
        <w:tc>
          <w:tcPr>
            <w:tcW w:w="863" w:type="pct"/>
            <w:hideMark/>
          </w:tcPr>
          <w:p w:rsidR="001C2625" w:rsidRPr="009C0C9C" w:rsidRDefault="001C2625" w:rsidP="00101080">
            <w:pPr>
              <w:spacing w:before="60" w:after="60"/>
              <w:ind w:right="567"/>
              <w:jc w:val="right"/>
            </w:pPr>
            <w:r w:rsidRPr="009C0C9C">
              <w:t>17</w:t>
            </w:r>
            <w:r w:rsidRPr="009C0C9C">
              <w:rPr>
                <w:bCs/>
              </w:rPr>
              <w:t>,</w:t>
            </w:r>
            <w:r w:rsidRPr="009C0C9C">
              <w:t>77 %</w:t>
            </w:r>
          </w:p>
        </w:tc>
        <w:tc>
          <w:tcPr>
            <w:tcW w:w="1512" w:type="pct"/>
            <w:noWrap/>
            <w:hideMark/>
          </w:tcPr>
          <w:p w:rsidR="001C2625" w:rsidRPr="009C0C9C" w:rsidRDefault="001C2625" w:rsidP="00101080">
            <w:pPr>
              <w:spacing w:before="60" w:after="60"/>
              <w:ind w:right="1134"/>
              <w:jc w:val="right"/>
            </w:pPr>
            <w:r w:rsidRPr="009C0C9C">
              <w:t>1 700</w:t>
            </w:r>
          </w:p>
        </w:tc>
      </w:tr>
      <w:tr w:rsidR="001C2625" w:rsidRPr="009C0C9C" w:rsidTr="00101080">
        <w:trPr>
          <w:trHeight w:val="20"/>
        </w:trPr>
        <w:tc>
          <w:tcPr>
            <w:tcW w:w="1810" w:type="pct"/>
            <w:noWrap/>
            <w:hideMark/>
          </w:tcPr>
          <w:p w:rsidR="001C2625" w:rsidRPr="009C0C9C" w:rsidRDefault="001C2625" w:rsidP="00101080">
            <w:pPr>
              <w:pStyle w:val="Text1"/>
              <w:spacing w:before="60" w:after="60" w:line="240" w:lineRule="auto"/>
            </w:pPr>
            <w:r w:rsidRPr="009C0C9C">
              <w:t>Creative Europe</w:t>
            </w:r>
          </w:p>
        </w:tc>
        <w:tc>
          <w:tcPr>
            <w:tcW w:w="815" w:type="pct"/>
            <w:noWrap/>
            <w:hideMark/>
          </w:tcPr>
          <w:p w:rsidR="001C2625" w:rsidRPr="009C0C9C" w:rsidRDefault="001C2625" w:rsidP="00101080">
            <w:pPr>
              <w:spacing w:before="60" w:after="60"/>
              <w:ind w:right="567"/>
              <w:jc w:val="right"/>
            </w:pPr>
            <w:r w:rsidRPr="009C0C9C">
              <w:t>5,45 %</w:t>
            </w:r>
          </w:p>
        </w:tc>
        <w:tc>
          <w:tcPr>
            <w:tcW w:w="863" w:type="pct"/>
            <w:hideMark/>
          </w:tcPr>
          <w:p w:rsidR="001C2625" w:rsidRPr="009C0C9C" w:rsidRDefault="001C2625" w:rsidP="00101080">
            <w:pPr>
              <w:spacing w:before="60" w:after="60"/>
              <w:ind w:right="567"/>
              <w:jc w:val="right"/>
            </w:pPr>
            <w:r w:rsidRPr="009C0C9C">
              <w:t>6</w:t>
            </w:r>
            <w:r w:rsidRPr="009C0C9C">
              <w:rPr>
                <w:bCs/>
              </w:rPr>
              <w:t>,</w:t>
            </w:r>
            <w:r w:rsidRPr="009C0C9C">
              <w:t>26 %</w:t>
            </w:r>
          </w:p>
        </w:tc>
        <w:tc>
          <w:tcPr>
            <w:tcW w:w="1512" w:type="pct"/>
            <w:noWrap/>
            <w:hideMark/>
          </w:tcPr>
          <w:p w:rsidR="001C2625" w:rsidRPr="009C0C9C" w:rsidRDefault="001C2625" w:rsidP="00101080">
            <w:pPr>
              <w:spacing w:before="60" w:after="60"/>
              <w:ind w:right="1134"/>
              <w:jc w:val="right"/>
            </w:pPr>
            <w:r w:rsidRPr="009C0C9C">
              <w:t>600</w:t>
            </w:r>
          </w:p>
        </w:tc>
      </w:tr>
      <w:tr w:rsidR="001C2625" w:rsidRPr="009C0C9C" w:rsidTr="00101080">
        <w:trPr>
          <w:trHeight w:val="20"/>
        </w:trPr>
        <w:tc>
          <w:tcPr>
            <w:tcW w:w="1810" w:type="pct"/>
            <w:noWrap/>
            <w:hideMark/>
          </w:tcPr>
          <w:p w:rsidR="001C2625" w:rsidRPr="009C0C9C" w:rsidRDefault="001C2625" w:rsidP="00101080">
            <w:pPr>
              <w:pStyle w:val="Text1"/>
              <w:spacing w:before="60" w:after="60" w:line="240" w:lineRule="auto"/>
            </w:pPr>
            <w:r w:rsidRPr="009C0C9C">
              <w:t>Rights and Values</w:t>
            </w:r>
          </w:p>
        </w:tc>
        <w:tc>
          <w:tcPr>
            <w:tcW w:w="815" w:type="pct"/>
            <w:noWrap/>
            <w:hideMark/>
          </w:tcPr>
          <w:p w:rsidR="001C2625" w:rsidRPr="009C0C9C" w:rsidRDefault="001C2625" w:rsidP="00101080">
            <w:pPr>
              <w:spacing w:before="60" w:after="60"/>
              <w:ind w:right="567"/>
              <w:jc w:val="right"/>
            </w:pPr>
            <w:r w:rsidRPr="009C0C9C">
              <w:t>7,27 %</w:t>
            </w:r>
          </w:p>
        </w:tc>
        <w:tc>
          <w:tcPr>
            <w:tcW w:w="863" w:type="pct"/>
            <w:hideMark/>
          </w:tcPr>
          <w:p w:rsidR="001C2625" w:rsidRPr="009C0C9C" w:rsidRDefault="001C2625" w:rsidP="00101080">
            <w:pPr>
              <w:spacing w:before="60" w:after="60"/>
              <w:ind w:right="567"/>
              <w:jc w:val="right"/>
              <w:rPr>
                <w:b/>
              </w:rPr>
            </w:pPr>
            <w:r w:rsidRPr="009C0C9C">
              <w:rPr>
                <w:b/>
              </w:rPr>
              <w:t>8,36 %</w:t>
            </w:r>
          </w:p>
        </w:tc>
        <w:tc>
          <w:tcPr>
            <w:tcW w:w="1512" w:type="pct"/>
            <w:noWrap/>
            <w:hideMark/>
          </w:tcPr>
          <w:p w:rsidR="001C2625" w:rsidRPr="009C0C9C" w:rsidRDefault="001C2625" w:rsidP="00101080">
            <w:pPr>
              <w:spacing w:before="60" w:after="60"/>
              <w:ind w:right="1134"/>
              <w:jc w:val="right"/>
            </w:pPr>
            <w:r w:rsidRPr="009C0C9C">
              <w:t>800</w:t>
            </w:r>
          </w:p>
        </w:tc>
      </w:tr>
      <w:tr w:rsidR="001C2625" w:rsidRPr="009C0C9C" w:rsidTr="00101080">
        <w:trPr>
          <w:trHeight w:val="20"/>
        </w:trPr>
        <w:tc>
          <w:tcPr>
            <w:tcW w:w="1810" w:type="pct"/>
            <w:noWrap/>
            <w:hideMark/>
          </w:tcPr>
          <w:p w:rsidR="001C2625" w:rsidRPr="009C0C9C" w:rsidRDefault="001C2625" w:rsidP="00101080">
            <w:pPr>
              <w:pStyle w:val="Point0"/>
              <w:spacing w:before="60" w:after="60" w:line="240" w:lineRule="auto"/>
              <w:rPr>
                <w:b/>
                <w:bCs/>
              </w:rPr>
            </w:pPr>
            <w:r w:rsidRPr="009C0C9C">
              <w:rPr>
                <w:b/>
                <w:bCs/>
              </w:rPr>
              <w:t>4.</w:t>
            </w:r>
            <w:r w:rsidRPr="009C0C9C">
              <w:rPr>
                <w:b/>
                <w:bCs/>
              </w:rPr>
              <w:tab/>
              <w:t>Migration and Border Management</w:t>
            </w:r>
          </w:p>
        </w:tc>
        <w:tc>
          <w:tcPr>
            <w:tcW w:w="815" w:type="pct"/>
            <w:noWrap/>
            <w:hideMark/>
          </w:tcPr>
          <w:p w:rsidR="001C2625" w:rsidRPr="009C0C9C" w:rsidRDefault="001C2625" w:rsidP="00101080">
            <w:pPr>
              <w:spacing w:before="60" w:after="60"/>
              <w:ind w:right="567"/>
              <w:jc w:val="right"/>
              <w:rPr>
                <w:b/>
              </w:rPr>
            </w:pPr>
            <w:r w:rsidRPr="009C0C9C">
              <w:rPr>
                <w:b/>
              </w:rPr>
              <w:t>9,09 %</w:t>
            </w:r>
          </w:p>
        </w:tc>
        <w:tc>
          <w:tcPr>
            <w:tcW w:w="863" w:type="pct"/>
            <w:hideMark/>
          </w:tcPr>
          <w:p w:rsidR="001C2625" w:rsidRPr="009C0C9C" w:rsidRDefault="001C2625" w:rsidP="00101080">
            <w:pPr>
              <w:spacing w:before="60" w:after="60"/>
              <w:ind w:right="567"/>
              <w:jc w:val="right"/>
              <w:rPr>
                <w:b/>
              </w:rPr>
            </w:pPr>
            <w:r w:rsidRPr="009C0C9C">
              <w:rPr>
                <w:b/>
              </w:rPr>
              <w:t>10,45 %</w:t>
            </w:r>
          </w:p>
        </w:tc>
        <w:tc>
          <w:tcPr>
            <w:tcW w:w="1512" w:type="pct"/>
            <w:noWrap/>
            <w:hideMark/>
          </w:tcPr>
          <w:p w:rsidR="001C2625" w:rsidRPr="009C0C9C" w:rsidRDefault="001C2625" w:rsidP="00101080">
            <w:pPr>
              <w:spacing w:before="60" w:after="60"/>
              <w:ind w:right="1134"/>
              <w:jc w:val="right"/>
              <w:rPr>
                <w:b/>
              </w:rPr>
            </w:pPr>
            <w:r w:rsidRPr="009C0C9C">
              <w:rPr>
                <w:b/>
              </w:rPr>
              <w:t>1 000</w:t>
            </w:r>
          </w:p>
        </w:tc>
      </w:tr>
      <w:tr w:rsidR="001C2625" w:rsidRPr="009C0C9C" w:rsidTr="00101080">
        <w:trPr>
          <w:trHeight w:val="20"/>
        </w:trPr>
        <w:tc>
          <w:tcPr>
            <w:tcW w:w="1810" w:type="pct"/>
            <w:noWrap/>
            <w:hideMark/>
          </w:tcPr>
          <w:p w:rsidR="001C2625" w:rsidRPr="009C0C9C" w:rsidRDefault="001C2625" w:rsidP="00101080">
            <w:pPr>
              <w:pStyle w:val="Text1"/>
              <w:spacing w:before="60" w:after="60" w:line="240" w:lineRule="auto"/>
            </w:pPr>
            <w:r w:rsidRPr="009C0C9C">
              <w:t>Integrated Border Management Fund</w:t>
            </w:r>
          </w:p>
        </w:tc>
        <w:tc>
          <w:tcPr>
            <w:tcW w:w="815" w:type="pct"/>
            <w:noWrap/>
            <w:hideMark/>
          </w:tcPr>
          <w:p w:rsidR="001C2625" w:rsidRPr="009C0C9C" w:rsidRDefault="001C2625" w:rsidP="00101080">
            <w:pPr>
              <w:spacing w:before="60" w:after="60"/>
              <w:ind w:right="567"/>
              <w:jc w:val="right"/>
            </w:pPr>
            <w:r w:rsidRPr="009C0C9C">
              <w:t>9,09 %</w:t>
            </w:r>
          </w:p>
        </w:tc>
        <w:tc>
          <w:tcPr>
            <w:tcW w:w="863" w:type="pct"/>
            <w:hideMark/>
          </w:tcPr>
          <w:p w:rsidR="001C2625" w:rsidRPr="009C0C9C" w:rsidRDefault="001C2625" w:rsidP="00101080">
            <w:pPr>
              <w:spacing w:before="60" w:after="60"/>
              <w:ind w:right="567"/>
              <w:jc w:val="right"/>
            </w:pPr>
            <w:r w:rsidRPr="009C0C9C">
              <w:t>10</w:t>
            </w:r>
            <w:r w:rsidRPr="009C0C9C">
              <w:rPr>
                <w:bCs/>
              </w:rPr>
              <w:t>,</w:t>
            </w:r>
            <w:r w:rsidRPr="009C0C9C">
              <w:t>45 %</w:t>
            </w:r>
          </w:p>
        </w:tc>
        <w:tc>
          <w:tcPr>
            <w:tcW w:w="1512" w:type="pct"/>
            <w:noWrap/>
            <w:hideMark/>
          </w:tcPr>
          <w:p w:rsidR="001C2625" w:rsidRPr="009C0C9C" w:rsidRDefault="001C2625" w:rsidP="00101080">
            <w:pPr>
              <w:spacing w:before="60" w:after="60"/>
              <w:ind w:right="1134"/>
              <w:jc w:val="right"/>
            </w:pPr>
            <w:r w:rsidRPr="009C0C9C">
              <w:t>1 000</w:t>
            </w:r>
          </w:p>
        </w:tc>
      </w:tr>
      <w:tr w:rsidR="001C2625" w:rsidRPr="009C0C9C" w:rsidTr="00101080">
        <w:trPr>
          <w:trHeight w:val="20"/>
        </w:trPr>
        <w:tc>
          <w:tcPr>
            <w:tcW w:w="1810" w:type="pct"/>
            <w:tcBorders>
              <w:top w:val="nil"/>
              <w:left w:val="nil"/>
              <w:bottom w:val="single" w:sz="4" w:space="0" w:color="auto"/>
              <w:right w:val="nil"/>
            </w:tcBorders>
            <w:noWrap/>
            <w:hideMark/>
          </w:tcPr>
          <w:p w:rsidR="001C2625" w:rsidRPr="009C0C9C" w:rsidRDefault="001C2625" w:rsidP="00101080">
            <w:pPr>
              <w:spacing w:before="60" w:after="60"/>
              <w:rPr>
                <w:b/>
              </w:rPr>
            </w:pPr>
            <w:r w:rsidRPr="009C0C9C">
              <w:rPr>
                <w:b/>
              </w:rPr>
              <w:t>TOTAL</w:t>
            </w:r>
          </w:p>
        </w:tc>
        <w:tc>
          <w:tcPr>
            <w:tcW w:w="815" w:type="pct"/>
            <w:tcBorders>
              <w:top w:val="nil"/>
              <w:left w:val="nil"/>
              <w:bottom w:val="single" w:sz="4" w:space="0" w:color="auto"/>
              <w:right w:val="nil"/>
            </w:tcBorders>
            <w:noWrap/>
            <w:hideMark/>
          </w:tcPr>
          <w:p w:rsidR="001C2625" w:rsidRPr="009C0C9C" w:rsidRDefault="001C2625" w:rsidP="00101080">
            <w:pPr>
              <w:spacing w:before="60" w:after="60"/>
              <w:ind w:right="567"/>
              <w:jc w:val="right"/>
              <w:rPr>
                <w:b/>
              </w:rPr>
            </w:pPr>
            <w:r w:rsidRPr="009C0C9C">
              <w:rPr>
                <w:b/>
              </w:rPr>
              <w:t>100,00 %</w:t>
            </w:r>
          </w:p>
        </w:tc>
        <w:tc>
          <w:tcPr>
            <w:tcW w:w="863" w:type="pct"/>
            <w:tcBorders>
              <w:top w:val="nil"/>
              <w:left w:val="nil"/>
              <w:bottom w:val="single" w:sz="4" w:space="0" w:color="auto"/>
              <w:right w:val="nil"/>
            </w:tcBorders>
            <w:hideMark/>
          </w:tcPr>
          <w:p w:rsidR="001C2625" w:rsidRPr="009C0C9C" w:rsidRDefault="001C2625" w:rsidP="00101080">
            <w:pPr>
              <w:spacing w:before="60" w:after="60"/>
              <w:ind w:right="567"/>
              <w:jc w:val="right"/>
              <w:rPr>
                <w:b/>
              </w:rPr>
            </w:pPr>
            <w:r w:rsidRPr="009C0C9C">
              <w:rPr>
                <w:b/>
              </w:rPr>
              <w:t>100,00 %</w:t>
            </w:r>
          </w:p>
        </w:tc>
        <w:tc>
          <w:tcPr>
            <w:tcW w:w="1512" w:type="pct"/>
            <w:tcBorders>
              <w:top w:val="nil"/>
              <w:left w:val="nil"/>
              <w:bottom w:val="single" w:sz="4" w:space="0" w:color="auto"/>
              <w:right w:val="nil"/>
            </w:tcBorders>
            <w:noWrap/>
            <w:hideMark/>
          </w:tcPr>
          <w:p w:rsidR="001C2625" w:rsidRPr="009C0C9C" w:rsidRDefault="001C2625" w:rsidP="00101080">
            <w:pPr>
              <w:spacing w:before="60" w:after="60"/>
              <w:ind w:right="1134"/>
              <w:jc w:val="right"/>
              <w:rPr>
                <w:b/>
              </w:rPr>
            </w:pPr>
            <w:r w:rsidRPr="009C0C9C">
              <w:rPr>
                <w:b/>
              </w:rPr>
              <w:t>10 155</w:t>
            </w:r>
          </w:p>
        </w:tc>
      </w:tr>
    </w:tbl>
    <w:p w:rsidR="001C2625" w:rsidRPr="009C0C9C" w:rsidRDefault="001C2625" w:rsidP="001C2625">
      <w:pPr>
        <w:pStyle w:val="NormalRight"/>
      </w:pPr>
      <w:r w:rsidRPr="009C0C9C">
        <w:t>’.</w:t>
      </w:r>
    </w:p>
    <w:p w:rsidR="001C2625" w:rsidRPr="009C0C9C" w:rsidRDefault="001C2625" w:rsidP="001C2625">
      <w:pPr>
        <w:pStyle w:val="LignefinalLandscape"/>
      </w:pPr>
    </w:p>
    <w:p w:rsidR="001C2625" w:rsidRPr="009C0C9C" w:rsidRDefault="001C2625" w:rsidP="001C2625">
      <w:pPr>
        <w:sectPr w:rsidR="001C2625" w:rsidRPr="009C0C9C" w:rsidSect="009C0C9C">
          <w:headerReference w:type="even" r:id="rId11"/>
          <w:headerReference w:type="default" r:id="rId12"/>
          <w:headerReference w:type="first" r:id="rId13"/>
          <w:footerReference w:type="first" r:id="rId14"/>
          <w:footnotePr>
            <w:numRestart w:val="eachSect"/>
          </w:footnotePr>
          <w:endnotePr>
            <w:numFmt w:val="decimal"/>
          </w:endnotePr>
          <w:pgSz w:w="16838" w:h="11906" w:orient="landscape" w:code="9"/>
          <w:pgMar w:top="1418" w:right="1134" w:bottom="1418" w:left="1418" w:header="1134" w:footer="567" w:gutter="0"/>
          <w:cols w:space="720"/>
          <w:noEndnote/>
          <w:docGrid w:linePitch="326"/>
        </w:sectPr>
      </w:pPr>
    </w:p>
    <w:p w:rsidR="001C2625" w:rsidRPr="009C0C9C" w:rsidRDefault="001C2625" w:rsidP="001C2625">
      <w:pPr>
        <w:pStyle w:val="PageHeading"/>
        <w:rPr>
          <w:caps/>
        </w:rPr>
      </w:pPr>
      <w:bookmarkStart w:id="10" w:name="_Toc159509474"/>
      <w:r w:rsidRPr="009C0C9C">
        <w:lastRenderedPageBreak/>
        <w:t xml:space="preserve">ANNEX 2: </w:t>
      </w:r>
      <w:r w:rsidRPr="009C0C9C">
        <w:rPr>
          <w:caps/>
        </w:rPr>
        <w:t>Joint declaration by the European Parliament, the Council and the Commission on the re-use of decommitted funds in relation to the research programme</w:t>
      </w:r>
      <w:bookmarkEnd w:id="10"/>
    </w:p>
    <w:p w:rsidR="001C2625" w:rsidRPr="009C0C9C" w:rsidRDefault="001C2625" w:rsidP="001C2625">
      <w:pPr>
        <w:pStyle w:val="NormalWeb"/>
        <w:shd w:val="clear" w:color="auto" w:fill="FFFFFF" w:themeFill="background1"/>
        <w:spacing w:before="0" w:beforeAutospacing="0" w:after="240" w:afterAutospacing="0"/>
        <w:jc w:val="both"/>
        <w:rPr>
          <w:lang w:val="en-GB"/>
        </w:rPr>
      </w:pPr>
      <w:proofErr w:type="gramStart"/>
      <w:r w:rsidRPr="009C0C9C">
        <w:rPr>
          <w:lang w:val="en-GB"/>
        </w:rPr>
        <w:t xml:space="preserve">In the Joint Declaration of 22 December 2020 on the re-use of </w:t>
      </w:r>
      <w:proofErr w:type="spellStart"/>
      <w:r w:rsidRPr="009C0C9C">
        <w:rPr>
          <w:lang w:val="en-GB"/>
        </w:rPr>
        <w:t>decommitted</w:t>
      </w:r>
      <w:proofErr w:type="spellEnd"/>
      <w:r w:rsidRPr="009C0C9C">
        <w:rPr>
          <w:lang w:val="en-GB"/>
        </w:rPr>
        <w:t xml:space="preserve"> funds in relation to the research programme</w:t>
      </w:r>
      <w:r w:rsidRPr="009C0C9C">
        <w:rPr>
          <w:rStyle w:val="FootnoteReference"/>
          <w:lang w:val="en-GB"/>
        </w:rPr>
        <w:footnoteReference w:id="12"/>
      </w:r>
      <w:r w:rsidRPr="009C0C9C">
        <w:rPr>
          <w:lang w:val="en-GB"/>
        </w:rPr>
        <w:t xml:space="preserve">, the European Parliament, the Council and the Commission agreed to make available again to the benefit of the research programme commitment appropriations, corresponding to the amount up to EUR 0.5 billion (in 2018 prices) in the period 2021-2027 of </w:t>
      </w:r>
      <w:proofErr w:type="spellStart"/>
      <w:r w:rsidRPr="009C0C9C">
        <w:rPr>
          <w:lang w:val="en-GB"/>
        </w:rPr>
        <w:t>decommitments</w:t>
      </w:r>
      <w:proofErr w:type="spellEnd"/>
      <w:r w:rsidRPr="009C0C9C">
        <w:rPr>
          <w:lang w:val="en-GB"/>
        </w:rPr>
        <w:t>, which result from total or partial non-implementation of projects belonging to that programme or its predecessor as provided for in Article 15(3) of the Financial Regulation.</w:t>
      </w:r>
      <w:proofErr w:type="gramEnd"/>
    </w:p>
    <w:p w:rsidR="001C2625" w:rsidRPr="009C0C9C" w:rsidRDefault="001C2625" w:rsidP="001C2625">
      <w:pPr>
        <w:pStyle w:val="NormalWeb"/>
        <w:shd w:val="clear" w:color="auto" w:fill="FFFFFF" w:themeFill="background1"/>
        <w:spacing w:before="0" w:beforeAutospacing="0" w:after="240" w:afterAutospacing="0"/>
        <w:jc w:val="both"/>
        <w:rPr>
          <w:lang w:val="en-GB"/>
        </w:rPr>
      </w:pPr>
      <w:proofErr w:type="gramStart"/>
      <w:r w:rsidRPr="009C0C9C">
        <w:rPr>
          <w:lang w:val="en-GB"/>
        </w:rPr>
        <w:t xml:space="preserve">Without prejudice to the powers of the budgetary authority in the framework of the annual budgetary procedure and to the Commission’s powers to implement the budget, the European Parliament, the Council and the Commission agree that a further amount of EUR 100 million (2018 prices) will be made available again to the benefit of the research programme in the period 2025 to 2027, corresponding to </w:t>
      </w:r>
      <w:proofErr w:type="spellStart"/>
      <w:r w:rsidRPr="009C0C9C">
        <w:rPr>
          <w:lang w:val="en-GB"/>
        </w:rPr>
        <w:t>deco</w:t>
      </w:r>
      <w:bookmarkStart w:id="11" w:name="_GoBack"/>
      <w:bookmarkEnd w:id="11"/>
      <w:r w:rsidRPr="009C0C9C">
        <w:rPr>
          <w:lang w:val="en-GB"/>
        </w:rPr>
        <w:t>mmitments</w:t>
      </w:r>
      <w:proofErr w:type="spellEnd"/>
      <w:r w:rsidRPr="009C0C9C">
        <w:rPr>
          <w:lang w:val="en-GB"/>
        </w:rPr>
        <w:t xml:space="preserve"> made in 2019 to 2020 which result from total or partial non-implementation of projects belonging to that programme or its predecessor which have not been made available again under Article 15(3) of the Financial Regulation  following the joint declaration of 22 December 2020.</w:t>
      </w:r>
      <w:proofErr w:type="gramEnd"/>
      <w:r w:rsidRPr="009C0C9C">
        <w:rPr>
          <w:lang w:val="en-GB"/>
        </w:rPr>
        <w:t xml:space="preserve"> This does not affect the available amounts of </w:t>
      </w:r>
      <w:proofErr w:type="spellStart"/>
      <w:r w:rsidRPr="009C0C9C">
        <w:rPr>
          <w:lang w:val="en-GB"/>
        </w:rPr>
        <w:t>decommitments</w:t>
      </w:r>
      <w:proofErr w:type="spellEnd"/>
      <w:r w:rsidRPr="009C0C9C">
        <w:rPr>
          <w:lang w:val="en-GB"/>
        </w:rPr>
        <w:t xml:space="preserve"> for the EURI instrument referred to in Article 10a of Regulation (EU, </w:t>
      </w:r>
      <w:proofErr w:type="spellStart"/>
      <w:proofErr w:type="gramStart"/>
      <w:r w:rsidRPr="009C0C9C">
        <w:rPr>
          <w:lang w:val="en-GB"/>
        </w:rPr>
        <w:t>Euratom</w:t>
      </w:r>
      <w:proofErr w:type="spellEnd"/>
      <w:proofErr w:type="gramEnd"/>
      <w:r w:rsidRPr="009C0C9C">
        <w:rPr>
          <w:lang w:val="en-GB"/>
        </w:rPr>
        <w:t>) 2020/2093.</w:t>
      </w:r>
    </w:p>
    <w:sectPr w:rsidR="001C2625" w:rsidRPr="009C0C9C" w:rsidSect="009C0C9C">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6EE" w:rsidRPr="009C0C9C" w:rsidRDefault="001D16EE">
      <w:r w:rsidRPr="009C0C9C">
        <w:separator/>
      </w:r>
    </w:p>
  </w:endnote>
  <w:endnote w:type="continuationSeparator" w:id="0">
    <w:p w:rsidR="001D16EE" w:rsidRPr="009C0C9C" w:rsidRDefault="001D16EE">
      <w:r w:rsidRPr="009C0C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625" w:rsidRPr="009C0C9C" w:rsidRDefault="001C2625" w:rsidP="00A6111F">
    <w:pPr>
      <w:pStyle w:val="EPFooter"/>
    </w:pPr>
    <w:r w:rsidRPr="009C0C9C">
      <w:t>PE</w:t>
    </w:r>
    <w:r w:rsidRPr="009C0C9C">
      <w:rPr>
        <w:rStyle w:val="HideTWBExt"/>
      </w:rPr>
      <w:t>&lt;</w:t>
    </w:r>
    <w:proofErr w:type="spellStart"/>
    <w:r w:rsidRPr="009C0C9C">
      <w:rPr>
        <w:rStyle w:val="HideTWBExt"/>
      </w:rPr>
      <w:t>NoPE</w:t>
    </w:r>
    <w:proofErr w:type="spellEnd"/>
    <w:r w:rsidRPr="009C0C9C">
      <w:rPr>
        <w:rStyle w:val="HideTWBExt"/>
      </w:rPr>
      <w:t>&gt;</w:t>
    </w:r>
    <w:r w:rsidRPr="009C0C9C">
      <w:t>758.992</w:t>
    </w:r>
    <w:r w:rsidRPr="009C0C9C">
      <w:rPr>
        <w:rStyle w:val="HideTWBExt"/>
      </w:rPr>
      <w:t>&lt;/</w:t>
    </w:r>
    <w:proofErr w:type="spellStart"/>
    <w:r w:rsidRPr="009C0C9C">
      <w:rPr>
        <w:rStyle w:val="HideTWBExt"/>
      </w:rPr>
      <w:t>NoPE</w:t>
    </w:r>
    <w:proofErr w:type="spellEnd"/>
    <w:r w:rsidRPr="009C0C9C">
      <w:rPr>
        <w:rStyle w:val="HideTWBExt"/>
      </w:rPr>
      <w:t>&gt;&lt;Version&gt;</w:t>
    </w:r>
    <w:r w:rsidRPr="009C0C9C">
      <w:t>v02-00</w:t>
    </w:r>
    <w:r w:rsidRPr="009C0C9C">
      <w:rPr>
        <w:rStyle w:val="HideTWBExt"/>
      </w:rPr>
      <w:t>&lt;/Version&gt;</w:t>
    </w:r>
    <w:r w:rsidRPr="009C0C9C">
      <w:tab/>
    </w:r>
    <w:r w:rsidRPr="009C0C9C">
      <w:fldChar w:fldCharType="begin"/>
    </w:r>
    <w:r w:rsidRPr="009C0C9C">
      <w:instrText xml:space="preserve"> PAGE  \* MERGEFORMAT </w:instrText>
    </w:r>
    <w:r w:rsidRPr="009C0C9C">
      <w:fldChar w:fldCharType="separate"/>
    </w:r>
    <w:r w:rsidRPr="009C0C9C">
      <w:rPr>
        <w:noProof/>
      </w:rPr>
      <w:t>24</w:t>
    </w:r>
    <w:r w:rsidRPr="009C0C9C">
      <w:fldChar w:fldCharType="end"/>
    </w:r>
    <w:r w:rsidRPr="009C0C9C">
      <w:t>/</w:t>
    </w:r>
    <w:r w:rsidR="004A0254">
      <w:fldChar w:fldCharType="begin"/>
    </w:r>
    <w:r w:rsidR="004A0254">
      <w:instrText xml:space="preserve"> NUMPAGES  \* MERGEFORMAT </w:instrText>
    </w:r>
    <w:r w:rsidR="004A0254">
      <w:fldChar w:fldCharType="separate"/>
    </w:r>
    <w:r w:rsidRPr="009C0C9C">
      <w:rPr>
        <w:noProof/>
      </w:rPr>
      <w:t>24</w:t>
    </w:r>
    <w:r w:rsidR="004A0254">
      <w:rPr>
        <w:noProof/>
      </w:rPr>
      <w:fldChar w:fldCharType="end"/>
    </w:r>
    <w:r w:rsidRPr="009C0C9C">
      <w:tab/>
    </w:r>
    <w:r w:rsidRPr="009C0C9C">
      <w:rPr>
        <w:rStyle w:val="HideTWBExt"/>
      </w:rPr>
      <w:t>&lt;PathFdR&gt;</w:t>
    </w:r>
    <w:r w:rsidRPr="009C0C9C">
      <w:t>RR\1297557EN.docx</w:t>
    </w:r>
    <w:r w:rsidRPr="009C0C9C">
      <w:rPr>
        <w:rStyle w:val="HideTWBExt"/>
      </w:rPr>
      <w:t>&lt;/</w:t>
    </w:r>
    <w:proofErr w:type="spellStart"/>
    <w:r w:rsidRPr="009C0C9C">
      <w:rPr>
        <w:rStyle w:val="HideTWBExt"/>
      </w:rPr>
      <w:t>PathFdR</w:t>
    </w:r>
    <w:proofErr w:type="spellEnd"/>
    <w:r w:rsidRPr="009C0C9C">
      <w:rPr>
        <w:rStyle w:val="HideTWBExt"/>
      </w:rPr>
      <w:t>&gt;</w:t>
    </w:r>
  </w:p>
  <w:p w:rsidR="001C2625" w:rsidRPr="009C0C9C" w:rsidRDefault="001C2625" w:rsidP="00A6111F">
    <w:pPr>
      <w:pStyle w:val="EPFooter2"/>
    </w:pPr>
    <w:r w:rsidRPr="009C0C9C">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625" w:rsidRPr="009C0C9C" w:rsidRDefault="001C2625" w:rsidP="00A6111F">
    <w:pPr>
      <w:pStyle w:val="EPFooter"/>
    </w:pPr>
    <w:r w:rsidRPr="009C0C9C">
      <w:rPr>
        <w:rStyle w:val="HideTWBExt"/>
      </w:rPr>
      <w:t>&lt;PathFdR&gt;</w:t>
    </w:r>
    <w:r w:rsidRPr="009C0C9C">
      <w:t>RR\1297557EN.docx</w:t>
    </w:r>
    <w:r w:rsidRPr="009C0C9C">
      <w:rPr>
        <w:rStyle w:val="HideTWBExt"/>
      </w:rPr>
      <w:t>&lt;/</w:t>
    </w:r>
    <w:proofErr w:type="spellStart"/>
    <w:r w:rsidRPr="009C0C9C">
      <w:rPr>
        <w:rStyle w:val="HideTWBExt"/>
      </w:rPr>
      <w:t>PathFdR</w:t>
    </w:r>
    <w:proofErr w:type="spellEnd"/>
    <w:r w:rsidRPr="009C0C9C">
      <w:rPr>
        <w:rStyle w:val="HideTWBExt"/>
      </w:rPr>
      <w:t>&gt;</w:t>
    </w:r>
    <w:r w:rsidRPr="009C0C9C">
      <w:tab/>
    </w:r>
    <w:r w:rsidRPr="009C0C9C">
      <w:tab/>
      <w:t>PE</w:t>
    </w:r>
    <w:r w:rsidRPr="009C0C9C">
      <w:rPr>
        <w:rStyle w:val="HideTWBExt"/>
      </w:rPr>
      <w:t>&lt;</w:t>
    </w:r>
    <w:proofErr w:type="spellStart"/>
    <w:r w:rsidRPr="009C0C9C">
      <w:rPr>
        <w:rStyle w:val="HideTWBExt"/>
      </w:rPr>
      <w:t>NoPE</w:t>
    </w:r>
    <w:proofErr w:type="spellEnd"/>
    <w:r w:rsidRPr="009C0C9C">
      <w:rPr>
        <w:rStyle w:val="HideTWBExt"/>
      </w:rPr>
      <w:t>&gt;</w:t>
    </w:r>
    <w:r w:rsidRPr="009C0C9C">
      <w:t>758.992</w:t>
    </w:r>
    <w:r w:rsidRPr="009C0C9C">
      <w:rPr>
        <w:rStyle w:val="HideTWBExt"/>
      </w:rPr>
      <w:t>&lt;/</w:t>
    </w:r>
    <w:proofErr w:type="spellStart"/>
    <w:r w:rsidRPr="009C0C9C">
      <w:rPr>
        <w:rStyle w:val="HideTWBExt"/>
      </w:rPr>
      <w:t>NoPE</w:t>
    </w:r>
    <w:proofErr w:type="spellEnd"/>
    <w:r w:rsidRPr="009C0C9C">
      <w:rPr>
        <w:rStyle w:val="HideTWBExt"/>
      </w:rPr>
      <w:t>&gt;&lt;Version&gt;</w:t>
    </w:r>
    <w:r w:rsidRPr="009C0C9C">
      <w:t>v02-00</w:t>
    </w:r>
    <w:r w:rsidRPr="009C0C9C">
      <w:rPr>
        <w:rStyle w:val="HideTWBExt"/>
      </w:rPr>
      <w:t>&lt;/Version&gt;</w:t>
    </w:r>
  </w:p>
  <w:p w:rsidR="001C2625" w:rsidRPr="009C0C9C" w:rsidRDefault="001C2625" w:rsidP="00A6111F">
    <w:pPr>
      <w:pStyle w:val="EPFooter2"/>
    </w:pPr>
    <w:r w:rsidRPr="009C0C9C">
      <w:t>EN</w:t>
    </w:r>
    <w:r w:rsidRPr="009C0C9C">
      <w:tab/>
    </w:r>
    <w:r w:rsidRPr="009C0C9C">
      <w:rPr>
        <w:b w:val="0"/>
        <w:i/>
        <w:color w:val="C0C0C0"/>
        <w:sz w:val="22"/>
      </w:rPr>
      <w:t>United in diversity</w:t>
    </w:r>
    <w:r w:rsidRPr="009C0C9C">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625" w:rsidRPr="009C0C9C" w:rsidRDefault="001C2625" w:rsidP="00FA76F5">
    <w:pPr>
      <w:pStyle w:val="EPFooter"/>
    </w:pPr>
    <w:r w:rsidRPr="009C0C9C">
      <w:rPr>
        <w:rStyle w:val="HideTWBExt"/>
      </w:rPr>
      <w:t>&lt;PathFdR&gt;</w:t>
    </w:r>
    <w:r w:rsidRPr="009C0C9C">
      <w:t>RR\758992EN.docx</w:t>
    </w:r>
    <w:r w:rsidRPr="009C0C9C">
      <w:rPr>
        <w:rStyle w:val="HideTWBExt"/>
      </w:rPr>
      <w:t>&lt;/</w:t>
    </w:r>
    <w:proofErr w:type="spellStart"/>
    <w:r w:rsidRPr="009C0C9C">
      <w:rPr>
        <w:rStyle w:val="HideTWBExt"/>
      </w:rPr>
      <w:t>PathFdR</w:t>
    </w:r>
    <w:proofErr w:type="spellEnd"/>
    <w:r w:rsidRPr="009C0C9C">
      <w:rPr>
        <w:rStyle w:val="HideTWBExt"/>
      </w:rPr>
      <w:t>&gt;</w:t>
    </w:r>
    <w:r w:rsidRPr="009C0C9C">
      <w:tab/>
    </w:r>
    <w:r w:rsidRPr="009C0C9C">
      <w:tab/>
      <w:t>PE</w:t>
    </w:r>
    <w:r w:rsidRPr="009C0C9C">
      <w:rPr>
        <w:rStyle w:val="HideTWBExt"/>
      </w:rPr>
      <w:t>&lt;</w:t>
    </w:r>
    <w:proofErr w:type="spellStart"/>
    <w:r w:rsidRPr="009C0C9C">
      <w:rPr>
        <w:rStyle w:val="HideTWBExt"/>
      </w:rPr>
      <w:t>NoPE</w:t>
    </w:r>
    <w:proofErr w:type="spellEnd"/>
    <w:r w:rsidRPr="009C0C9C">
      <w:rPr>
        <w:rStyle w:val="HideTWBExt"/>
      </w:rPr>
      <w:t>&gt;</w:t>
    </w:r>
    <w:r w:rsidRPr="009C0C9C">
      <w:t>758.992</w:t>
    </w:r>
    <w:r w:rsidRPr="009C0C9C">
      <w:rPr>
        <w:rStyle w:val="HideTWBExt"/>
      </w:rPr>
      <w:t>&lt;/</w:t>
    </w:r>
    <w:proofErr w:type="spellStart"/>
    <w:r w:rsidRPr="009C0C9C">
      <w:rPr>
        <w:rStyle w:val="HideTWBExt"/>
      </w:rPr>
      <w:t>NoPE</w:t>
    </w:r>
    <w:proofErr w:type="spellEnd"/>
    <w:r w:rsidRPr="009C0C9C">
      <w:rPr>
        <w:rStyle w:val="HideTWBExt"/>
      </w:rPr>
      <w:t>&gt;&lt;Version&gt;</w:t>
    </w:r>
    <w:r w:rsidRPr="009C0C9C">
      <w:t>v02-00</w:t>
    </w:r>
    <w:r w:rsidRPr="009C0C9C">
      <w:rPr>
        <w:rStyle w:val="HideTWBExt"/>
      </w:rPr>
      <w:t>&lt;/Version&gt;</w:t>
    </w:r>
  </w:p>
  <w:p w:rsidR="001C2625" w:rsidRPr="009C0C9C" w:rsidRDefault="001C2625" w:rsidP="00FA76F5">
    <w:pPr>
      <w:pStyle w:val="EPFooter2"/>
    </w:pPr>
    <w:r w:rsidRPr="009C0C9C">
      <w:t>XT</w:t>
    </w:r>
    <w:r w:rsidRPr="009C0C9C">
      <w:tab/>
    </w:r>
    <w:r w:rsidRPr="009C0C9C">
      <w:rPr>
        <w:b w:val="0"/>
        <w:i/>
        <w:color w:val="C0C0C0"/>
        <w:sz w:val="22"/>
      </w:rPr>
      <w:t>United in diversity</w:t>
    </w:r>
    <w:r w:rsidRPr="009C0C9C">
      <w:tab/>
      <w:t>XT</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C0C9C"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C0C9C" w:rsidRDefault="0006400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C0C9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6EE" w:rsidRPr="009C0C9C" w:rsidRDefault="001D16EE">
      <w:r w:rsidRPr="009C0C9C">
        <w:separator/>
      </w:r>
    </w:p>
  </w:footnote>
  <w:footnote w:type="continuationSeparator" w:id="0">
    <w:p w:rsidR="001D16EE" w:rsidRPr="009C0C9C" w:rsidRDefault="001D16EE">
      <w:r w:rsidRPr="009C0C9C">
        <w:continuationSeparator/>
      </w:r>
    </w:p>
  </w:footnote>
  <w:footnote w:id="1">
    <w:p w:rsidR="001C2625" w:rsidRPr="009C0C9C" w:rsidRDefault="001C2625" w:rsidP="009C0C9C">
      <w:pPr>
        <w:pStyle w:val="FootnoteText"/>
        <w:ind w:left="567" w:hanging="567"/>
        <w:rPr>
          <w:sz w:val="24"/>
          <w:lang w:val="en-GB"/>
        </w:rPr>
      </w:pPr>
      <w:r w:rsidRPr="009C0C9C">
        <w:rPr>
          <w:rStyle w:val="FootnoteReference"/>
          <w:sz w:val="24"/>
          <w:lang w:val="en-GB"/>
        </w:rPr>
        <w:footnoteRef/>
      </w:r>
      <w:r w:rsidR="009C0C9C" w:rsidRPr="009C0C9C">
        <w:rPr>
          <w:sz w:val="24"/>
          <w:lang w:val="en-GB"/>
        </w:rPr>
        <w:t xml:space="preserve"> </w:t>
      </w:r>
      <w:r w:rsidR="009C0C9C" w:rsidRPr="009C0C9C">
        <w:rPr>
          <w:sz w:val="24"/>
          <w:lang w:val="en-GB"/>
        </w:rPr>
        <w:tab/>
      </w:r>
      <w:r w:rsidRPr="009C0C9C">
        <w:rPr>
          <w:sz w:val="24"/>
          <w:lang w:val="en-GB"/>
        </w:rPr>
        <w:t>Texts adopted, P9_</w:t>
      </w:r>
      <w:proofErr w:type="gramStart"/>
      <w:r w:rsidRPr="009C0C9C">
        <w:rPr>
          <w:sz w:val="24"/>
          <w:lang w:val="en-GB"/>
        </w:rPr>
        <w:t>TA(</w:t>
      </w:r>
      <w:proofErr w:type="gramEnd"/>
      <w:r w:rsidRPr="009C0C9C">
        <w:rPr>
          <w:sz w:val="24"/>
          <w:lang w:val="en-GB"/>
        </w:rPr>
        <w:t>2023)0335.</w:t>
      </w:r>
    </w:p>
  </w:footnote>
  <w:footnote w:id="2">
    <w:p w:rsidR="001C2625" w:rsidRPr="009C0C9C" w:rsidRDefault="001C2625" w:rsidP="00A40E66">
      <w:pPr>
        <w:pStyle w:val="FootnoteText"/>
        <w:ind w:left="851" w:hanging="851"/>
        <w:rPr>
          <w:sz w:val="24"/>
          <w:lang w:val="en-GB"/>
        </w:rPr>
      </w:pPr>
      <w:r w:rsidRPr="009C0C9C">
        <w:rPr>
          <w:rStyle w:val="FootnoteReference"/>
          <w:sz w:val="24"/>
          <w:lang w:val="en-GB"/>
        </w:rPr>
        <w:footnoteRef/>
      </w:r>
      <w:r w:rsidR="009C0C9C" w:rsidRPr="009C0C9C">
        <w:rPr>
          <w:sz w:val="24"/>
          <w:lang w:val="en-GB"/>
        </w:rPr>
        <w:t xml:space="preserve"> </w:t>
      </w:r>
      <w:r w:rsidR="009C0C9C" w:rsidRPr="009C0C9C">
        <w:rPr>
          <w:sz w:val="24"/>
          <w:lang w:val="en-GB"/>
        </w:rPr>
        <w:tab/>
      </w:r>
      <w:r w:rsidRPr="009C0C9C">
        <w:rPr>
          <w:sz w:val="24"/>
          <w:lang w:val="en-GB"/>
        </w:rPr>
        <w:t>Consent of 27 February 2024 (not yet published in the Official Journal).</w:t>
      </w:r>
    </w:p>
  </w:footnote>
  <w:footnote w:id="3">
    <w:p w:rsidR="001C2625" w:rsidRPr="009C0C9C" w:rsidRDefault="001C2625" w:rsidP="00A40E66">
      <w:pPr>
        <w:pStyle w:val="FootnoteText"/>
        <w:ind w:left="851" w:hanging="851"/>
        <w:rPr>
          <w:sz w:val="24"/>
          <w:lang w:val="en-GB"/>
        </w:rPr>
      </w:pPr>
      <w:r w:rsidRPr="009C0C9C">
        <w:rPr>
          <w:rStyle w:val="FootnoteReference"/>
          <w:sz w:val="24"/>
          <w:lang w:val="en-GB"/>
        </w:rPr>
        <w:footnoteRef/>
      </w:r>
      <w:r w:rsidR="009C0C9C" w:rsidRPr="009C0C9C">
        <w:rPr>
          <w:sz w:val="24"/>
          <w:lang w:val="en-GB"/>
        </w:rPr>
        <w:t xml:space="preserve"> </w:t>
      </w:r>
      <w:r w:rsidR="009C0C9C" w:rsidRPr="009C0C9C">
        <w:rPr>
          <w:sz w:val="24"/>
          <w:lang w:val="en-GB"/>
        </w:rPr>
        <w:tab/>
      </w:r>
      <w:r w:rsidRPr="009C0C9C">
        <w:rPr>
          <w:sz w:val="24"/>
          <w:lang w:val="en-GB"/>
        </w:rPr>
        <w:t xml:space="preserve">Council Regulation (EU, </w:t>
      </w:r>
      <w:proofErr w:type="spellStart"/>
      <w:proofErr w:type="gramStart"/>
      <w:r w:rsidRPr="009C0C9C">
        <w:rPr>
          <w:sz w:val="24"/>
          <w:lang w:val="en-GB"/>
        </w:rPr>
        <w:t>Euratom</w:t>
      </w:r>
      <w:proofErr w:type="spellEnd"/>
      <w:proofErr w:type="gramEnd"/>
      <w:r w:rsidRPr="009C0C9C">
        <w:rPr>
          <w:sz w:val="24"/>
          <w:lang w:val="en-GB"/>
        </w:rPr>
        <w:t>) 2020/2093 of 17 December 2020 laying down the multiannual financial framework for the years 2021 to 2027 (OJ L 433 I, 22.12.2020, p. 11).</w:t>
      </w:r>
    </w:p>
  </w:footnote>
  <w:footnote w:id="4">
    <w:p w:rsidR="001C2625" w:rsidRPr="009C0C9C" w:rsidRDefault="001C2625" w:rsidP="00A40E66">
      <w:pPr>
        <w:pStyle w:val="FootnoteText"/>
        <w:ind w:left="851" w:hanging="851"/>
        <w:rPr>
          <w:sz w:val="24"/>
          <w:lang w:val="en-GB"/>
        </w:rPr>
      </w:pPr>
      <w:r w:rsidRPr="009C0C9C">
        <w:rPr>
          <w:rStyle w:val="FootnoteReference"/>
          <w:sz w:val="24"/>
          <w:lang w:val="en-GB"/>
        </w:rPr>
        <w:footnoteRef/>
      </w:r>
      <w:r w:rsidR="009C0C9C" w:rsidRPr="009C0C9C">
        <w:rPr>
          <w:sz w:val="24"/>
          <w:lang w:val="en-GB"/>
        </w:rPr>
        <w:t xml:space="preserve"> </w:t>
      </w:r>
      <w:r w:rsidR="009C0C9C" w:rsidRPr="009C0C9C">
        <w:rPr>
          <w:sz w:val="24"/>
          <w:lang w:val="en-GB"/>
        </w:rPr>
        <w:tab/>
      </w:r>
      <w:r w:rsidRPr="009C0C9C">
        <w:rPr>
          <w:sz w:val="24"/>
          <w:lang w:val="en-GB"/>
        </w:rPr>
        <w:t xml:space="preserve">Regulation (EU) 2024/… </w:t>
      </w:r>
      <w:r w:rsidRPr="009C0C9C">
        <w:rPr>
          <w:sz w:val="24"/>
          <w:szCs w:val="22"/>
          <w:lang w:val="en-GB"/>
        </w:rPr>
        <w:t>of the European Parliament and of the Council of … on establishing the Ukraine Facility</w:t>
      </w:r>
      <w:r w:rsidRPr="009C0C9C">
        <w:rPr>
          <w:sz w:val="24"/>
          <w:lang w:val="en-GB"/>
        </w:rPr>
        <w:t xml:space="preserve"> (OJ L</w:t>
      </w:r>
      <w:proofErr w:type="gramStart"/>
      <w:r w:rsidRPr="009C0C9C">
        <w:rPr>
          <w:sz w:val="24"/>
          <w:lang w:val="en-GB"/>
        </w:rPr>
        <w:t>, …,</w:t>
      </w:r>
      <w:proofErr w:type="gramEnd"/>
      <w:r w:rsidRPr="009C0C9C">
        <w:rPr>
          <w:sz w:val="24"/>
          <w:lang w:val="en-GB"/>
        </w:rPr>
        <w:t xml:space="preserve"> ELI: …).</w:t>
      </w:r>
    </w:p>
  </w:footnote>
  <w:footnote w:id="5">
    <w:p w:rsidR="001C2625" w:rsidRPr="009C0C9C" w:rsidRDefault="001C2625" w:rsidP="00A40E66">
      <w:pPr>
        <w:pStyle w:val="FootnoteText"/>
        <w:ind w:left="851" w:hanging="851"/>
        <w:rPr>
          <w:sz w:val="24"/>
          <w:lang w:val="en-GB"/>
        </w:rPr>
      </w:pPr>
      <w:r w:rsidRPr="009C0C9C">
        <w:rPr>
          <w:rStyle w:val="FootnoteReference"/>
          <w:sz w:val="24"/>
          <w:lang w:val="en-GB"/>
        </w:rPr>
        <w:t>+</w:t>
      </w:r>
      <w:r w:rsidR="009C0C9C" w:rsidRPr="009C0C9C">
        <w:rPr>
          <w:sz w:val="24"/>
          <w:lang w:val="en-GB"/>
        </w:rPr>
        <w:t xml:space="preserve"> </w:t>
      </w:r>
      <w:r w:rsidR="009C0C9C" w:rsidRPr="009C0C9C">
        <w:rPr>
          <w:sz w:val="24"/>
          <w:lang w:val="en-GB"/>
        </w:rPr>
        <w:tab/>
      </w:r>
      <w:r w:rsidRPr="009C0C9C">
        <w:rPr>
          <w:sz w:val="24"/>
          <w:lang w:val="en-GB"/>
        </w:rPr>
        <w:t>OJ: Please insert in the text the number of the Regulation contained in document PE</w:t>
      </w:r>
      <w:r w:rsidRPr="009C0C9C">
        <w:rPr>
          <w:sz w:val="24"/>
          <w:lang w:val="en-GB"/>
        </w:rPr>
        <w:noBreakHyphen/>
        <w:t>CONS 10/24 (2023/0200(COD)) and insert the number, date and OJ reference of that Regulation in the footnote.</w:t>
      </w:r>
    </w:p>
  </w:footnote>
  <w:footnote w:id="6">
    <w:p w:rsidR="001C2625" w:rsidRPr="009C0C9C" w:rsidRDefault="001C2625" w:rsidP="00A40E66">
      <w:pPr>
        <w:pStyle w:val="FootnoteText"/>
        <w:ind w:left="851" w:hanging="851"/>
        <w:rPr>
          <w:sz w:val="24"/>
          <w:lang w:val="en-GB"/>
        </w:rPr>
      </w:pPr>
      <w:r w:rsidRPr="009C0C9C">
        <w:rPr>
          <w:rStyle w:val="FootnoteReference"/>
          <w:sz w:val="24"/>
          <w:lang w:val="en-GB"/>
        </w:rPr>
        <w:t>+</w:t>
      </w:r>
      <w:r w:rsidR="009C0C9C" w:rsidRPr="009C0C9C">
        <w:rPr>
          <w:sz w:val="24"/>
          <w:lang w:val="en-GB"/>
        </w:rPr>
        <w:t xml:space="preserve"> </w:t>
      </w:r>
      <w:r w:rsidR="009C0C9C" w:rsidRPr="009C0C9C">
        <w:rPr>
          <w:sz w:val="24"/>
          <w:lang w:val="en-GB"/>
        </w:rPr>
        <w:tab/>
      </w:r>
      <w:r w:rsidRPr="009C0C9C">
        <w:rPr>
          <w:sz w:val="24"/>
          <w:lang w:val="en-GB"/>
        </w:rPr>
        <w:t>OJ: Please insert in the text the number of the Regulation contained in document PE</w:t>
      </w:r>
      <w:r w:rsidRPr="009C0C9C">
        <w:rPr>
          <w:sz w:val="24"/>
          <w:lang w:val="en-GB"/>
        </w:rPr>
        <w:noBreakHyphen/>
        <w:t>CONS 10/24 (2023/0200(COD)).</w:t>
      </w:r>
    </w:p>
  </w:footnote>
  <w:footnote w:id="7">
    <w:p w:rsidR="001C2625" w:rsidRPr="009C0C9C" w:rsidRDefault="001C2625" w:rsidP="00A40E66">
      <w:pPr>
        <w:pStyle w:val="FootnoteText"/>
        <w:ind w:left="851" w:hanging="851"/>
        <w:rPr>
          <w:sz w:val="24"/>
          <w:lang w:val="en-GB"/>
        </w:rPr>
      </w:pPr>
      <w:r w:rsidRPr="009C0C9C">
        <w:rPr>
          <w:rStyle w:val="FootnoteReference"/>
          <w:sz w:val="24"/>
          <w:lang w:val="en-GB"/>
        </w:rPr>
        <w:t>+</w:t>
      </w:r>
      <w:r w:rsidR="009C0C9C" w:rsidRPr="009C0C9C">
        <w:rPr>
          <w:sz w:val="24"/>
          <w:lang w:val="en-GB"/>
        </w:rPr>
        <w:t xml:space="preserve"> </w:t>
      </w:r>
      <w:r w:rsidR="009C0C9C" w:rsidRPr="009C0C9C">
        <w:rPr>
          <w:sz w:val="24"/>
          <w:lang w:val="en-GB"/>
        </w:rPr>
        <w:tab/>
      </w:r>
      <w:r w:rsidRPr="009C0C9C">
        <w:rPr>
          <w:sz w:val="24"/>
          <w:lang w:val="en-GB"/>
        </w:rPr>
        <w:t>OJ: Please insert in the text the number of the Regulation contained in document PE</w:t>
      </w:r>
      <w:r w:rsidRPr="009C0C9C">
        <w:rPr>
          <w:sz w:val="24"/>
          <w:lang w:val="en-GB"/>
        </w:rPr>
        <w:noBreakHyphen/>
        <w:t>CONS 10/24 (2023/0200(COD)).</w:t>
      </w:r>
    </w:p>
  </w:footnote>
  <w:footnote w:id="8">
    <w:p w:rsidR="001C2625" w:rsidRPr="009C0C9C" w:rsidRDefault="001C2625" w:rsidP="00A40E66">
      <w:pPr>
        <w:pStyle w:val="FootnoteText"/>
        <w:ind w:left="851" w:hanging="851"/>
        <w:rPr>
          <w:sz w:val="24"/>
          <w:lang w:val="en-GB"/>
        </w:rPr>
      </w:pPr>
      <w:r w:rsidRPr="009C0C9C">
        <w:rPr>
          <w:rStyle w:val="FootnoteReference"/>
          <w:sz w:val="24"/>
          <w:lang w:val="en-GB"/>
        </w:rPr>
        <w:footnoteRef/>
      </w:r>
      <w:r w:rsidR="009C0C9C" w:rsidRPr="009C0C9C">
        <w:rPr>
          <w:sz w:val="24"/>
          <w:lang w:val="en-GB"/>
        </w:rPr>
        <w:t xml:space="preserve"> </w:t>
      </w:r>
      <w:r w:rsidR="009C0C9C" w:rsidRPr="009C0C9C">
        <w:rPr>
          <w:sz w:val="24"/>
          <w:lang w:val="en-GB"/>
        </w:rPr>
        <w:tab/>
      </w:r>
      <w:r w:rsidRPr="009C0C9C">
        <w:rPr>
          <w:sz w:val="24"/>
          <w:lang w:val="en-GB"/>
        </w:rPr>
        <w:t xml:space="preserve">Council Decision (EU, </w:t>
      </w:r>
      <w:proofErr w:type="spellStart"/>
      <w:proofErr w:type="gramStart"/>
      <w:r w:rsidRPr="009C0C9C">
        <w:rPr>
          <w:sz w:val="24"/>
          <w:lang w:val="en-GB"/>
        </w:rPr>
        <w:t>Euratom</w:t>
      </w:r>
      <w:proofErr w:type="spellEnd"/>
      <w:proofErr w:type="gramEnd"/>
      <w:r w:rsidRPr="009C0C9C">
        <w:rPr>
          <w:sz w:val="24"/>
          <w:lang w:val="en-GB"/>
        </w:rPr>
        <w:t xml:space="preserve">) 2020/2053 of 14 December 2020 on the system of own resources of the European Union and repealing Decision 2014/335/EU, </w:t>
      </w:r>
      <w:proofErr w:type="spellStart"/>
      <w:r w:rsidRPr="009C0C9C">
        <w:rPr>
          <w:sz w:val="24"/>
          <w:lang w:val="en-GB"/>
        </w:rPr>
        <w:t>Euratom</w:t>
      </w:r>
      <w:proofErr w:type="spellEnd"/>
      <w:r w:rsidRPr="009C0C9C">
        <w:rPr>
          <w:sz w:val="24"/>
          <w:lang w:val="en-GB"/>
        </w:rPr>
        <w:t xml:space="preserve"> (OJ L 424, 15.12.2020, p. 1).</w:t>
      </w:r>
    </w:p>
  </w:footnote>
  <w:footnote w:id="9">
    <w:p w:rsidR="001C2625" w:rsidRPr="009C0C9C" w:rsidRDefault="001C2625" w:rsidP="00A40E66">
      <w:pPr>
        <w:pStyle w:val="FootnoteText"/>
        <w:ind w:left="851" w:hanging="851"/>
        <w:rPr>
          <w:sz w:val="24"/>
          <w:lang w:val="en-GB"/>
        </w:rPr>
      </w:pPr>
      <w:r w:rsidRPr="009C0C9C">
        <w:rPr>
          <w:rStyle w:val="FootnoteReference"/>
          <w:sz w:val="24"/>
          <w:lang w:val="en-GB"/>
        </w:rPr>
        <w:footnoteRef/>
      </w:r>
      <w:r w:rsidR="009C0C9C" w:rsidRPr="009C0C9C">
        <w:rPr>
          <w:sz w:val="24"/>
          <w:lang w:val="en-GB"/>
        </w:rPr>
        <w:t xml:space="preserve"> </w:t>
      </w:r>
      <w:r w:rsidR="009C0C9C" w:rsidRPr="009C0C9C">
        <w:rPr>
          <w:sz w:val="24"/>
          <w:lang w:val="en-GB"/>
        </w:rPr>
        <w:tab/>
      </w:r>
      <w:r w:rsidRPr="009C0C9C">
        <w:rPr>
          <w:sz w:val="24"/>
          <w:lang w:val="en-GB"/>
        </w:rPr>
        <w:t>Council Regulation (EC) No 2012/2002 of 11 November 2002 establishing the European Union Solidarity Fund (OJ L 311, 14.11.2002, p. 3).</w:t>
      </w:r>
    </w:p>
  </w:footnote>
  <w:footnote w:id="10">
    <w:p w:rsidR="001C2625" w:rsidRPr="009C0C9C" w:rsidRDefault="001C2625" w:rsidP="00A40E66">
      <w:pPr>
        <w:pStyle w:val="FootnoteText"/>
        <w:ind w:left="851" w:hanging="851"/>
        <w:rPr>
          <w:sz w:val="24"/>
          <w:lang w:val="en-GB"/>
        </w:rPr>
      </w:pPr>
      <w:r w:rsidRPr="009C0C9C">
        <w:rPr>
          <w:rStyle w:val="FootnoteReference"/>
          <w:sz w:val="24"/>
          <w:lang w:val="en-GB"/>
        </w:rPr>
        <w:t>+</w:t>
      </w:r>
      <w:r w:rsidR="009C0C9C" w:rsidRPr="009C0C9C">
        <w:rPr>
          <w:sz w:val="24"/>
          <w:lang w:val="en-GB"/>
        </w:rPr>
        <w:t xml:space="preserve"> </w:t>
      </w:r>
      <w:r w:rsidR="009C0C9C" w:rsidRPr="009C0C9C">
        <w:rPr>
          <w:sz w:val="24"/>
          <w:lang w:val="en-GB"/>
        </w:rPr>
        <w:tab/>
      </w:r>
      <w:r w:rsidRPr="009C0C9C">
        <w:rPr>
          <w:sz w:val="24"/>
          <w:lang w:val="en-GB"/>
        </w:rPr>
        <w:t>OJ: Please insert in the text the number of the Regulation contained in document PE</w:t>
      </w:r>
      <w:r w:rsidRPr="009C0C9C">
        <w:rPr>
          <w:sz w:val="24"/>
          <w:lang w:val="en-GB"/>
        </w:rPr>
        <w:noBreakHyphen/>
        <w:t>CONS 10/24 (2023/0200(COD)) and insert the number, date and OJ reference of that Regulation in the footnote.</w:t>
      </w:r>
    </w:p>
  </w:footnote>
  <w:footnote w:id="11">
    <w:p w:rsidR="001C2625" w:rsidRPr="009C0C9C" w:rsidRDefault="001C2625" w:rsidP="00A40E66">
      <w:pPr>
        <w:pStyle w:val="FootnoteText"/>
        <w:ind w:left="851" w:hanging="851"/>
        <w:rPr>
          <w:sz w:val="24"/>
          <w:lang w:val="en-GB"/>
        </w:rPr>
      </w:pPr>
      <w:r w:rsidRPr="009C0C9C">
        <w:rPr>
          <w:rStyle w:val="FootnoteReference"/>
          <w:sz w:val="24"/>
          <w:lang w:val="en-GB"/>
        </w:rPr>
        <w:t>+</w:t>
      </w:r>
      <w:r w:rsidR="009C0C9C" w:rsidRPr="009C0C9C">
        <w:rPr>
          <w:sz w:val="24"/>
          <w:lang w:val="en-GB"/>
        </w:rPr>
        <w:t xml:space="preserve"> </w:t>
      </w:r>
      <w:r w:rsidR="009C0C9C" w:rsidRPr="009C0C9C">
        <w:rPr>
          <w:sz w:val="24"/>
          <w:lang w:val="en-GB"/>
        </w:rPr>
        <w:tab/>
      </w:r>
      <w:r w:rsidRPr="009C0C9C">
        <w:rPr>
          <w:sz w:val="24"/>
          <w:lang w:val="en-GB"/>
        </w:rPr>
        <w:t>OJ: Please insert in the text the number of the Regulation contained in document PE</w:t>
      </w:r>
      <w:r w:rsidRPr="009C0C9C">
        <w:rPr>
          <w:sz w:val="24"/>
          <w:lang w:val="en-GB"/>
        </w:rPr>
        <w:noBreakHyphen/>
        <w:t>CONS 10/24 (2023/0200(COD)).</w:t>
      </w:r>
    </w:p>
  </w:footnote>
  <w:footnote w:id="12">
    <w:p w:rsidR="001C2625" w:rsidRPr="009C0C9C" w:rsidRDefault="001C2625" w:rsidP="00A40E66">
      <w:pPr>
        <w:pStyle w:val="FootnoteText"/>
        <w:ind w:left="851" w:hanging="851"/>
        <w:rPr>
          <w:sz w:val="24"/>
          <w:lang w:val="en-GB"/>
        </w:rPr>
      </w:pPr>
      <w:r w:rsidRPr="009C0C9C">
        <w:rPr>
          <w:rStyle w:val="FootnoteReference"/>
          <w:sz w:val="24"/>
          <w:lang w:val="en-GB"/>
        </w:rPr>
        <w:footnoteRef/>
      </w:r>
      <w:r w:rsidR="009C0C9C" w:rsidRPr="009C0C9C">
        <w:rPr>
          <w:sz w:val="24"/>
          <w:lang w:val="en-GB"/>
        </w:rPr>
        <w:t xml:space="preserve"> </w:t>
      </w:r>
      <w:r w:rsidR="009C0C9C" w:rsidRPr="009C0C9C">
        <w:rPr>
          <w:sz w:val="24"/>
          <w:lang w:val="en-GB"/>
        </w:rPr>
        <w:tab/>
      </w:r>
      <w:r w:rsidRPr="009C0C9C">
        <w:rPr>
          <w:sz w:val="24"/>
          <w:lang w:val="en-GB"/>
        </w:rPr>
        <w:t xml:space="preserve">Joint declaration by the European Parliament, the Council and the Commission on the re-use of </w:t>
      </w:r>
      <w:proofErr w:type="spellStart"/>
      <w:r w:rsidRPr="009C0C9C">
        <w:rPr>
          <w:sz w:val="24"/>
          <w:lang w:val="en-GB"/>
        </w:rPr>
        <w:t>decommitted</w:t>
      </w:r>
      <w:proofErr w:type="spellEnd"/>
      <w:r w:rsidRPr="009C0C9C">
        <w:rPr>
          <w:sz w:val="24"/>
          <w:lang w:val="en-GB"/>
        </w:rPr>
        <w:t xml:space="preserve"> funds in relation to the research programme 2020/C 444 I/03 </w:t>
      </w:r>
      <w:r w:rsidR="00806E18">
        <w:rPr>
          <w:sz w:val="24"/>
          <w:lang w:val="en-GB"/>
        </w:rPr>
        <w:t>(</w:t>
      </w:r>
      <w:r w:rsidRPr="009C0C9C">
        <w:rPr>
          <w:sz w:val="24"/>
          <w:lang w:val="en-GB"/>
        </w:rPr>
        <w:t>OJ C 444</w:t>
      </w:r>
      <w:r w:rsidR="00806E18">
        <w:rPr>
          <w:sz w:val="24"/>
          <w:lang w:val="en-GB"/>
        </w:rPr>
        <w:t xml:space="preserve"> </w:t>
      </w:r>
      <w:r w:rsidRPr="009C0C9C">
        <w:rPr>
          <w:sz w:val="24"/>
          <w:lang w:val="en-GB"/>
        </w:rPr>
        <w:t>I, 22.12.2020, p. 3</w:t>
      </w:r>
      <w:r w:rsidR="00806E18">
        <w:rPr>
          <w:sz w:val="24"/>
          <w:lang w:val="en-GB"/>
        </w:rPr>
        <w:t>)</w:t>
      </w:r>
      <w:r w:rsidRPr="009C0C9C">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625" w:rsidRPr="009C0C9C" w:rsidRDefault="001C26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625" w:rsidRPr="009C0C9C" w:rsidRDefault="001C26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625" w:rsidRPr="009C0C9C" w:rsidRDefault="001C26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C0C9C" w:rsidRDefault="0006400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C0C9C" w:rsidRDefault="0006400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C0C9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frame="1"/>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51/2024"/>
    <w:docVar w:name="dvlangue" w:val="EN"/>
    <w:docVar w:name="dvnumam" w:val="0"/>
    <w:docVar w:name="dvpe" w:val="758.992"/>
    <w:docVar w:name="dvrapporteur" w:val="Rapporteur: "/>
    <w:docVar w:name="dvstar" w:val="***"/>
    <w:docVar w:name="dvtitre" w:val="European Parliament legislative resolution of xx February 2024 on the draft Council regulation amending Regulation (EU, Euratom) 2020/2093 laying down the multiannual financial framework for the years 2021 to 2027(05818/2024 – C9-0030/2024 – 2023/0201(APP))"/>
  </w:docVars>
  <w:rsids>
    <w:rsidRoot w:val="001D16EE"/>
    <w:rsid w:val="00002272"/>
    <w:rsid w:val="0006254D"/>
    <w:rsid w:val="00064002"/>
    <w:rsid w:val="000677B9"/>
    <w:rsid w:val="000831BA"/>
    <w:rsid w:val="000A42CC"/>
    <w:rsid w:val="000E7DD9"/>
    <w:rsid w:val="0010095E"/>
    <w:rsid w:val="00125B37"/>
    <w:rsid w:val="00187494"/>
    <w:rsid w:val="001C2625"/>
    <w:rsid w:val="001D16EE"/>
    <w:rsid w:val="001F32AE"/>
    <w:rsid w:val="002767FF"/>
    <w:rsid w:val="002B18FE"/>
    <w:rsid w:val="002B5493"/>
    <w:rsid w:val="00343214"/>
    <w:rsid w:val="00361C00"/>
    <w:rsid w:val="00395FA1"/>
    <w:rsid w:val="003A2B93"/>
    <w:rsid w:val="003E15D4"/>
    <w:rsid w:val="00411CCE"/>
    <w:rsid w:val="0041666E"/>
    <w:rsid w:val="00421060"/>
    <w:rsid w:val="00471C19"/>
    <w:rsid w:val="004867E3"/>
    <w:rsid w:val="00494A28"/>
    <w:rsid w:val="004A0254"/>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7F16C1"/>
    <w:rsid w:val="0080122B"/>
    <w:rsid w:val="00806E18"/>
    <w:rsid w:val="00817416"/>
    <w:rsid w:val="00842779"/>
    <w:rsid w:val="00851C89"/>
    <w:rsid w:val="00861D0C"/>
    <w:rsid w:val="00865F67"/>
    <w:rsid w:val="00881A7B"/>
    <w:rsid w:val="008840E5"/>
    <w:rsid w:val="00887B3E"/>
    <w:rsid w:val="008C2AC6"/>
    <w:rsid w:val="00930C23"/>
    <w:rsid w:val="0093193B"/>
    <w:rsid w:val="009509D8"/>
    <w:rsid w:val="00950B64"/>
    <w:rsid w:val="00981893"/>
    <w:rsid w:val="009C0C9C"/>
    <w:rsid w:val="00A1687D"/>
    <w:rsid w:val="00A40E66"/>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1F4B"/>
    <w:rsid w:val="00EB4772"/>
    <w:rsid w:val="00ED169E"/>
    <w:rsid w:val="00ED4235"/>
    <w:rsid w:val="00EE7BA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5F3AD"/>
  <w15:chartTrackingRefBased/>
  <w15:docId w15:val="{5E062866-95B7-42A2-836B-2BC1376B3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1C2625"/>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1C2625"/>
    <w:pPr>
      <w:keepNext/>
      <w:spacing w:after="480"/>
      <w:jc w:val="center"/>
    </w:pPr>
    <w:rPr>
      <w:rFonts w:ascii="Arial" w:hAnsi="Arial" w:cs="Arial"/>
      <w:b/>
    </w:rPr>
  </w:style>
  <w:style w:type="paragraph" w:customStyle="1" w:styleId="NormalBold">
    <w:name w:val="NormalBold"/>
    <w:basedOn w:val="Normal"/>
    <w:rsid w:val="001C2625"/>
    <w:rPr>
      <w:b/>
    </w:rPr>
  </w:style>
  <w:style w:type="paragraph" w:customStyle="1" w:styleId="NormalHanging12a">
    <w:name w:val="NormalHanging12a"/>
    <w:basedOn w:val="Normal"/>
    <w:rsid w:val="001C2625"/>
    <w:pPr>
      <w:spacing w:after="240"/>
      <w:ind w:left="567" w:hanging="567"/>
    </w:pPr>
  </w:style>
  <w:style w:type="paragraph" w:customStyle="1" w:styleId="EPComma">
    <w:name w:val="EPComma"/>
    <w:basedOn w:val="Normal"/>
    <w:rsid w:val="001C2625"/>
    <w:pPr>
      <w:spacing w:before="480" w:after="240"/>
    </w:pPr>
    <w:rPr>
      <w:lang w:val="pl-PL"/>
    </w:rPr>
  </w:style>
  <w:style w:type="paragraph" w:styleId="Header">
    <w:name w:val="header"/>
    <w:basedOn w:val="Normal"/>
    <w:link w:val="HeaderChar"/>
    <w:rsid w:val="001C2625"/>
    <w:pPr>
      <w:tabs>
        <w:tab w:val="center" w:pos="4513"/>
        <w:tab w:val="right" w:pos="9026"/>
      </w:tabs>
    </w:pPr>
  </w:style>
  <w:style w:type="character" w:customStyle="1" w:styleId="HeaderChar">
    <w:name w:val="Header Char"/>
    <w:basedOn w:val="DefaultParagraphFont"/>
    <w:link w:val="Header"/>
    <w:rsid w:val="001C2625"/>
    <w:rPr>
      <w:sz w:val="24"/>
    </w:rPr>
  </w:style>
  <w:style w:type="paragraph" w:customStyle="1" w:styleId="EPFooter">
    <w:name w:val="EPFooter"/>
    <w:basedOn w:val="Normal"/>
    <w:rsid w:val="001C2625"/>
    <w:pPr>
      <w:tabs>
        <w:tab w:val="center" w:pos="4535"/>
        <w:tab w:val="right" w:pos="9071"/>
      </w:tabs>
      <w:spacing w:before="240" w:after="240"/>
    </w:pPr>
    <w:rPr>
      <w:color w:val="010000"/>
      <w:sz w:val="22"/>
    </w:rPr>
  </w:style>
  <w:style w:type="paragraph" w:customStyle="1" w:styleId="Text1">
    <w:name w:val="Text 1"/>
    <w:basedOn w:val="Normal"/>
    <w:rsid w:val="001C2625"/>
    <w:pPr>
      <w:widowControl/>
      <w:spacing w:before="120" w:after="120" w:line="360" w:lineRule="auto"/>
      <w:ind w:left="850"/>
    </w:pPr>
    <w:rPr>
      <w:rFonts w:eastAsiaTheme="minorHAnsi"/>
      <w:szCs w:val="22"/>
      <w:lang w:eastAsia="en-US"/>
    </w:rPr>
  </w:style>
  <w:style w:type="paragraph" w:customStyle="1" w:styleId="Text2">
    <w:name w:val="Text 2"/>
    <w:basedOn w:val="Normal"/>
    <w:rsid w:val="001C2625"/>
    <w:pPr>
      <w:widowControl/>
      <w:spacing w:before="120" w:after="120" w:line="360" w:lineRule="auto"/>
      <w:ind w:left="1417"/>
    </w:pPr>
    <w:rPr>
      <w:rFonts w:eastAsiaTheme="minorHAnsi"/>
      <w:szCs w:val="22"/>
      <w:lang w:eastAsia="en-US"/>
    </w:rPr>
  </w:style>
  <w:style w:type="paragraph" w:customStyle="1" w:styleId="NormalCentered">
    <w:name w:val="Normal Centered"/>
    <w:basedOn w:val="Normal"/>
    <w:rsid w:val="001C2625"/>
    <w:pPr>
      <w:widowControl/>
      <w:spacing w:before="120" w:after="120" w:line="360" w:lineRule="auto"/>
      <w:jc w:val="center"/>
    </w:pPr>
    <w:rPr>
      <w:rFonts w:eastAsiaTheme="minorHAnsi"/>
      <w:szCs w:val="22"/>
      <w:lang w:eastAsia="en-US"/>
    </w:rPr>
  </w:style>
  <w:style w:type="paragraph" w:customStyle="1" w:styleId="NormalRight">
    <w:name w:val="Normal Right"/>
    <w:basedOn w:val="Normal"/>
    <w:rsid w:val="001C2625"/>
    <w:pPr>
      <w:widowControl/>
      <w:spacing w:before="120" w:after="120" w:line="360" w:lineRule="auto"/>
      <w:jc w:val="right"/>
    </w:pPr>
    <w:rPr>
      <w:rFonts w:eastAsiaTheme="minorHAnsi"/>
      <w:szCs w:val="22"/>
      <w:lang w:eastAsia="en-US"/>
    </w:rPr>
  </w:style>
  <w:style w:type="paragraph" w:customStyle="1" w:styleId="Point0">
    <w:name w:val="Point 0"/>
    <w:basedOn w:val="Normal"/>
    <w:rsid w:val="001C2625"/>
    <w:pPr>
      <w:widowControl/>
      <w:spacing w:before="120" w:after="120" w:line="360" w:lineRule="auto"/>
      <w:ind w:left="850" w:hanging="850"/>
    </w:pPr>
    <w:rPr>
      <w:rFonts w:eastAsiaTheme="minorHAnsi"/>
      <w:szCs w:val="22"/>
      <w:lang w:eastAsia="en-US"/>
    </w:rPr>
  </w:style>
  <w:style w:type="paragraph" w:customStyle="1" w:styleId="Point1">
    <w:name w:val="Point 1"/>
    <w:basedOn w:val="Normal"/>
    <w:rsid w:val="001C2625"/>
    <w:pPr>
      <w:widowControl/>
      <w:spacing w:before="120" w:after="120" w:line="360" w:lineRule="auto"/>
      <w:ind w:left="1417" w:hanging="567"/>
    </w:pPr>
    <w:rPr>
      <w:rFonts w:eastAsiaTheme="minorHAnsi"/>
      <w:szCs w:val="22"/>
      <w:lang w:eastAsia="en-US"/>
    </w:rPr>
  </w:style>
  <w:style w:type="paragraph" w:customStyle="1" w:styleId="Point2">
    <w:name w:val="Point 2"/>
    <w:basedOn w:val="Normal"/>
    <w:rsid w:val="001C2625"/>
    <w:pPr>
      <w:widowControl/>
      <w:spacing w:before="120" w:after="120" w:line="360" w:lineRule="auto"/>
      <w:ind w:left="1984" w:hanging="567"/>
    </w:pPr>
    <w:rPr>
      <w:rFonts w:eastAsiaTheme="minorHAnsi"/>
      <w:szCs w:val="22"/>
      <w:lang w:eastAsia="en-US"/>
    </w:rPr>
  </w:style>
  <w:style w:type="paragraph" w:customStyle="1" w:styleId="Tiret2">
    <w:name w:val="Tiret 2"/>
    <w:basedOn w:val="Normal"/>
    <w:rsid w:val="001C2625"/>
    <w:pPr>
      <w:widowControl/>
      <w:numPr>
        <w:numId w:val="45"/>
      </w:numPr>
      <w:spacing w:before="120" w:after="120" w:line="360" w:lineRule="auto"/>
    </w:pPr>
    <w:rPr>
      <w:rFonts w:eastAsiaTheme="minorHAnsi"/>
      <w:szCs w:val="22"/>
      <w:lang w:eastAsia="en-US"/>
    </w:rPr>
  </w:style>
  <w:style w:type="paragraph" w:customStyle="1" w:styleId="Fait">
    <w:name w:val="Fait à"/>
    <w:basedOn w:val="Normal"/>
    <w:next w:val="Institutionquisigne"/>
    <w:rsid w:val="001C2625"/>
    <w:pPr>
      <w:keepNext/>
      <w:widowControl/>
      <w:spacing w:before="120" w:line="360" w:lineRule="auto"/>
    </w:pPr>
    <w:rPr>
      <w:rFonts w:eastAsiaTheme="minorHAnsi"/>
      <w:szCs w:val="22"/>
      <w:lang w:eastAsia="en-US"/>
    </w:rPr>
  </w:style>
  <w:style w:type="paragraph" w:customStyle="1" w:styleId="Applicationdirecte">
    <w:name w:val="Application directe"/>
    <w:basedOn w:val="Normal"/>
    <w:next w:val="Fait"/>
    <w:rsid w:val="001C2625"/>
    <w:pPr>
      <w:widowControl/>
      <w:spacing w:before="480" w:after="120" w:line="360" w:lineRule="auto"/>
    </w:pPr>
    <w:rPr>
      <w:rFonts w:eastAsiaTheme="minorHAnsi"/>
      <w:szCs w:val="22"/>
      <w:lang w:eastAsia="en-US"/>
    </w:rPr>
  </w:style>
  <w:style w:type="paragraph" w:customStyle="1" w:styleId="Titreobjet">
    <w:name w:val="Titre objet"/>
    <w:basedOn w:val="Normal"/>
    <w:next w:val="Normal"/>
    <w:rsid w:val="001C2625"/>
    <w:pPr>
      <w:widowControl/>
      <w:spacing w:before="360" w:after="360" w:line="360" w:lineRule="auto"/>
      <w:jc w:val="center"/>
    </w:pPr>
    <w:rPr>
      <w:rFonts w:eastAsiaTheme="minorHAnsi"/>
      <w:b/>
      <w:szCs w:val="22"/>
      <w:lang w:eastAsia="en-US"/>
    </w:rPr>
  </w:style>
  <w:style w:type="paragraph" w:customStyle="1" w:styleId="Datedadoption">
    <w:name w:val="Date d'adoption"/>
    <w:basedOn w:val="Normal"/>
    <w:next w:val="Titreobjet"/>
    <w:rsid w:val="001C2625"/>
    <w:pPr>
      <w:widowControl/>
      <w:spacing w:before="360" w:line="360" w:lineRule="auto"/>
      <w:jc w:val="center"/>
    </w:pPr>
    <w:rPr>
      <w:rFonts w:eastAsiaTheme="minorHAnsi"/>
      <w:b/>
      <w:szCs w:val="22"/>
      <w:lang w:eastAsia="en-US"/>
    </w:rPr>
  </w:style>
  <w:style w:type="paragraph" w:customStyle="1" w:styleId="Institutionquisigne">
    <w:name w:val="Institution qui signe"/>
    <w:basedOn w:val="Normal"/>
    <w:next w:val="Personnequisigne"/>
    <w:rsid w:val="001C2625"/>
    <w:pPr>
      <w:keepNext/>
      <w:widowControl/>
      <w:tabs>
        <w:tab w:val="left" w:pos="5669"/>
      </w:tabs>
      <w:spacing w:before="720" w:line="360" w:lineRule="auto"/>
    </w:pPr>
    <w:rPr>
      <w:rFonts w:eastAsiaTheme="minorHAnsi"/>
      <w:i/>
      <w:szCs w:val="22"/>
      <w:lang w:eastAsia="en-US"/>
    </w:rPr>
  </w:style>
  <w:style w:type="paragraph" w:customStyle="1" w:styleId="Titrearticle">
    <w:name w:val="Titre article"/>
    <w:basedOn w:val="Normal"/>
    <w:next w:val="Normal"/>
    <w:rsid w:val="001C2625"/>
    <w:pPr>
      <w:keepNext/>
      <w:widowControl/>
      <w:spacing w:before="360" w:after="120" w:line="360" w:lineRule="auto"/>
      <w:jc w:val="center"/>
    </w:pPr>
    <w:rPr>
      <w:rFonts w:eastAsiaTheme="minorHAnsi"/>
      <w:i/>
      <w:szCs w:val="22"/>
      <w:lang w:eastAsia="en-US"/>
    </w:rPr>
  </w:style>
  <w:style w:type="paragraph" w:customStyle="1" w:styleId="Formuledadoption">
    <w:name w:val="Formule d'adoption"/>
    <w:basedOn w:val="Normal"/>
    <w:next w:val="Titrearticle"/>
    <w:rsid w:val="001C2625"/>
    <w:pPr>
      <w:keepNext/>
      <w:widowControl/>
      <w:spacing w:before="120" w:after="120" w:line="360" w:lineRule="auto"/>
    </w:pPr>
    <w:rPr>
      <w:rFonts w:eastAsiaTheme="minorHAnsi"/>
      <w:szCs w:val="22"/>
      <w:lang w:eastAsia="en-US"/>
    </w:rPr>
  </w:style>
  <w:style w:type="paragraph" w:customStyle="1" w:styleId="Institutionquiagit">
    <w:name w:val="Institution qui agit"/>
    <w:basedOn w:val="Normal"/>
    <w:next w:val="Normal"/>
    <w:rsid w:val="001C2625"/>
    <w:pPr>
      <w:keepNext/>
      <w:widowControl/>
      <w:spacing w:before="600" w:after="120" w:line="360" w:lineRule="auto"/>
    </w:pPr>
    <w:rPr>
      <w:rFonts w:eastAsiaTheme="minorHAnsi"/>
      <w:szCs w:val="22"/>
      <w:lang w:eastAsia="en-US"/>
    </w:rPr>
  </w:style>
  <w:style w:type="paragraph" w:customStyle="1" w:styleId="Personnequisigne">
    <w:name w:val="Personne qui signe"/>
    <w:basedOn w:val="Normal"/>
    <w:next w:val="Institutionquisigne"/>
    <w:rsid w:val="001C2625"/>
    <w:pPr>
      <w:widowControl/>
      <w:tabs>
        <w:tab w:val="left" w:pos="5669"/>
      </w:tabs>
      <w:spacing w:line="360" w:lineRule="auto"/>
    </w:pPr>
    <w:rPr>
      <w:rFonts w:eastAsiaTheme="minorHAnsi"/>
      <w:i/>
      <w:szCs w:val="22"/>
      <w:lang w:eastAsia="en-US"/>
    </w:rPr>
  </w:style>
  <w:style w:type="paragraph" w:customStyle="1" w:styleId="ManualConsidrant">
    <w:name w:val="Manual Considérant"/>
    <w:basedOn w:val="Normal"/>
    <w:rsid w:val="001C2625"/>
    <w:pPr>
      <w:widowControl/>
      <w:spacing w:before="120" w:after="120" w:line="360" w:lineRule="auto"/>
      <w:ind w:left="850" w:hanging="850"/>
    </w:pPr>
    <w:rPr>
      <w:rFonts w:eastAsiaTheme="minorHAnsi"/>
      <w:szCs w:val="22"/>
      <w:lang w:eastAsia="en-US"/>
    </w:rPr>
  </w:style>
  <w:style w:type="paragraph" w:customStyle="1" w:styleId="Typedudocument">
    <w:name w:val="Type du document"/>
    <w:basedOn w:val="Normal"/>
    <w:next w:val="Datedadoption"/>
    <w:rsid w:val="001C2625"/>
    <w:pPr>
      <w:widowControl/>
      <w:spacing w:before="360" w:line="360" w:lineRule="auto"/>
      <w:jc w:val="center"/>
    </w:pPr>
    <w:rPr>
      <w:rFonts w:eastAsiaTheme="minorHAnsi"/>
      <w:b/>
      <w:szCs w:val="22"/>
      <w:lang w:eastAsia="en-US"/>
    </w:rPr>
  </w:style>
  <w:style w:type="paragraph" w:customStyle="1" w:styleId="Lignefinal">
    <w:name w:val="Ligne final"/>
    <w:basedOn w:val="Normal"/>
    <w:next w:val="Normal"/>
    <w:rsid w:val="001C2625"/>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LignefinalLandscape">
    <w:name w:val="Ligne final (Landscape)"/>
    <w:basedOn w:val="Normal"/>
    <w:next w:val="Normal"/>
    <w:rsid w:val="001C2625"/>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Annexetitre">
    <w:name w:val="Annexe titre"/>
    <w:basedOn w:val="Normal"/>
    <w:next w:val="Normal"/>
    <w:rsid w:val="001C2625"/>
    <w:pPr>
      <w:widowControl/>
      <w:spacing w:before="120" w:after="120" w:line="360" w:lineRule="auto"/>
      <w:jc w:val="center"/>
    </w:pPr>
    <w:rPr>
      <w:rFonts w:eastAsiaTheme="minorHAnsi"/>
      <w:b/>
      <w:szCs w:val="22"/>
      <w:u w:val="single"/>
      <w:lang w:eastAsia="en-US"/>
    </w:rPr>
  </w:style>
  <w:style w:type="paragraph" w:styleId="NormalWeb">
    <w:name w:val="Normal (Web)"/>
    <w:basedOn w:val="Normal"/>
    <w:uiPriority w:val="99"/>
    <w:unhideWhenUsed/>
    <w:rsid w:val="001C2625"/>
    <w:pPr>
      <w:widowControl/>
      <w:spacing w:before="100" w:beforeAutospacing="1" w:after="100" w:afterAutospacing="1"/>
    </w:pPr>
    <w:rPr>
      <w:szCs w:val="24"/>
      <w:lang w:val="en-IE" w:eastAsia="en-IE"/>
    </w:rPr>
  </w:style>
  <w:style w:type="paragraph" w:customStyle="1" w:styleId="Normal24a">
    <w:name w:val="Normal24a"/>
    <w:basedOn w:val="Normal"/>
    <w:rsid w:val="001C2625"/>
    <w:pPr>
      <w:spacing w:after="480"/>
    </w:pPr>
  </w:style>
  <w:style w:type="paragraph" w:customStyle="1" w:styleId="NormalBoldCenter">
    <w:name w:val="NormalBoldCenter"/>
    <w:basedOn w:val="Normal"/>
    <w:rsid w:val="001C2625"/>
    <w:pPr>
      <w:jc w:val="center"/>
    </w:pPr>
    <w:rPr>
      <w:b/>
    </w:rPr>
  </w:style>
  <w:style w:type="paragraph" w:styleId="Footer">
    <w:name w:val="footer"/>
    <w:basedOn w:val="Normal"/>
    <w:link w:val="FooterChar"/>
    <w:rsid w:val="00806E18"/>
    <w:pPr>
      <w:tabs>
        <w:tab w:val="center" w:pos="4513"/>
        <w:tab w:val="right" w:pos="9026"/>
      </w:tabs>
    </w:pPr>
  </w:style>
  <w:style w:type="character" w:customStyle="1" w:styleId="FooterChar">
    <w:name w:val="Footer Char"/>
    <w:basedOn w:val="DefaultParagraphFont"/>
    <w:link w:val="Footer"/>
    <w:rsid w:val="00806E18"/>
    <w:rPr>
      <w:sz w:val="24"/>
    </w:rPr>
  </w:style>
  <w:style w:type="paragraph" w:styleId="BalloonText">
    <w:name w:val="Balloon Text"/>
    <w:basedOn w:val="Normal"/>
    <w:link w:val="BalloonTextChar"/>
    <w:rsid w:val="00806E18"/>
    <w:rPr>
      <w:rFonts w:ascii="Segoe UI" w:hAnsi="Segoe UI" w:cs="Segoe UI"/>
      <w:sz w:val="18"/>
      <w:szCs w:val="18"/>
    </w:rPr>
  </w:style>
  <w:style w:type="character" w:customStyle="1" w:styleId="BalloonTextChar">
    <w:name w:val="Balloon Text Char"/>
    <w:basedOn w:val="DefaultParagraphFont"/>
    <w:link w:val="BalloonText"/>
    <w:rsid w:val="00806E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A28C5-A184-4C2E-A99D-EDFED9C61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4424</Words>
  <Characters>22971</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2024-06-04T13:50:00Z</dcterms:created>
  <dcterms:modified xsi:type="dcterms:W3CDTF">2024-06-04T13:50:00Z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P9_TA(2024)0081_</vt:lpwstr>
  </property>
  <property fmtid="{D5CDD505-2E9C-101B-9397-08002B2CF9AE}" pid="4" name="&lt;Type&gt;">
    <vt:lpwstr>RR</vt:lpwstr>
  </property>
</Properties>
</file>