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C4CF6" w:rsidTr="0010095E">
        <w:trPr>
          <w:trHeight w:hRule="exact" w:val="1418"/>
        </w:trPr>
        <w:tc>
          <w:tcPr>
            <w:tcW w:w="6804" w:type="dxa"/>
            <w:shd w:val="clear" w:color="auto" w:fill="auto"/>
            <w:vAlign w:val="center"/>
          </w:tcPr>
          <w:p w:rsidR="00751A4A" w:rsidRPr="003C4CF6" w:rsidRDefault="00096B39" w:rsidP="0010095E">
            <w:pPr>
              <w:pStyle w:val="EPName"/>
            </w:pPr>
            <w:r w:rsidRPr="003C4CF6">
              <w:t>Europski parlament</w:t>
            </w:r>
          </w:p>
          <w:p w:rsidR="00751A4A" w:rsidRPr="003C4CF6" w:rsidRDefault="00817416" w:rsidP="00756632">
            <w:pPr>
              <w:pStyle w:val="EPTerm"/>
              <w:rPr>
                <w:rStyle w:val="HideTWBExt"/>
                <w:noProof w:val="0"/>
                <w:vanish w:val="0"/>
                <w:color w:val="auto"/>
              </w:rPr>
            </w:pPr>
            <w:r w:rsidRPr="003C4CF6">
              <w:t>2019-2024</w:t>
            </w:r>
          </w:p>
        </w:tc>
        <w:tc>
          <w:tcPr>
            <w:tcW w:w="2268" w:type="dxa"/>
            <w:shd w:val="clear" w:color="auto" w:fill="auto"/>
          </w:tcPr>
          <w:p w:rsidR="00751A4A" w:rsidRPr="003C4CF6" w:rsidRDefault="00187494" w:rsidP="0010095E">
            <w:pPr>
              <w:pStyle w:val="EPLogo"/>
            </w:pPr>
            <w:r w:rsidRPr="003C4CF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C4CF6" w:rsidRDefault="00D058B8" w:rsidP="004C5D52">
      <w:pPr>
        <w:pStyle w:val="LineTop"/>
      </w:pPr>
    </w:p>
    <w:p w:rsidR="00680577" w:rsidRPr="003C4CF6" w:rsidRDefault="00096B39" w:rsidP="00680577">
      <w:pPr>
        <w:pStyle w:val="EPBodyTA1"/>
      </w:pPr>
      <w:r w:rsidRPr="003C4CF6">
        <w:t>USVOJENI TEKSTOVI</w:t>
      </w:r>
    </w:p>
    <w:p w:rsidR="00D058B8" w:rsidRPr="003C4CF6" w:rsidRDefault="00D058B8" w:rsidP="00D058B8">
      <w:pPr>
        <w:pStyle w:val="LineBottom"/>
      </w:pPr>
    </w:p>
    <w:p w:rsidR="00096B39" w:rsidRPr="003C4CF6" w:rsidRDefault="00096B39" w:rsidP="00096B39">
      <w:pPr>
        <w:pStyle w:val="ATHeading1"/>
      </w:pPr>
      <w:bookmarkStart w:id="0" w:name="TANumber"/>
      <w:r w:rsidRPr="003C4CF6">
        <w:t>P9_TA(2024)00</w:t>
      </w:r>
      <w:bookmarkEnd w:id="0"/>
      <w:r w:rsidR="007D2663" w:rsidRPr="003C4CF6">
        <w:t>81</w:t>
      </w:r>
    </w:p>
    <w:p w:rsidR="00096B39" w:rsidRPr="003C4CF6" w:rsidRDefault="00096B39" w:rsidP="00096B39">
      <w:pPr>
        <w:pStyle w:val="ATHeading2"/>
      </w:pPr>
      <w:bookmarkStart w:id="1" w:name="title"/>
      <w:r w:rsidRPr="003C4CF6">
        <w:t>Višegodišnji financijski okvir za razdoblje 2021. – 2027.</w:t>
      </w:r>
      <w:bookmarkEnd w:id="1"/>
    </w:p>
    <w:p w:rsidR="00096B39" w:rsidRPr="003C4CF6" w:rsidRDefault="00096B39" w:rsidP="00096B39">
      <w:pPr>
        <w:rPr>
          <w:i/>
          <w:vanish/>
        </w:rPr>
      </w:pPr>
      <w:r w:rsidRPr="003C4CF6">
        <w:rPr>
          <w:i/>
        </w:rPr>
        <w:fldChar w:fldCharType="begin"/>
      </w:r>
      <w:r w:rsidRPr="003C4CF6">
        <w:rPr>
          <w:i/>
        </w:rPr>
        <w:instrText xml:space="preserve"> TC"(</w:instrText>
      </w:r>
      <w:bookmarkStart w:id="2" w:name="DocNumber"/>
      <w:r w:rsidRPr="003C4CF6">
        <w:rPr>
          <w:i/>
        </w:rPr>
        <w:instrText>A9-0051/2024</w:instrText>
      </w:r>
      <w:bookmarkEnd w:id="2"/>
      <w:r w:rsidRPr="003C4CF6">
        <w:rPr>
          <w:i/>
        </w:rPr>
        <w:instrText xml:space="preserve"> - </w:instrText>
      </w:r>
      <w:r w:rsidR="007D2663" w:rsidRPr="003C4CF6">
        <w:rPr>
          <w:i/>
        </w:rPr>
        <w:instrText>Sui</w:instrText>
      </w:r>
      <w:r w:rsidRPr="003C4CF6">
        <w:rPr>
          <w:i/>
        </w:rPr>
        <w:instrText xml:space="preserve">zvjestitelji: Jan </w:instrText>
      </w:r>
      <w:proofErr w:type="spellStart"/>
      <w:r w:rsidRPr="003C4CF6">
        <w:rPr>
          <w:i/>
        </w:rPr>
        <w:instrText>Olbrycht</w:instrText>
      </w:r>
      <w:proofErr w:type="spellEnd"/>
      <w:r w:rsidRPr="003C4CF6">
        <w:rPr>
          <w:i/>
        </w:rPr>
        <w:instrText xml:space="preserve">, </w:instrText>
      </w:r>
      <w:proofErr w:type="spellStart"/>
      <w:r w:rsidRPr="003C4CF6">
        <w:rPr>
          <w:i/>
        </w:rPr>
        <w:instrText>Margarida</w:instrText>
      </w:r>
      <w:proofErr w:type="spellEnd"/>
      <w:r w:rsidRPr="003C4CF6">
        <w:rPr>
          <w:i/>
        </w:rPr>
        <w:instrText xml:space="preserve"> </w:instrText>
      </w:r>
      <w:proofErr w:type="spellStart"/>
      <w:r w:rsidRPr="003C4CF6">
        <w:rPr>
          <w:i/>
        </w:rPr>
        <w:instrText>Marques</w:instrText>
      </w:r>
      <w:proofErr w:type="spellEnd"/>
      <w:r w:rsidRPr="003C4CF6">
        <w:rPr>
          <w:i/>
        </w:rPr>
        <w:instrText xml:space="preserve">)"\l3 \n&gt; \* MERGEFORMAT </w:instrText>
      </w:r>
      <w:r w:rsidRPr="003C4CF6">
        <w:rPr>
          <w:i/>
        </w:rPr>
        <w:fldChar w:fldCharType="end"/>
      </w:r>
    </w:p>
    <w:p w:rsidR="00096B39" w:rsidRPr="003C4CF6" w:rsidRDefault="00096B39" w:rsidP="00096B39">
      <w:pPr>
        <w:rPr>
          <w:vanish/>
        </w:rPr>
      </w:pPr>
      <w:bookmarkStart w:id="3" w:name="Commission"/>
      <w:r w:rsidRPr="003C4CF6">
        <w:rPr>
          <w:vanish/>
        </w:rPr>
        <w:t>Odbor za proračune</w:t>
      </w:r>
      <w:bookmarkEnd w:id="3"/>
    </w:p>
    <w:p w:rsidR="00096B39" w:rsidRPr="003C4CF6" w:rsidRDefault="00096B39" w:rsidP="00096B39">
      <w:pPr>
        <w:rPr>
          <w:vanish/>
        </w:rPr>
      </w:pPr>
      <w:bookmarkStart w:id="4" w:name="PE"/>
      <w:r w:rsidRPr="003C4CF6">
        <w:rPr>
          <w:vanish/>
        </w:rPr>
        <w:t>PE758.992</w:t>
      </w:r>
      <w:bookmarkEnd w:id="4"/>
    </w:p>
    <w:p w:rsidR="00096B39" w:rsidRPr="003C4CF6" w:rsidRDefault="00096B39" w:rsidP="00096B39">
      <w:pPr>
        <w:pStyle w:val="ATHeading3"/>
      </w:pPr>
      <w:bookmarkStart w:id="5" w:name="Sujet"/>
      <w:r w:rsidRPr="003C4CF6">
        <w:t>Zakonodavna rezoluc</w:t>
      </w:r>
      <w:r w:rsidR="00670B9E" w:rsidRPr="003C4CF6">
        <w:t>ija Europskog parlamenta od 27. ve</w:t>
      </w:r>
      <w:r w:rsidR="007D2663" w:rsidRPr="003C4CF6">
        <w:t>l</w:t>
      </w:r>
      <w:r w:rsidR="00670B9E" w:rsidRPr="003C4CF6">
        <w:t>jače</w:t>
      </w:r>
      <w:r w:rsidRPr="003C4CF6">
        <w:t xml:space="preserve"> 2024. o Nacrtu uredbe Vijeća o izmjeni Uredbe (EU, Euratom) 2020/2093 kojom se utvrđuje višegodišnji financijski okvir za razdoblje 2021. – 2027.</w:t>
      </w:r>
      <w:bookmarkEnd w:id="5"/>
      <w:r w:rsidRPr="003C4CF6">
        <w:t xml:space="preserve"> </w:t>
      </w:r>
      <w:bookmarkStart w:id="6" w:name="References"/>
      <w:r w:rsidRPr="003C4CF6">
        <w:t>(05818/2024 – C9-0030/2024 – 2023/0201(APP))</w:t>
      </w:r>
      <w:bookmarkEnd w:id="6"/>
    </w:p>
    <w:p w:rsidR="00096B39" w:rsidRPr="003C4CF6" w:rsidRDefault="00096B39" w:rsidP="00096B39"/>
    <w:p w:rsidR="00E61862" w:rsidRPr="003C4CF6" w:rsidRDefault="00E61862" w:rsidP="00E61862">
      <w:pPr>
        <w:pStyle w:val="NormalBold"/>
      </w:pPr>
      <w:bookmarkStart w:id="7" w:name="TextBodyBegin"/>
      <w:bookmarkEnd w:id="7"/>
      <w:r w:rsidRPr="003C4CF6">
        <w:t>(Posebni zakonodavni postupak – suglasnost)</w:t>
      </w:r>
    </w:p>
    <w:p w:rsidR="00E61862" w:rsidRPr="003C4CF6" w:rsidRDefault="00E61862" w:rsidP="00E61862">
      <w:pPr>
        <w:pStyle w:val="EPComma"/>
      </w:pPr>
      <w:r w:rsidRPr="003C4CF6">
        <w:rPr>
          <w:i/>
        </w:rPr>
        <w:t>Europski parlament</w:t>
      </w:r>
      <w:r w:rsidRPr="003C4CF6">
        <w:t>,</w:t>
      </w:r>
    </w:p>
    <w:p w:rsidR="00E61862" w:rsidRPr="003C4CF6" w:rsidRDefault="00E61862" w:rsidP="00E61862">
      <w:pPr>
        <w:pStyle w:val="NormalHanging12a"/>
      </w:pPr>
      <w:r w:rsidRPr="003C4CF6">
        <w:t>–</w:t>
      </w:r>
      <w:r w:rsidRPr="003C4CF6">
        <w:tab/>
        <w:t>uzimajući u obzir Nacrt uredbe Vijeća o izmjeni Uredbe (EU, Euratom) 2020/2093 kojom se utvrđuje višegodišnji financijski okvir za razdoblje 2021. – 2027. (05818/2024),</w:t>
      </w:r>
    </w:p>
    <w:p w:rsidR="00E61862" w:rsidRPr="003C4CF6" w:rsidRDefault="00E61862" w:rsidP="00E61862">
      <w:pPr>
        <w:pStyle w:val="NormalHanging12a"/>
      </w:pPr>
      <w:r w:rsidRPr="003C4CF6">
        <w:t>–</w:t>
      </w:r>
      <w:r w:rsidRPr="003C4CF6">
        <w:tab/>
        <w:t>uzimajući u obzir zahtjev Vijeća za davanje suglasnosti u skladu s člankom 312. stavkom 2. Ugovora o funkcioniranju Europske unije (C9-0030/2024),</w:t>
      </w:r>
    </w:p>
    <w:p w:rsidR="00E61862" w:rsidRPr="003C4CF6" w:rsidRDefault="00E61862" w:rsidP="00E61862">
      <w:pPr>
        <w:pStyle w:val="NormalHanging12a"/>
      </w:pPr>
      <w:r w:rsidRPr="003C4CF6">
        <w:t>–</w:t>
      </w:r>
      <w:r w:rsidRPr="003C4CF6">
        <w:tab/>
        <w:t>uzimajući u obzir Komisijin Prijedlog uredbe Vijeća od 20. lipnja 2023. o izmjeni Uredbe (EU, Euratom) 2020/2093 kojom se utvrđuje višegodišnji financijski okvir za razdoblje 2021. – 2027.(COM(2023)0337),</w:t>
      </w:r>
    </w:p>
    <w:p w:rsidR="00E61862" w:rsidRPr="003C4CF6" w:rsidRDefault="00E61862" w:rsidP="00E61862">
      <w:pPr>
        <w:pStyle w:val="NormalHanging12a"/>
        <w:rPr>
          <w:snapToGrid w:val="0"/>
          <w:szCs w:val="24"/>
        </w:rPr>
      </w:pPr>
      <w:r w:rsidRPr="003C4CF6">
        <w:t>–</w:t>
      </w:r>
      <w:r w:rsidRPr="003C4CF6">
        <w:tab/>
      </w:r>
      <w:r w:rsidRPr="003C4CF6">
        <w:rPr>
          <w:snapToGrid w:val="0"/>
        </w:rPr>
        <w:t>uzimajući u obzir svoju Rezoluciju od 3. listopada 2023. o prijedlogu revizije višegodišnjeg financijskog okvira za razdoblje 2021. – 2027. u sredini programskog razdoblja</w:t>
      </w:r>
      <w:r w:rsidRPr="003C4CF6">
        <w:rPr>
          <w:snapToGrid w:val="0"/>
          <w:szCs w:val="24"/>
          <w:vertAlign w:val="superscript"/>
        </w:rPr>
        <w:footnoteReference w:id="1"/>
      </w:r>
      <w:r w:rsidRPr="003C4CF6">
        <w:rPr>
          <w:snapToGrid w:val="0"/>
        </w:rPr>
        <w:t>,</w:t>
      </w:r>
    </w:p>
    <w:p w:rsidR="00E61862" w:rsidRPr="003C4CF6" w:rsidRDefault="00E61862" w:rsidP="00E61862">
      <w:pPr>
        <w:pStyle w:val="NormalHanging12a"/>
      </w:pPr>
      <w:r w:rsidRPr="003C4CF6">
        <w:t>–</w:t>
      </w:r>
      <w:r w:rsidRPr="003C4CF6">
        <w:tab/>
        <w:t>uzimajući u obzir članak 92. i članak 105. stavke 1. i 4. Poslovnika,</w:t>
      </w:r>
    </w:p>
    <w:p w:rsidR="00E61862" w:rsidRPr="003C4CF6" w:rsidRDefault="00E61862" w:rsidP="00E61862">
      <w:pPr>
        <w:pStyle w:val="NormalHanging12a"/>
      </w:pPr>
      <w:r w:rsidRPr="003C4CF6">
        <w:t>–</w:t>
      </w:r>
      <w:r w:rsidRPr="003C4CF6">
        <w:tab/>
        <w:t>uzimajući u obzir preporuku Odbora za proračune (A9</w:t>
      </w:r>
      <w:r w:rsidRPr="003C4CF6">
        <w:noBreakHyphen/>
        <w:t>0051/2024),</w:t>
      </w:r>
    </w:p>
    <w:p w:rsidR="00E61862" w:rsidRPr="003C4CF6" w:rsidRDefault="00E61862" w:rsidP="00E61862">
      <w:pPr>
        <w:pStyle w:val="NormalHanging12a"/>
      </w:pPr>
      <w:r w:rsidRPr="003C4CF6">
        <w:t>1.</w:t>
      </w:r>
      <w:r w:rsidRPr="003C4CF6">
        <w:tab/>
        <w:t>daje suglasnost za Nacrt uredbe Vijeća kako je naveden u prilogu ovoj Rezoluciji;</w:t>
      </w:r>
    </w:p>
    <w:p w:rsidR="00E61862" w:rsidRPr="003C4CF6" w:rsidRDefault="00E61862" w:rsidP="00E61862">
      <w:pPr>
        <w:pStyle w:val="NormalHanging12a"/>
      </w:pPr>
      <w:r w:rsidRPr="003C4CF6">
        <w:t>2.</w:t>
      </w:r>
      <w:r w:rsidRPr="003C4CF6">
        <w:tab/>
        <w:t>odobrava zajedničku izjavu Parlamenta, Vijeća i Komisije priloženu ovoj Rezoluciji;</w:t>
      </w:r>
    </w:p>
    <w:p w:rsidR="00E61862" w:rsidRPr="003C4CF6" w:rsidRDefault="00E61862" w:rsidP="00E61862">
      <w:pPr>
        <w:pStyle w:val="NormalHanging12a"/>
      </w:pPr>
      <w:r w:rsidRPr="003C4CF6">
        <w:t>3.</w:t>
      </w:r>
      <w:r w:rsidRPr="003C4CF6">
        <w:tab/>
        <w:t>nalaže svojoj predsjednici da stajalište Parlamenta proslijedi Vijeću, Komisiji i nacionalnim parlamentima.</w:t>
      </w:r>
    </w:p>
    <w:p w:rsidR="00E61862" w:rsidRPr="003C4CF6" w:rsidRDefault="00E61862" w:rsidP="00E61862">
      <w:r w:rsidRPr="003C4CF6">
        <w:br w:type="page"/>
      </w:r>
    </w:p>
    <w:p w:rsidR="00E61862" w:rsidRPr="003C4CF6" w:rsidRDefault="00E61862" w:rsidP="00E61862">
      <w:pPr>
        <w:pStyle w:val="PageHeading"/>
        <w:rPr>
          <w:caps/>
        </w:rPr>
      </w:pPr>
      <w:bookmarkStart w:id="8" w:name="_Toc159509473"/>
      <w:bookmarkStart w:id="9" w:name="_Toc159565232"/>
      <w:r w:rsidRPr="003C4CF6">
        <w:rPr>
          <w:caps/>
        </w:rPr>
        <w:lastRenderedPageBreak/>
        <w:t>PRILOG 1.: NACRT UREDBE VIJEĆA o izmjeni Uredbe (EU, Euratom) 2020/2093 kojom se utvrđuje višegodišnji financijski okvir za razdoblje 2021. – 2027.</w:t>
      </w:r>
      <w:bookmarkEnd w:id="8"/>
      <w:bookmarkEnd w:id="9"/>
    </w:p>
    <w:p w:rsidR="00E61862" w:rsidRPr="003C4CF6" w:rsidRDefault="00E61862" w:rsidP="00E61862">
      <w:pPr>
        <w:pStyle w:val="PageHeading"/>
        <w:rPr>
          <w:caps/>
        </w:rPr>
      </w:pPr>
    </w:p>
    <w:p w:rsidR="00E61862" w:rsidRPr="003C4CF6" w:rsidRDefault="00E61862" w:rsidP="00E61862">
      <w:pPr>
        <w:pStyle w:val="Typedudocument"/>
      </w:pPr>
      <w:bookmarkStart w:id="10" w:name="_Hlk158212351"/>
      <w:r w:rsidRPr="003C4CF6">
        <w:t>UREDBA VIJEĆA (EU, Euratom) 2024/…</w:t>
      </w:r>
    </w:p>
    <w:p w:rsidR="00E61862" w:rsidRPr="003C4CF6" w:rsidRDefault="00E61862" w:rsidP="00E61862">
      <w:pPr>
        <w:pStyle w:val="Datedadoption"/>
      </w:pPr>
      <w:r w:rsidRPr="003C4CF6">
        <w:t>od …</w:t>
      </w:r>
    </w:p>
    <w:p w:rsidR="00E61862" w:rsidRPr="003C4CF6" w:rsidRDefault="00E61862" w:rsidP="00E61862">
      <w:pPr>
        <w:pStyle w:val="Titreobjet"/>
      </w:pPr>
      <w:r w:rsidRPr="003C4CF6">
        <w:t xml:space="preserve">o izmjeni Uredbe (EU, Euratom) 2020/2093 kojom se utvrđuje </w:t>
      </w:r>
      <w:r w:rsidRPr="003C4CF6">
        <w:br/>
        <w:t>višegodišnji financijski okvir za razdoblje 2021. – 2027.</w:t>
      </w:r>
    </w:p>
    <w:p w:rsidR="00E61862" w:rsidRPr="003C4CF6" w:rsidRDefault="00E61862" w:rsidP="00E61862">
      <w:pPr>
        <w:pStyle w:val="Institutionquiagit"/>
      </w:pPr>
      <w:r w:rsidRPr="003C4CF6">
        <w:t>VIJEĆE EUROPSKE UNIJE,</w:t>
      </w:r>
    </w:p>
    <w:p w:rsidR="00E61862" w:rsidRPr="003C4CF6" w:rsidRDefault="00E61862" w:rsidP="00E61862">
      <w:pPr>
        <w:spacing w:after="240"/>
      </w:pPr>
      <w:r w:rsidRPr="003C4CF6">
        <w:t>uzimajući u obzir Ugovor o funkcioniranju Europske unije, a posebno njegov članak 312.,</w:t>
      </w:r>
    </w:p>
    <w:p w:rsidR="00E61862" w:rsidRPr="003C4CF6" w:rsidRDefault="00E61862" w:rsidP="00E61862">
      <w:pPr>
        <w:spacing w:after="240"/>
      </w:pPr>
      <w:r w:rsidRPr="003C4CF6">
        <w:t>uzimajući u obzir Ugovor o osnivanju Europske zajednice za atomsku energiju, a posebno njegov članak 106.a,</w:t>
      </w:r>
    </w:p>
    <w:p w:rsidR="00E61862" w:rsidRPr="003C4CF6" w:rsidRDefault="00E61862" w:rsidP="00E61862">
      <w:pPr>
        <w:spacing w:after="240"/>
      </w:pPr>
      <w:r w:rsidRPr="003C4CF6">
        <w:t>uzimajući u obzir prijedlog Europske komisije,</w:t>
      </w:r>
    </w:p>
    <w:p w:rsidR="00E61862" w:rsidRPr="003C4CF6" w:rsidRDefault="00E61862" w:rsidP="00E61862">
      <w:pPr>
        <w:spacing w:after="240"/>
      </w:pPr>
      <w:r w:rsidRPr="003C4CF6">
        <w:t>uzimajući u obzir mišljenje Europskog parlamenta</w:t>
      </w:r>
      <w:r w:rsidRPr="003C4CF6">
        <w:rPr>
          <w:rStyle w:val="FootnoteReference"/>
        </w:rPr>
        <w:footnoteReference w:id="2"/>
      </w:r>
      <w:r w:rsidRPr="003C4CF6">
        <w:t>,</w:t>
      </w:r>
    </w:p>
    <w:p w:rsidR="00E61862" w:rsidRPr="003C4CF6" w:rsidRDefault="00E61862" w:rsidP="00E61862">
      <w:pPr>
        <w:spacing w:after="240"/>
      </w:pPr>
      <w:r w:rsidRPr="003C4CF6">
        <w:t>nakon prosljeđivanja nacrta zakonodavnog akta nacionalnim parlamentima,</w:t>
      </w:r>
    </w:p>
    <w:p w:rsidR="00E61862" w:rsidRPr="003C4CF6" w:rsidRDefault="00E61862" w:rsidP="00E61862">
      <w:pPr>
        <w:spacing w:after="240"/>
      </w:pPr>
      <w:r w:rsidRPr="003C4CF6">
        <w:t>u skladu s posebnim zakonodavnim postupkom,</w:t>
      </w:r>
    </w:p>
    <w:p w:rsidR="00E61862" w:rsidRPr="003C4CF6" w:rsidRDefault="00E61862" w:rsidP="00E61862">
      <w:r w:rsidRPr="003C4CF6">
        <w:br w:type="page"/>
      </w:r>
      <w:r w:rsidRPr="003C4CF6">
        <w:lastRenderedPageBreak/>
        <w:t>budući da:</w:t>
      </w:r>
    </w:p>
    <w:p w:rsidR="00E61862" w:rsidRPr="003C4CF6" w:rsidRDefault="00E61862" w:rsidP="00E61862">
      <w:pPr>
        <w:pStyle w:val="ManualConsidrant"/>
      </w:pPr>
      <w:r w:rsidRPr="003C4CF6">
        <w:t>(1)</w:t>
      </w:r>
      <w:r w:rsidRPr="003C4CF6">
        <w:tab/>
        <w:t>Komisija je predstavila preispitivanje funkcioniranja višegodišnjeg financijskog okvira (VFO) za razdoblje 2021. – 2027. navedenog u Uredbi Vijeća (EU, Euratom) 2020/2093</w:t>
      </w:r>
      <w:r w:rsidRPr="003C4CF6">
        <w:rPr>
          <w:rStyle w:val="FootnoteReference"/>
        </w:rPr>
        <w:footnoteReference w:id="3"/>
      </w:r>
      <w:r w:rsidRPr="003C4CF6">
        <w:t xml:space="preserve"> nakon prvih godina njegove provedbe, uključujući procjenu održivosti gornjih granica rashoda.</w:t>
      </w:r>
    </w:p>
    <w:p w:rsidR="00E61862" w:rsidRPr="003C4CF6" w:rsidRDefault="00E61862" w:rsidP="00E61862">
      <w:pPr>
        <w:pStyle w:val="ManualConsidrant"/>
      </w:pPr>
      <w:r w:rsidRPr="003C4CF6">
        <w:t>(2)</w:t>
      </w:r>
      <w:r w:rsidRPr="003C4CF6">
        <w:tab/>
        <w:t>Unija se od prosinca 2020. suočava s nizom nezabilježenih i neočekivanih izazova. Unija je djelovala brzo i iskoristila sva sredstva koja su joj na raspolaganju, ali ograničena proračunska fleksibilnost sadržana u VFO-u za razdoblje 2021. – 2027. gotovo je iscrpljena, što smanjuje kapacitete proračuna Unije za odgovor čak i na najhitnije izazove.</w:t>
      </w:r>
    </w:p>
    <w:p w:rsidR="00E61862" w:rsidRPr="003C4CF6" w:rsidRDefault="00E61862" w:rsidP="00E61862">
      <w:pPr>
        <w:pStyle w:val="ManualConsidrant"/>
      </w:pPr>
      <w:r w:rsidRPr="003C4CF6">
        <w:t>(3)</w:t>
      </w:r>
      <w:r w:rsidRPr="003C4CF6">
        <w:tab/>
        <w:t>U prvim godinama provedbe VFO-a za odgovor na brojne izazove u velikoj su se mjeri upotrebljavali posebni instrumenti. I dalje postoji potreba za poduzimanjem dodatnih mjera, ali proračunska sredstva za suočavanje s takvim situacijama u preostalom razdoblju VFO-a ograničena su.</w:t>
      </w:r>
    </w:p>
    <w:p w:rsidR="00E61862" w:rsidRPr="003C4CF6" w:rsidRDefault="00E61862" w:rsidP="00E61862">
      <w:pPr>
        <w:pStyle w:val="ManualConsidrant"/>
      </w:pPr>
      <w:r w:rsidRPr="003C4CF6">
        <w:br w:type="page"/>
        <w:t>(4)</w:t>
      </w:r>
      <w:r w:rsidRPr="003C4CF6">
        <w:tab/>
        <w:t>Proračun Unije trebao bi omogućiti Uniji da pruži nužne odgovore politika na novonastale izazove i ispuni pravne obveze, što se ne može postići u okviru postojećih gornjih granica ili uz iscrpljenu fleksibilnost. Gornje granice rashoda u odobrenim sredstvima za preuzimanje obveza za naslove 1., 2., 3., 4., 5. i 6. trebalo bi izmijeniti za 2024., 2025., 2026. i 2027. Stoga bi, iako se gornje granice rashoda u odobrenim sredstvima za plaćanje mogu zadržati na trenutačnim razinama, trebalo prilagoditi gornje granice odobrenih sredstava za plaćanje za 2026. u okviru jedinstvenog instrumenta za razliku do gornje granice kako bi se izbjegao rizik od zaostataka. Usto, trebalo bi izmijeniti ukupni iznos dodatnih dodjela  u okviru prilagodbe za specifične programe predviđene u članku 5. i povezanoj tablici u Prilogu II. Uredbi (EU, Euratom) 2020/2093.</w:t>
      </w:r>
    </w:p>
    <w:p w:rsidR="00E61862" w:rsidRPr="003C4CF6" w:rsidRDefault="00E61862" w:rsidP="00E61862">
      <w:pPr>
        <w:pStyle w:val="ManualConsidrant"/>
      </w:pPr>
      <w:r w:rsidRPr="003C4CF6">
        <w:t>(5)</w:t>
      </w:r>
      <w:r w:rsidRPr="003C4CF6">
        <w:tab/>
        <w:t xml:space="preserve">Trebalo bi izmijeniti i iznose za pričuvu za prilagodbu </w:t>
      </w:r>
      <w:proofErr w:type="spellStart"/>
      <w:r w:rsidRPr="003C4CF6">
        <w:t>Brexitu</w:t>
      </w:r>
      <w:proofErr w:type="spellEnd"/>
      <w:r w:rsidRPr="003C4CF6">
        <w:t>, kao i za Europski fond za prilagodbu globalizaciji.</w:t>
      </w:r>
    </w:p>
    <w:p w:rsidR="00E61862" w:rsidRPr="003C4CF6" w:rsidRDefault="00E61862" w:rsidP="00E61862">
      <w:pPr>
        <w:pStyle w:val="ManualConsidrant"/>
      </w:pPr>
      <w:r w:rsidRPr="003C4CF6">
        <w:t>(6)</w:t>
      </w:r>
      <w:r w:rsidRPr="003C4CF6">
        <w:tab/>
        <w:t>Nezakonitim agresivnim ratom Rusije protiv Ukrajine rat se vratio na europsko tlo. Unija će nastaviti podupirati Ukrajinu dok god to bude potrebno i bezrezervno je podržavati na njezinu europskom putu. U tu su svrhu Europski parlament i Vijeće donijeli Uredbu (EU) 2024/…. Europskog parlamenta i Vijeća</w:t>
      </w:r>
      <w:r w:rsidRPr="003C4CF6">
        <w:rPr>
          <w:rStyle w:val="FootnoteReference"/>
        </w:rPr>
        <w:footnoteReference w:id="4"/>
      </w:r>
      <w:r w:rsidRPr="003C4CF6">
        <w:rPr>
          <w:rStyle w:val="FootnoteReference"/>
        </w:rPr>
        <w:footnoteReference w:customMarkFollows="1" w:id="5"/>
        <w:t>+</w:t>
      </w:r>
      <w:r w:rsidRPr="003C4CF6">
        <w:t xml:space="preserve"> kako bi Unija poduprla makrofinancijsku stabilnost, obnovu i modernizaciju Ukrajine, kao i napore Ukrajine u pogledu reformi na njezinu putu prema pristupanju Uniji („Instrument za Ukrajinu”).</w:t>
      </w:r>
    </w:p>
    <w:p w:rsidR="00E61862" w:rsidRPr="003C4CF6" w:rsidRDefault="00E61862" w:rsidP="00E61862">
      <w:pPr>
        <w:pStyle w:val="ManualConsidrant"/>
      </w:pPr>
      <w:r w:rsidRPr="003C4CF6">
        <w:br w:type="page"/>
        <w:t>(7)</w:t>
      </w:r>
      <w:r w:rsidRPr="003C4CF6">
        <w:tab/>
        <w:t>S obzirom na nesigurnosti povezane s agresivnim ratom Rusije, Instrument za Ukrajinu trebao bi biti fleksibilan instrument za pružanje odgovarajućeg oblika i razine potpore do 2027. Potporu u okviru Instrumenta za Ukrajinu trebalo bi pružati u obliku zajmova, bespovratne potpore i izdvajanja rezervacija za proračunska jamstva.</w:t>
      </w:r>
    </w:p>
    <w:p w:rsidR="00E61862" w:rsidRPr="003C4CF6" w:rsidRDefault="00E61862" w:rsidP="00E61862">
      <w:pPr>
        <w:pStyle w:val="ManualConsidrant"/>
      </w:pPr>
      <w:r w:rsidRPr="003C4CF6">
        <w:t>(8)</w:t>
      </w:r>
      <w:r w:rsidRPr="003C4CF6">
        <w:tab/>
        <w:t>Za dio potpore u okviru Instrumenta za Ukrajinu koja se pruža u obliku zajmova primjereno je produljiti postojeće jamstvo iz proračuna Unije do 2027. kako bi se pokrila financijska pomoć koja se stavlja na raspolaganje Ukrajini. Stoga bi trebalo biti moguće mobilizirati potrebna odobrena sredstva u proračunu Unije iznad gornjih granica VFO-a za financijsku pomoć Ukrajini koja joj je na raspolaganju do kraja 2027. Uz pokrivanje kratkoročne financijske pomoći Ukrajini, kako je već predviđeno Uredbom (EU) 2022/2463, proračunskim jamstvom Unije trebalo bi pokriti financijsku pomoć Ukrajini u iznosu do 33 milijarde EUR kako je navedeno u Uredbi (EU) 2024/….</w:t>
      </w:r>
      <w:r w:rsidRPr="003C4CF6">
        <w:rPr>
          <w:rStyle w:val="FootnoteReference"/>
        </w:rPr>
        <w:footnoteReference w:customMarkFollows="1" w:id="6"/>
        <w:t>+</w:t>
      </w:r>
      <w:r w:rsidRPr="003C4CF6">
        <w:t>.</w:t>
      </w:r>
    </w:p>
    <w:p w:rsidR="00E61862" w:rsidRPr="003C4CF6" w:rsidRDefault="00E61862" w:rsidP="00E61862">
      <w:pPr>
        <w:pStyle w:val="ManualConsidrant"/>
      </w:pPr>
      <w:r w:rsidRPr="003C4CF6">
        <w:br w:type="page"/>
        <w:t>(9)</w:t>
      </w:r>
      <w:r w:rsidRPr="003C4CF6">
        <w:tab/>
        <w:t>Za dio potpore u okviru Instrumenta za Ukrajinu koja se pruža u obliku bespovratne potpore i izdvajanja rezervacija za proračunska jamstva odobrena sredstva trebala bi se pružiti putem novog tematskog posebnog instrumenta, tj. „pričuve za Ukrajinu”. Odobrena sredstva za preuzimanje obveza i odgovarajuća odobrena sredstva za plaćanje trebala bi se mobilizirati svake godine u okviru proračunskog postupka navedenog u članku 314. Ugovora o funkcioniranju Europske unije (UFEU), i to iznad gornjih granica VFO-a. Kako bi kontrolirani razvoj rashoda bio programiran na temelju relevantnih odredaba Uredbe (EU) 2024/…</w:t>
      </w:r>
      <w:r w:rsidRPr="003C4CF6">
        <w:rPr>
          <w:rStyle w:val="FootnoteReference"/>
        </w:rPr>
        <w:footnoteReference w:customMarkFollows="1" w:id="7"/>
        <w:t>+</w:t>
      </w:r>
      <w:r w:rsidRPr="003C4CF6">
        <w:t xml:space="preserve"> Europskog parlamenta i Vijeća, a osobito s obzirom na iznose koje treba navesti u Ukrajinskom planu, primjereno je navesti sveukupne i godišnje maksimalne iznose koji se mogu staviti na raspolaganje za pričuvu za Ukrajinu u razdoblju 2024. – 2027. Kako bi se osigurale potpuna provedba i fleksibilnost među godinama, u skladu s ukupnim iznosom, trebalo bi biti moguće u sljedećim godinama, do 2027., iskoristiti nemobilizirani dio godišnjeg iznosa u određenoj godini, uz maksimalni godišnji iznos za relevantnu godinu.</w:t>
      </w:r>
    </w:p>
    <w:p w:rsidR="00E61862" w:rsidRPr="003C4CF6" w:rsidRDefault="00E61862" w:rsidP="00E61862">
      <w:pPr>
        <w:pStyle w:val="ManualConsidrant"/>
      </w:pPr>
      <w:r w:rsidRPr="003C4CF6">
        <w:br w:type="page"/>
        <w:t>(10)</w:t>
      </w:r>
      <w:r w:rsidRPr="003C4CF6">
        <w:tab/>
        <w:t>Od 2022. Unija i većina velikih gospodarstava bilježe nagli porast kamatnih stopa za sve izdavatelje obveznica, uključujući Uniju. Stoga se očekuje da će troškovi financiranja na teret proračuna Unije koji proizlaze iz zaduživanja za Instrument Europske unije za oporavak „</w:t>
      </w:r>
      <w:proofErr w:type="spellStart"/>
      <w:r w:rsidRPr="003C4CF6">
        <w:t>NextGenerationEU</w:t>
      </w:r>
      <w:proofErr w:type="spellEnd"/>
      <w:r w:rsidRPr="003C4CF6">
        <w:t>” (EURI) na temelju članka 5. stavka 2. Odluke Vijeća (EU, Euratom) 2020/2053</w:t>
      </w:r>
      <w:r w:rsidRPr="003C4CF6">
        <w:rPr>
          <w:rStyle w:val="FootnoteReference"/>
        </w:rPr>
        <w:footnoteReference w:id="8"/>
      </w:r>
      <w:r w:rsidRPr="003C4CF6">
        <w:t xml:space="preserve"> premašiti procjene koje su prvotno programirane u okviru gornjih granica VFO-a u trenutku njegova donošenja u prosincu 2020., a koje su iznosile 2 332 milijuna EUR za 2025. (u cijenama iz 2018.), 3 196 milijuna EUR za 2026. (u cijenama iz 2018.) i 4 168 milijuna EUR za 2027. (u cijenama iz 2018.).</w:t>
      </w:r>
    </w:p>
    <w:p w:rsidR="00E61862" w:rsidRPr="003C4CF6" w:rsidRDefault="00E61862" w:rsidP="00E61862">
      <w:pPr>
        <w:pStyle w:val="ManualConsidrant"/>
      </w:pPr>
      <w:r w:rsidRPr="003C4CF6">
        <w:t>(11)</w:t>
      </w:r>
      <w:r w:rsidRPr="003C4CF6">
        <w:tab/>
        <w:t>S obzirom na nesigurnost u pogledu budućeg razvoja kamatnih stopa u promjenjivim tržišnim okolnostima, kao i na ukupne potrebe u pogledu zaduživanja radi financiranja tekućih programa Unije koji se financiraju u okviru EURI-ja, primjereno je, u sklopu odredaba koje su potrebne za neometano odvijanje godišnjeg proračunskog postupka i osiguravanje da se financijska sredstva stave na raspolaganje kako bi Unija mogla ispuniti svoje pravne obveze, uspostaviti izvanredan i privremen instrument ograničen na trajanje trenutačnog VFO-a kako bi se pokrili troškovi financiranja zaduživanja u okviru EURI-ja koji premašuju izvorno programirane iznose. Trebalo bi stoga uspostaviti novi tematski posebni instrument, „Instrument EURI”, s isključivim ciljem pokrivanja nepodmirenih prekoračenja troškova. Taj bi instrument trebao biti izvanredan instrument te ne bi mogao služiti kao presedan za buduće aranžmane za VFO-ove nakon 2027., osobito kad je posrijedi pokrivanje troškova plaćanja kamata sredstava pozajmljenih na tržištima za financiranje EURI-ja.</w:t>
      </w:r>
    </w:p>
    <w:p w:rsidR="00E61862" w:rsidRPr="003C4CF6" w:rsidRDefault="00E61862" w:rsidP="00E61862">
      <w:pPr>
        <w:pStyle w:val="ManualConsidrant"/>
      </w:pPr>
      <w:r w:rsidRPr="003C4CF6">
        <w:br w:type="page"/>
        <w:t>(12)</w:t>
      </w:r>
      <w:r w:rsidRPr="003C4CF6">
        <w:tab/>
        <w:t xml:space="preserve">Instrument EURI trebalo bi mobilizirati proračunsko tijelo tijekom godišnjeg proračunskog postupka, samo ako je to potrebno. Ne dovodeći u pitanje prava proračunskog tijela, trebalo bi ga mobilizirati nakon nastojanja pronalaženja drugih mogućnosti financiranja, među ostalim, putem manevarskog prostora ostvarenog provedbom proračuna programâ i redefiniranjem prioriteta, kao i s pomoću </w:t>
      </w:r>
      <w:proofErr w:type="spellStart"/>
      <w:r w:rsidRPr="003C4CF6">
        <w:t>netematskih</w:t>
      </w:r>
      <w:proofErr w:type="spellEnd"/>
      <w:r w:rsidRPr="003C4CF6">
        <w:t xml:space="preserve"> posebnih instrumenata, kako bi se pokrio znatan dio potrebnih iznosa koji premašuju iznose koji su prvotno uneseni u postojeću proračunsku liniju u okviru EURI-ja u naslovu 2.b, koliko god je moguće, s ciljem mobiliziranja iznosa koji odgovara otprilike 50 % prekoračenja troškova plaćanja kamata u okviru EURI-ja kao referentne vrijednosti. To će se učiniti u skladu s primjenjivim sektorskim pravilima i drugim pravnim obvezama te uzimajući u obzir prioritete, razborito planiranje proračuna i dobro financijsko upravljanje, za koje su posebno potrebne odgovarajuće sigurnosne pričuve za nepredviđene izdatke. Neće se utjecati na nacionalne omotnice država članica za koje je preuzeta pravna obveza, osobito one u okviru zajedničke poljoprivredne politike i kohezijske politike. Odobrena sredstva za preuzimanje obveza i odgovarajuća odobrena sredstva za plaćanje u okviru Instrumenta EURI u proračunu Unije trebalo bi staviti na raspolaganje iznad gornjih granica VFO-a. U okviru Instrumenta EURI prvo bi se trebao upotrijebiti iznos jednak opozvanim odobrenim sredstvima, koja nisu vanjski namjenski prihodi, od početka trenutačnog VFO-a. Ne bi trebalo uzeti u obzir iznose opozvanih sredstava koja su ponovno stavljena na raspolaganje u skladu s postojećim relevantnim odredbama. Raspoloživ iznos opozvanih sredstava za Instrument EURI trebao bi se izračunavati svake godine u sklopu tehničke prilagodbe VFO-u, pri čemu bi trebalo jasno prikazati ukupna raspoloživa sredstva i iznose koji su već uzeti u obzir u prethodnim mobilizacijama Instrumenta EURI. U neočekivanom slučaju da prekoračenje i dalje nije podmireno, potrebni dodatni iznos za potpuno financiranje troškova trebao bi se mobilizirati u okviru Instrumenta EURI kao zaštitni mehanizam i kao kranja mjera. Ako, iznimno, jedna država članica ili više njih smatraju da postoje ozbiljne bojazni u pogledu mobilizacije zaštitnog mehanizma, mogle bi od predsjednika Europskog vijeća zatražiti da uputi tu točku na dnevni red sljedećeg sastanka Europskog vijeća. Taj postupak u pravilu ne bi trebao trajati dulje od mjesec dana te bi se njime trebala u cijelosti poštovati prava institucija kako su utvrđena u Ugovorima.</w:t>
      </w:r>
    </w:p>
    <w:p w:rsidR="00E61862" w:rsidRPr="003C4CF6" w:rsidRDefault="00E61862" w:rsidP="00E61862">
      <w:pPr>
        <w:pStyle w:val="ManualConsidrant"/>
      </w:pPr>
      <w:r w:rsidRPr="003C4CF6">
        <w:br w:type="page"/>
        <w:t>(13)</w:t>
      </w:r>
      <w:r w:rsidRPr="003C4CF6">
        <w:tab/>
        <w:t>S obzirom na prirodne katastrofe koje su se dogodile u državama članicama i zemljama uključenima u pristupne pregovore s Unijom, kao i prirodne katastrofe i humanitarne krize u trećim zemljama, te kako bi se za njih osigurala odgovarajuća financijska sredstva, postojeću pričuvu za solidarnost i pomoć u nuždi trebalo bi ojačati i podijeliti u dva zasebna instrumenta: „europsku pričuvu za solidarnost”, za pružanje potpore pogođenim zemljama i regijama u okviru Fonda solidarnosti Europske unije uspostavljenog Uredbom Vijeća (EZ) br. 2012/2002</w:t>
      </w:r>
      <w:r w:rsidRPr="003C4CF6">
        <w:rPr>
          <w:rStyle w:val="FootnoteReference"/>
        </w:rPr>
        <w:footnoteReference w:id="9"/>
      </w:r>
      <w:r w:rsidRPr="003C4CF6">
        <w:t>, i „pričuvu za pomoć u nuždi”, za osiguravanje povećanja proračunskih sredstava za relevantne programe Unije kako bi se odgovorilo na krize i hitne situacije unutar Unije i izvan nje.</w:t>
      </w:r>
    </w:p>
    <w:p w:rsidR="00E61862" w:rsidRPr="003C4CF6" w:rsidRDefault="00E61862" w:rsidP="00E61862">
      <w:pPr>
        <w:pStyle w:val="ManualConsidrant"/>
      </w:pPr>
      <w:r w:rsidRPr="003C4CF6">
        <w:t>(14)</w:t>
      </w:r>
      <w:r w:rsidRPr="003C4CF6">
        <w:tab/>
        <w:t>Instrument fleksibilnosti trebalo bi ojačati kako bi se održali dostatni kapaciteti Unije za reagiranje na nepredviđene okolnosti do 2027. Iznose iz europske pričuve za solidarnost i pričuve za pomoć u nuždi koji su prestali vrijediti trebalo bi od 2024. staviti na raspolaganje Instrumentu fleksibilnosti.</w:t>
      </w:r>
    </w:p>
    <w:p w:rsidR="00E61862" w:rsidRPr="003C4CF6" w:rsidRDefault="00E61862" w:rsidP="00E61862">
      <w:pPr>
        <w:pStyle w:val="ManualConsidrant"/>
      </w:pPr>
      <w:r w:rsidRPr="003C4CF6">
        <w:t>(15)</w:t>
      </w:r>
      <w:r w:rsidRPr="003C4CF6">
        <w:tab/>
        <w:t>S obzirom na te neočekivane događaje i nove izazove potrebno je revidirati VFO te bi stoga na odgovarajući način trebalo izmijeniti Uredbu (EU, Euratom) 2020/2093.</w:t>
      </w:r>
    </w:p>
    <w:p w:rsidR="00E61862" w:rsidRPr="003C4CF6" w:rsidRDefault="00E61862" w:rsidP="00E61862">
      <w:pPr>
        <w:pStyle w:val="ManualConsidrant"/>
      </w:pPr>
      <w:r w:rsidRPr="003C4CF6">
        <w:br w:type="page"/>
        <w:t>(16)</w:t>
      </w:r>
      <w:r w:rsidRPr="003C4CF6">
        <w:tab/>
        <w:t>Izmjenama Uredbe (EU, Euratom) 2020/2093 ne dovodi se u pitanje obveza poštovanja gornjih granica vlastitih sredstava utvrđenih u članku 3. stavku 1. i članku 6. Odluke (EU, Euratom) 2020/2053.</w:t>
      </w:r>
    </w:p>
    <w:p w:rsidR="00E61862" w:rsidRPr="003C4CF6" w:rsidRDefault="00E61862" w:rsidP="00E61862">
      <w:pPr>
        <w:pStyle w:val="ManualConsidrant"/>
      </w:pPr>
      <w:r w:rsidRPr="003C4CF6">
        <w:t>(17)</w:t>
      </w:r>
      <w:r w:rsidRPr="003C4CF6">
        <w:tab/>
        <w:t xml:space="preserve">S obzirom na stanje u Ukrajini ova bi Uredba trebala hitno stupiti na snagu na dan objave u </w:t>
      </w:r>
      <w:r w:rsidRPr="003C4CF6">
        <w:rPr>
          <w:i/>
        </w:rPr>
        <w:t>Službenom listu Europske unije</w:t>
      </w:r>
      <w:r w:rsidRPr="003C4CF6">
        <w:t xml:space="preserve"> te bi se trebala primjenjivati, s retroaktivnim učinkom, od 1. siječnja 2024.,</w:t>
      </w:r>
    </w:p>
    <w:p w:rsidR="00E61862" w:rsidRPr="003C4CF6" w:rsidRDefault="00E61862" w:rsidP="00E61862">
      <w:pPr>
        <w:pStyle w:val="Formuledadoption"/>
      </w:pPr>
      <w:r w:rsidRPr="003C4CF6">
        <w:t>DONIJELO JE OVU UREDBU:</w:t>
      </w:r>
    </w:p>
    <w:p w:rsidR="00E61862" w:rsidRPr="003C4CF6" w:rsidRDefault="00E61862" w:rsidP="00E61862">
      <w:pPr>
        <w:pStyle w:val="Titrearticle"/>
      </w:pPr>
      <w:r w:rsidRPr="003C4CF6">
        <w:br w:type="page"/>
        <w:t>Članak 1.</w:t>
      </w:r>
    </w:p>
    <w:p w:rsidR="00E61862" w:rsidRPr="003C4CF6" w:rsidRDefault="00E61862" w:rsidP="00E61862">
      <w:r w:rsidRPr="003C4CF6">
        <w:t>Uredba (EU, Euratom) 2020/2093 mijenja se kako slijedi:</w:t>
      </w:r>
    </w:p>
    <w:p w:rsidR="00E61862" w:rsidRPr="003C4CF6" w:rsidRDefault="00E61862" w:rsidP="00E61862">
      <w:pPr>
        <w:pStyle w:val="Point0"/>
      </w:pPr>
      <w:r w:rsidRPr="003C4CF6">
        <w:t>1.</w:t>
      </w:r>
      <w:r w:rsidRPr="003C4CF6">
        <w:tab/>
        <w:t>članak 2. mijenja se kako slijedi:</w:t>
      </w:r>
    </w:p>
    <w:p w:rsidR="00E61862" w:rsidRPr="003C4CF6" w:rsidRDefault="00E61862" w:rsidP="00E61862">
      <w:pPr>
        <w:pStyle w:val="Point1"/>
      </w:pPr>
      <w:r w:rsidRPr="003C4CF6">
        <w:t>(a)</w:t>
      </w:r>
      <w:r w:rsidRPr="003C4CF6">
        <w:tab/>
        <w:t>u stavku 2. prvi podstavak zamjenjuje se sljedećim:</w:t>
      </w:r>
    </w:p>
    <w:p w:rsidR="00E61862" w:rsidRPr="003C4CF6" w:rsidRDefault="00E61862" w:rsidP="00E61862">
      <w:pPr>
        <w:pStyle w:val="Point2"/>
      </w:pPr>
      <w:r w:rsidRPr="003C4CF6">
        <w:t>„2.</w:t>
      </w:r>
      <w:r w:rsidRPr="003C4CF6">
        <w:tab/>
        <w:t>Ako je potrebno upotrijebiti sredstva iz posebnih instrumenata predviđenih u člancima 8., 9., 10., 10.a, 10.b i 12., odobrena sredstva za preuzimanje obveza i odgovarajuća odobrena sredstva za plaćanje unose se u proračun iznad relevantnih gornjih granica VFO-a.”;</w:t>
      </w:r>
    </w:p>
    <w:p w:rsidR="00E61862" w:rsidRPr="003C4CF6" w:rsidRDefault="00E61862" w:rsidP="00E61862">
      <w:pPr>
        <w:pStyle w:val="Point1"/>
      </w:pPr>
      <w:r w:rsidRPr="003C4CF6">
        <w:t>(b)</w:t>
      </w:r>
      <w:r w:rsidRPr="003C4CF6">
        <w:tab/>
        <w:t>u stavku 3. dodaje se sljedeći podstavak:</w:t>
      </w:r>
    </w:p>
    <w:p w:rsidR="00E61862" w:rsidRPr="003C4CF6" w:rsidRDefault="00E61862" w:rsidP="00E61862">
      <w:pPr>
        <w:pStyle w:val="Text2"/>
      </w:pPr>
      <w:r w:rsidRPr="003C4CF6">
        <w:t>„Ako je potrebno mobilizirati jamstvo za pružanje financijske pomoći Ukrajini, koja je raspoloživa za razdoblje 2024. – 2027. u ukupnom iznosu zajmova od najviše 33 000 milijuna EUR u tekućim cijenama, kako je navedeno u Uredbi (EU) 2024/…. Europskog parlamenta i Vijeća</w:t>
      </w:r>
      <w:r w:rsidRPr="003C4CF6">
        <w:rPr>
          <w:b/>
          <w:vertAlign w:val="superscript"/>
        </w:rPr>
        <w:t>*</w:t>
      </w:r>
      <w:r w:rsidRPr="003C4CF6">
        <w:rPr>
          <w:rStyle w:val="FootnoteReference"/>
        </w:rPr>
        <w:footnoteReference w:customMarkFollows="1" w:id="10"/>
        <w:t>+</w:t>
      </w:r>
      <w:r w:rsidRPr="003C4CF6">
        <w:t>, i odobrena u skladu s člankom 220. stavkom 1. Financijske uredbe, potrebni iznos mobilizira se iznad gornjih granica VFO-a.</w:t>
      </w:r>
    </w:p>
    <w:p w:rsidR="00E61862" w:rsidRPr="003C4CF6" w:rsidRDefault="00E61862" w:rsidP="00E61862">
      <w:pPr>
        <w:pStyle w:val="Text2"/>
      </w:pPr>
      <w:r w:rsidRPr="003C4CF6">
        <w:t>_________________</w:t>
      </w:r>
    </w:p>
    <w:p w:rsidR="00E61862" w:rsidRPr="003C4CF6" w:rsidRDefault="00E61862" w:rsidP="00E61862">
      <w:pPr>
        <w:pStyle w:val="Point2"/>
        <w:spacing w:before="0" w:after="0" w:line="240" w:lineRule="auto"/>
        <w:ind w:left="1985"/>
      </w:pPr>
      <w:r w:rsidRPr="003C4CF6">
        <w:rPr>
          <w:b/>
          <w:vertAlign w:val="superscript"/>
        </w:rPr>
        <w:t>*</w:t>
      </w:r>
      <w:r w:rsidRPr="003C4CF6">
        <w:tab/>
        <w:t>Uredba (EU) 2024/... Europskog parlamenta i Vijeća od ….. o uspostavi Instrumenta za Ukrajinu (SL L, …, ELI: …).”;</w:t>
      </w:r>
    </w:p>
    <w:p w:rsidR="00E61862" w:rsidRPr="003C4CF6" w:rsidRDefault="00E61862" w:rsidP="00E61862">
      <w:pPr>
        <w:pStyle w:val="Point0"/>
      </w:pPr>
      <w:r w:rsidRPr="003C4CF6">
        <w:br w:type="page"/>
        <w:t>2.</w:t>
      </w:r>
      <w:r w:rsidRPr="003C4CF6">
        <w:tab/>
        <w:t>u članku 4. stavku 1. dodaju se sljedeće točke:</w:t>
      </w:r>
    </w:p>
    <w:p w:rsidR="00E61862" w:rsidRPr="003C4CF6" w:rsidRDefault="00E61862" w:rsidP="00E61862">
      <w:pPr>
        <w:pStyle w:val="Point1"/>
      </w:pPr>
      <w:r w:rsidRPr="003C4CF6">
        <w:t>„(f)</w:t>
      </w:r>
      <w:r w:rsidRPr="003C4CF6">
        <w:tab/>
        <w:t>izračun iznosa raspoloživog za Instrument EURI u skladu s člankom 10.a stavkom 3. točkom (a);</w:t>
      </w:r>
    </w:p>
    <w:p w:rsidR="00E61862" w:rsidRPr="003C4CF6" w:rsidRDefault="00E61862" w:rsidP="00E61862">
      <w:pPr>
        <w:pStyle w:val="Point1"/>
        <w:rPr>
          <w:bCs/>
        </w:rPr>
      </w:pPr>
      <w:r w:rsidRPr="003C4CF6">
        <w:t>(g)</w:t>
      </w:r>
      <w:r w:rsidRPr="003C4CF6">
        <w:tab/>
        <w:t>izračun iznosa koje je potrebno staviti na raspolaganje Instrumentu fleksibilnosti na temelju članka 12. stavka 1. drugog podstavka.”;</w:t>
      </w:r>
    </w:p>
    <w:p w:rsidR="00E61862" w:rsidRPr="003C4CF6" w:rsidRDefault="00E61862" w:rsidP="00E61862">
      <w:pPr>
        <w:pStyle w:val="Point0"/>
      </w:pPr>
      <w:r w:rsidRPr="003C4CF6">
        <w:t>3.</w:t>
      </w:r>
      <w:r w:rsidRPr="003C4CF6">
        <w:tab/>
        <w:t>u članku 5. stavak 1. drugi podstavak zamjenjuje se sljedećim:</w:t>
      </w:r>
    </w:p>
    <w:p w:rsidR="00E61862" w:rsidRPr="003C4CF6" w:rsidRDefault="00E61862" w:rsidP="00E61862">
      <w:pPr>
        <w:pStyle w:val="Text1"/>
      </w:pPr>
      <w:r w:rsidRPr="003C4CF6">
        <w:t>„Ukupni iznos dodatnih dodjela za razdoblje 2022. – 2027. za odobrena sredstva za preuzimanje obveza odnosno odobrena sredstva za plaćanje iznosi 10 155 milijuna EUR (u cijenama iz 2018.). Godišnji iznos dodatnih dodjela za odobrena sredstva za preuzimanje obveza odnosno odobrena sredstva za plaćanje za svaku godinu u razdoblju 2022. – 2026. iznosi najmanje 1 500 milijuna EUR (u cijenama iz 2018.) i ne smije premašiti 2 000 milijuna EUR (u cijenama iz 2018.).”;</w:t>
      </w:r>
    </w:p>
    <w:p w:rsidR="00E61862" w:rsidRPr="003C4CF6" w:rsidRDefault="00E61862" w:rsidP="00E61862">
      <w:pPr>
        <w:pStyle w:val="Point0"/>
      </w:pPr>
      <w:r w:rsidRPr="003C4CF6">
        <w:br w:type="page"/>
        <w:t>4.</w:t>
      </w:r>
      <w:r w:rsidRPr="003C4CF6">
        <w:tab/>
        <w:t>članci 8. i 9. zamjenjuju se sljedećim:</w:t>
      </w:r>
    </w:p>
    <w:p w:rsidR="00E61862" w:rsidRPr="003C4CF6" w:rsidRDefault="00E61862" w:rsidP="00E61862">
      <w:pPr>
        <w:pStyle w:val="Text1"/>
        <w:rPr>
          <w:i/>
          <w:iCs/>
        </w:rPr>
      </w:pPr>
      <w:r w:rsidRPr="003C4CF6">
        <w:rPr>
          <w:i/>
        </w:rPr>
        <w:t>„Članak 8.</w:t>
      </w:r>
      <w:r w:rsidRPr="003C4CF6">
        <w:rPr>
          <w:i/>
        </w:rPr>
        <w:br/>
        <w:t>Europski fond za prilagodbu globalizaciji</w:t>
      </w:r>
    </w:p>
    <w:p w:rsidR="00E61862" w:rsidRPr="003C4CF6" w:rsidRDefault="00E61862" w:rsidP="00E61862">
      <w:pPr>
        <w:pStyle w:val="Point1"/>
      </w:pPr>
      <w:r w:rsidRPr="003C4CF6">
        <w:t>1.</w:t>
      </w:r>
      <w:r w:rsidRPr="003C4CF6">
        <w:tab/>
        <w:t>Europski fond za prilagodbu globalizaciji, čiji su ciljevi i područje primjene navedeni u Uredbi (EU) 2021/691 Europskog parlamenta i Vijeća</w:t>
      </w:r>
      <w:r w:rsidRPr="003C4CF6">
        <w:rPr>
          <w:b/>
          <w:vertAlign w:val="superscript"/>
        </w:rPr>
        <w:t>*</w:t>
      </w:r>
      <w:r w:rsidRPr="003C4CF6">
        <w:t>, ne smije premašiti maksimalni godišnji iznos od 30 milijuna EUR (u cijenama iz 2018.).</w:t>
      </w:r>
    </w:p>
    <w:p w:rsidR="00E61862" w:rsidRPr="003C4CF6" w:rsidRDefault="00E61862" w:rsidP="00E61862">
      <w:pPr>
        <w:pStyle w:val="Point1"/>
      </w:pPr>
      <w:r w:rsidRPr="003C4CF6">
        <w:t>2.</w:t>
      </w:r>
      <w:r w:rsidRPr="003C4CF6">
        <w:tab/>
        <w:t>Odobrena sredstva za Europski fond za prilagodbu globalizaciji unose se u opći proračun Unije kao rezervacija.</w:t>
      </w:r>
    </w:p>
    <w:p w:rsidR="00E61862" w:rsidRPr="003C4CF6" w:rsidRDefault="00E61862" w:rsidP="00E61862">
      <w:pPr>
        <w:pStyle w:val="Text1"/>
        <w:rPr>
          <w:i/>
          <w:iCs/>
        </w:rPr>
      </w:pPr>
      <w:r w:rsidRPr="003C4CF6">
        <w:rPr>
          <w:i/>
        </w:rPr>
        <w:t>Članak 9.</w:t>
      </w:r>
      <w:r w:rsidRPr="003C4CF6">
        <w:rPr>
          <w:i/>
        </w:rPr>
        <w:br/>
        <w:t>Pričuva za solidarnost i pomoć u nuždi</w:t>
      </w:r>
    </w:p>
    <w:p w:rsidR="00E61862" w:rsidRPr="003C4CF6" w:rsidRDefault="00E61862" w:rsidP="00E61862">
      <w:pPr>
        <w:pStyle w:val="Point1"/>
      </w:pPr>
      <w:r w:rsidRPr="003C4CF6">
        <w:t>1.</w:t>
      </w:r>
      <w:r w:rsidRPr="003C4CF6">
        <w:tab/>
        <w:t>Pričuva za solidarnost i pomoć u nuždi sastoji se od dvaju instrumenata koji se mogu upotrebljavati za financiranje:</w:t>
      </w:r>
    </w:p>
    <w:p w:rsidR="00E61862" w:rsidRPr="003C4CF6" w:rsidRDefault="00E61862" w:rsidP="00E61862">
      <w:pPr>
        <w:pStyle w:val="Point2"/>
      </w:pPr>
      <w:r w:rsidRPr="003C4CF6">
        <w:t>(a)</w:t>
      </w:r>
      <w:r w:rsidRPr="003C4CF6">
        <w:tab/>
        <w:t>pomoći za odgovor na hitne situacije uzrokovane velikim katastrofama obuhvaćenima Fondom solidarnosti Europske unije, čiji su ciljevi i područje primjene navedeni u Uredbi Vijeća (EZ) br. 2012/2002</w:t>
      </w:r>
      <w:r w:rsidRPr="003C4CF6">
        <w:rPr>
          <w:b/>
          <w:vertAlign w:val="superscript"/>
        </w:rPr>
        <w:t>**</w:t>
      </w:r>
      <w:r w:rsidRPr="003C4CF6">
        <w:t xml:space="preserve"> („europska pričuva za solidarnost”); i</w:t>
      </w:r>
    </w:p>
    <w:p w:rsidR="00E61862" w:rsidRPr="003C4CF6" w:rsidRDefault="00E61862" w:rsidP="00E61862">
      <w:pPr>
        <w:pStyle w:val="Point2"/>
      </w:pPr>
      <w:r w:rsidRPr="003C4CF6">
        <w:br w:type="page"/>
        <w:t>(b)</w:t>
      </w:r>
      <w:r w:rsidRPr="003C4CF6">
        <w:tab/>
        <w:t xml:space="preserve">brzih odgovora na posebne hitne potrebe u Uniji ili u trećim zemljama nakon događaja koje nije bilo moguće predvidjeti kad je proračun donesen, osobito za hitne odgovore i aktivnosti potpore nakon prirodnih katastrofa koje nisu obuhvaćene točkom (a), katastrofa uzrokovanih ljudskim djelovanjem, humanitarnih kriza u slučajevima velikih prijetnji za javno zdravlje, odnosno velikih veterinarskih ili </w:t>
      </w:r>
      <w:proofErr w:type="spellStart"/>
      <w:r w:rsidRPr="003C4CF6">
        <w:t>fitosanitarnih</w:t>
      </w:r>
      <w:proofErr w:type="spellEnd"/>
      <w:r w:rsidRPr="003C4CF6">
        <w:t xml:space="preserve"> prijetnji, te u situacijama u kojima migracijski tokovi dovode do osobitog pritiska na vanjskim granicama Unije, ako okolnosti to zahtijevaju („pričuva za pomoć u nuždi”).</w:t>
      </w:r>
    </w:p>
    <w:p w:rsidR="00E61862" w:rsidRPr="003C4CF6" w:rsidRDefault="00E61862" w:rsidP="00E61862">
      <w:pPr>
        <w:pStyle w:val="Point1"/>
      </w:pPr>
      <w:r w:rsidRPr="003C4CF6">
        <w:t>2.</w:t>
      </w:r>
      <w:r w:rsidRPr="003C4CF6">
        <w:tab/>
        <w:t>Europska pričuva za solidarnost ne smije premašiti maksimalni godišnji iznos od 1 016 milijuna EUR (u cijenama iz 2018.). Bilo koji dio godišnjeg iznosa koji nije iskorišten u godini n može se iskoristiti do kraja godine n+1. Dio godišnjeg iznosa koji potječe iz prethodne godine upotrebljava se prvi. Bilo koji dio godišnjeg iznosa iz godine n koji nije iskorišten u godini n+1 prestaje vrijediti.</w:t>
      </w:r>
    </w:p>
    <w:p w:rsidR="00E61862" w:rsidRPr="003C4CF6" w:rsidRDefault="00E61862" w:rsidP="00E61862">
      <w:pPr>
        <w:pStyle w:val="Text2"/>
      </w:pPr>
      <w:r w:rsidRPr="003C4CF6">
        <w:t>Dana 1. listopada svake godine najmanje četvrtina godišnjeg iznosa europske pričuve za solidarnost ostaje raspoloživa za pokrivanje potreba koje se pojave do kraja te godine.</w:t>
      </w:r>
    </w:p>
    <w:p w:rsidR="00E61862" w:rsidRPr="003C4CF6" w:rsidRDefault="00E61862" w:rsidP="00E61862">
      <w:pPr>
        <w:pStyle w:val="Text2"/>
      </w:pPr>
      <w:r w:rsidRPr="003C4CF6">
        <w:br w:type="page"/>
        <w:t>U iznimnim slučajevima i ako preostala raspoloživa financijska sredstva nisu dovoljna za pokrivanje iznosa koji se smatraju potrebnima u godini tijekom koje je došlo do katastrofe iz stavka 1. točke (a), Komisija može predložiti da se razlika financira iz godišnjeg iznosa iz prvog podstavka ovog stavka raspoloživog za sljedeću godinu, do maksimalnog iznosa od 400 milijuna EUR (u cijenama iz 2018.).</w:t>
      </w:r>
    </w:p>
    <w:p w:rsidR="00E61862" w:rsidRPr="003C4CF6" w:rsidRDefault="00E61862" w:rsidP="00E61862">
      <w:pPr>
        <w:pStyle w:val="Point1"/>
      </w:pPr>
      <w:r w:rsidRPr="003C4CF6">
        <w:t>3.</w:t>
      </w:r>
      <w:r w:rsidRPr="003C4CF6">
        <w:tab/>
        <w:t>Pričuva za pomoć u nuždi ne smije premašiti maksimalni godišnji iznos od 508 milijuna EUR (u cijenama iz 2018.). Bilo koji dio godišnjeg iznosa koji nije iskorišten u godini n može se iskoristiti do kraja godine n+1. Dio godišnjeg iznosa koji potječe iz prethodne godine upotrebljava se prvi. Bilo koji dio godišnjeg iznosa iz godine n koji nije iskorišten u godini n+1 prestaje vrijediti.</w:t>
      </w:r>
    </w:p>
    <w:p w:rsidR="00E61862" w:rsidRPr="003C4CF6" w:rsidRDefault="00E61862" w:rsidP="00E61862">
      <w:pPr>
        <w:pStyle w:val="Point1"/>
      </w:pPr>
      <w:r w:rsidRPr="003C4CF6">
        <w:t>4.</w:t>
      </w:r>
      <w:r w:rsidRPr="003C4CF6">
        <w:tab/>
        <w:t>Odobrena sredstva za europsku pričuvu za solidarnost i pričuvu za pomoć u nuždi unose se u opći proračun Unije kao rezervacija.</w:t>
      </w:r>
    </w:p>
    <w:p w:rsidR="00E61862" w:rsidRPr="003C4CF6" w:rsidRDefault="00E61862" w:rsidP="00E61862">
      <w:pPr>
        <w:pStyle w:val="Text1"/>
      </w:pPr>
      <w:r w:rsidRPr="003C4CF6">
        <w:t>________________</w:t>
      </w:r>
    </w:p>
    <w:p w:rsidR="00E61862" w:rsidRPr="003C4CF6" w:rsidRDefault="00E61862" w:rsidP="00E61862">
      <w:pPr>
        <w:pStyle w:val="Point1"/>
        <w:spacing w:line="240" w:lineRule="auto"/>
        <w:rPr>
          <w:b/>
          <w:bCs/>
          <w:szCs w:val="24"/>
          <w:vertAlign w:val="superscript"/>
        </w:rPr>
      </w:pPr>
      <w:r w:rsidRPr="003C4CF6">
        <w:rPr>
          <w:rFonts w:asciiTheme="majorBidi" w:hAnsiTheme="majorBidi"/>
          <w:b/>
          <w:vertAlign w:val="superscript"/>
        </w:rPr>
        <w:t>*</w:t>
      </w:r>
      <w:r w:rsidRPr="003C4CF6">
        <w:rPr>
          <w:rFonts w:asciiTheme="majorBidi" w:hAnsiTheme="majorBidi"/>
          <w:b/>
          <w:vertAlign w:val="superscript"/>
        </w:rPr>
        <w:tab/>
      </w:r>
      <w:r w:rsidRPr="003C4CF6">
        <w:t>Uredba (EU) 2021/691 Europskog parlamenta i Vijeća od 28. travnja 2021. o Europskom fondu za prilagodbu globalizaciji za radnike koji su proglašeni viškom (EGF) i stavljanju izvan snage Uredbe (EU) br. 1309/2013 (SL L 153, 3.5.2021., str. 48.).</w:t>
      </w:r>
    </w:p>
    <w:p w:rsidR="00E61862" w:rsidRPr="003C4CF6" w:rsidRDefault="00E61862" w:rsidP="00E61862">
      <w:pPr>
        <w:pStyle w:val="Point1"/>
        <w:spacing w:before="0" w:line="240" w:lineRule="auto"/>
        <w:ind w:left="1418"/>
      </w:pPr>
      <w:r w:rsidRPr="003C4CF6">
        <w:rPr>
          <w:b/>
          <w:vertAlign w:val="superscript"/>
        </w:rPr>
        <w:t>**</w:t>
      </w:r>
      <w:r w:rsidRPr="003C4CF6">
        <w:tab/>
        <w:t>Uredba Vijeća (EZ) br. 2012/2002 od 11. studenoga 2002. o osnivanju Fonda solidarnosti Europske unije (SL L 311, 14.11.2002., str. 3.).”;</w:t>
      </w:r>
    </w:p>
    <w:p w:rsidR="00E61862" w:rsidRPr="003C4CF6" w:rsidRDefault="00E61862" w:rsidP="00E61862">
      <w:pPr>
        <w:pStyle w:val="Point0"/>
      </w:pPr>
      <w:r w:rsidRPr="003C4CF6">
        <w:t>5.</w:t>
      </w:r>
      <w:r w:rsidRPr="003C4CF6">
        <w:tab/>
        <w:t>u članku 10. stavak 2. zamjenjuje se sljedećim:</w:t>
      </w:r>
    </w:p>
    <w:p w:rsidR="00E61862" w:rsidRPr="003C4CF6" w:rsidRDefault="00E61862" w:rsidP="00E61862">
      <w:pPr>
        <w:pStyle w:val="Point1"/>
      </w:pPr>
      <w:r w:rsidRPr="003C4CF6">
        <w:t>„2.</w:t>
      </w:r>
      <w:r w:rsidRPr="003C4CF6">
        <w:tab/>
        <w:t xml:space="preserve">Pričuva za prilagodbu </w:t>
      </w:r>
      <w:proofErr w:type="spellStart"/>
      <w:r w:rsidRPr="003C4CF6">
        <w:t>Brexitu</w:t>
      </w:r>
      <w:proofErr w:type="spellEnd"/>
      <w:r w:rsidRPr="003C4CF6">
        <w:t xml:space="preserve"> ne smije premašiti iznos od 4 491 milijun EUR (u cijenama iz 2018.).”;</w:t>
      </w:r>
    </w:p>
    <w:p w:rsidR="00E61862" w:rsidRPr="003C4CF6" w:rsidRDefault="00E61862" w:rsidP="00E61862">
      <w:pPr>
        <w:pStyle w:val="Point0"/>
      </w:pPr>
      <w:r w:rsidRPr="003C4CF6">
        <w:br w:type="page"/>
        <w:t>6.</w:t>
      </w:r>
      <w:r w:rsidRPr="003C4CF6">
        <w:tab/>
        <w:t>umeću se sljedeći članci:</w:t>
      </w:r>
    </w:p>
    <w:p w:rsidR="00E61862" w:rsidRPr="003C4CF6" w:rsidRDefault="00E61862" w:rsidP="00E61862">
      <w:pPr>
        <w:pStyle w:val="Text1"/>
        <w:rPr>
          <w:i/>
          <w:iCs/>
        </w:rPr>
      </w:pPr>
      <w:r w:rsidRPr="003C4CF6">
        <w:rPr>
          <w:i/>
        </w:rPr>
        <w:t>„Članak 10.a</w:t>
      </w:r>
      <w:r w:rsidRPr="003C4CF6">
        <w:rPr>
          <w:i/>
        </w:rPr>
        <w:br/>
        <w:t>Instrument EURI</w:t>
      </w:r>
    </w:p>
    <w:p w:rsidR="00E61862" w:rsidRPr="003C4CF6" w:rsidRDefault="00E61862" w:rsidP="00E61862">
      <w:pPr>
        <w:pStyle w:val="Point1"/>
      </w:pPr>
      <w:r w:rsidRPr="003C4CF6">
        <w:t>1.</w:t>
      </w:r>
      <w:r w:rsidRPr="003C4CF6">
        <w:tab/>
        <w:t>Od 2025. Instrument EURI može se koristiti za financiranje, u određenoj godini, dijela dospjelih troškova kamata i isplata kupona u odnosu na sredstva pozajmljena na tržištima kapitala u skladu s člankom 5. stavkom 2. Odluke Vijeća (EU, Euratom) 2020/2053</w:t>
      </w:r>
      <w:r w:rsidRPr="003C4CF6">
        <w:rPr>
          <w:b/>
          <w:vertAlign w:val="superscript"/>
        </w:rPr>
        <w:t>*</w:t>
      </w:r>
      <w:r w:rsidRPr="003C4CF6">
        <w:t>. Instrument EURI može se u određenoj godini mobilizirati samo kako bi se, u mjeri utvrđenoj u sljedećim stavcima, pokrio iznos tih troškova koji premašuje sljedeće iznose (u cijenama iz 2018.):</w:t>
      </w:r>
    </w:p>
    <w:p w:rsidR="00E61862" w:rsidRPr="003C4CF6" w:rsidRDefault="00E61862" w:rsidP="00E61862">
      <w:pPr>
        <w:pStyle w:val="Tiret2"/>
      </w:pPr>
      <w:r w:rsidRPr="003C4CF6">
        <w:t>2025. – 2 332 milijuna EUR,</w:t>
      </w:r>
    </w:p>
    <w:p w:rsidR="00E61862" w:rsidRPr="003C4CF6" w:rsidRDefault="00E61862" w:rsidP="00E61862">
      <w:pPr>
        <w:pStyle w:val="Tiret2"/>
        <w:numPr>
          <w:ilvl w:val="0"/>
          <w:numId w:val="46"/>
        </w:numPr>
      </w:pPr>
      <w:r w:rsidRPr="003C4CF6">
        <w:t>2026. – 3 196 milijuna EUR,</w:t>
      </w:r>
    </w:p>
    <w:p w:rsidR="00E61862" w:rsidRPr="003C4CF6" w:rsidRDefault="00E61862" w:rsidP="00E61862">
      <w:pPr>
        <w:pStyle w:val="Tiret2"/>
        <w:numPr>
          <w:ilvl w:val="0"/>
          <w:numId w:val="46"/>
        </w:numPr>
      </w:pPr>
      <w:r w:rsidRPr="003C4CF6">
        <w:t>2027. – 4 168 milijuna EUR.</w:t>
      </w:r>
    </w:p>
    <w:p w:rsidR="00E61862" w:rsidRPr="003C4CF6" w:rsidRDefault="00E61862" w:rsidP="00E61862">
      <w:pPr>
        <w:pStyle w:val="Point1"/>
      </w:pPr>
      <w:r w:rsidRPr="003C4CF6">
        <w:t>2.</w:t>
      </w:r>
      <w:r w:rsidRPr="003C4CF6">
        <w:tab/>
        <w:t>Europski parlament i Vijeće mogu mobilizirati Instrument EURI u okviru proračunskog postupka predviđenog člankom 314. UFEU-a tek nakon što su nastojali pronaći druge načine financiranja, kako bi se pokrio znatan dio iznosa koji premašuju iznose iz stavka 1. ovoga članka, u skladu s primjenjivim sektorskim pravilima i drugim pravnim obvezama, uzimajući u obzir prioritete, razborito planiranje proračuna i dobro financijsko upravljanje.</w:t>
      </w:r>
    </w:p>
    <w:p w:rsidR="00E61862" w:rsidRPr="003C4CF6" w:rsidRDefault="00E61862" w:rsidP="00E61862">
      <w:pPr>
        <w:pStyle w:val="Text2"/>
      </w:pPr>
      <w:r w:rsidRPr="003C4CF6">
        <w:br w:type="page"/>
        <w:t>Odobrena sredstva za Instrument EURI stavljaju se na raspolaganje iznad gornjih granica VFO-a.</w:t>
      </w:r>
    </w:p>
    <w:p w:rsidR="00E61862" w:rsidRPr="003C4CF6" w:rsidRDefault="00E61862" w:rsidP="00E61862">
      <w:pPr>
        <w:pStyle w:val="Point1"/>
      </w:pPr>
      <w:r w:rsidRPr="003C4CF6">
        <w:t>3.</w:t>
      </w:r>
      <w:r w:rsidRPr="003C4CF6">
        <w:tab/>
        <w:t>Instrument EURI obuhvaća sljedeće:</w:t>
      </w:r>
    </w:p>
    <w:p w:rsidR="00E61862" w:rsidRPr="003C4CF6" w:rsidRDefault="00E61862" w:rsidP="00E61862">
      <w:pPr>
        <w:pStyle w:val="Point2"/>
      </w:pPr>
      <w:r w:rsidRPr="003C4CF6">
        <w:t>(a)</w:t>
      </w:r>
      <w:r w:rsidRPr="003C4CF6">
        <w:tab/>
        <w:t>iznos jednak opozvanim odobrenim sredstvima, koja nisu vanjski namjenski prihodi, kumulativno od 2021., i koja nisu mobilizirana u okviru tog instrumenta prethodnih godina, uz izuzeće iznosâ opozvanih sredstava koja su ponovno stavljena na raspolaganje u skladu s odredbama članka 15. Financijske uredbe i posebnim pravilima o ponovnom stavljanju na raspolaganje odobrenih sredstava kako se navodi u relevantnim temeljnim aktima. Taj se iznos upotrebljava prvi;</w:t>
      </w:r>
    </w:p>
    <w:p w:rsidR="00E61862" w:rsidRPr="003C4CF6" w:rsidRDefault="00E61862" w:rsidP="00E61862">
      <w:pPr>
        <w:pStyle w:val="Point2"/>
      </w:pPr>
      <w:r w:rsidRPr="003C4CF6">
        <w:t>(b)</w:t>
      </w:r>
      <w:r w:rsidRPr="003C4CF6">
        <w:tab/>
        <w:t>samo ako je iznos iz točke (a) ovog stavka nedostatan, dodatan iznos koji je potreban kako bi se u potpunosti financirali troškovi iz stavka 1. u dotičnoj godini.</w:t>
      </w:r>
    </w:p>
    <w:p w:rsidR="00E61862" w:rsidRPr="003C4CF6" w:rsidRDefault="00E61862" w:rsidP="00E61862">
      <w:pPr>
        <w:pStyle w:val="Text2"/>
      </w:pPr>
      <w:r w:rsidRPr="003C4CF6">
        <w:t>Komisija svake godine u sklopu tehničkih prilagodbi iz članka 4. izračunava raspoloživi iznos na temelju prvog podstavka točke (a), uzimajući u obzir iznose koji su razmatrani u tu svrhu prethodnih godina.</w:t>
      </w:r>
    </w:p>
    <w:p w:rsidR="00E61862" w:rsidRPr="003C4CF6" w:rsidRDefault="00E61862" w:rsidP="00E61862">
      <w:pPr>
        <w:pStyle w:val="Text1"/>
        <w:rPr>
          <w:i/>
          <w:iCs/>
        </w:rPr>
      </w:pPr>
      <w:r w:rsidRPr="003C4CF6">
        <w:br w:type="page"/>
      </w:r>
      <w:r w:rsidRPr="003C4CF6">
        <w:rPr>
          <w:i/>
        </w:rPr>
        <w:t>Članak 10.b</w:t>
      </w:r>
      <w:r w:rsidRPr="003C4CF6">
        <w:rPr>
          <w:i/>
        </w:rPr>
        <w:br/>
        <w:t>Pričuva za Ukrajinu</w:t>
      </w:r>
    </w:p>
    <w:p w:rsidR="00E61862" w:rsidRPr="003C4CF6" w:rsidRDefault="00E61862" w:rsidP="00E61862">
      <w:pPr>
        <w:pStyle w:val="Point1"/>
      </w:pPr>
      <w:r w:rsidRPr="003C4CF6">
        <w:t>1.</w:t>
      </w:r>
      <w:r w:rsidRPr="003C4CF6">
        <w:tab/>
        <w:t>Pričuva za Ukrajinu može se mobilizirati isključivo u svrhu financiranja rashoda u okviru Uredbe (EU) 2024/….</w:t>
      </w:r>
      <w:r w:rsidRPr="003C4CF6">
        <w:rPr>
          <w:rStyle w:val="FootnoteReference"/>
        </w:rPr>
        <w:footnoteReference w:customMarkFollows="1" w:id="11"/>
        <w:t>+</w:t>
      </w:r>
      <w:r w:rsidRPr="003C4CF6">
        <w:t>.</w:t>
      </w:r>
    </w:p>
    <w:p w:rsidR="00E61862" w:rsidRPr="003C4CF6" w:rsidRDefault="00E61862" w:rsidP="00E61862">
      <w:pPr>
        <w:pStyle w:val="Point1"/>
      </w:pPr>
      <w:r w:rsidRPr="003C4CF6">
        <w:t>2.</w:t>
      </w:r>
      <w:r w:rsidRPr="003C4CF6">
        <w:tab/>
        <w:t>Pričuva za Ukrajinu ne smije premašiti iznos od 17 000 milijuna EUR u tekućim cijenama za razdoblje 2024. – 2027.</w:t>
      </w:r>
    </w:p>
    <w:p w:rsidR="00E61862" w:rsidRPr="003C4CF6" w:rsidRDefault="00E61862" w:rsidP="00E61862">
      <w:pPr>
        <w:pStyle w:val="Point1"/>
      </w:pPr>
      <w:r w:rsidRPr="003C4CF6">
        <w:t>3.</w:t>
      </w:r>
      <w:r w:rsidRPr="003C4CF6">
        <w:tab/>
        <w:t>Godišnji iznos mobiliziran u okviru pričuve za Ukrajinu u određenoj godini ne smije premašiti 5 000 milijuna EUR u tekućim cijenama. Ne dovodeći u pitanje ukupni iznos naveden u stavku 2., neiskorišteni dio godišnjeg iznosa u određenoj godini može se iskoristiti u sljedećim godinama, do 2027.</w:t>
      </w:r>
    </w:p>
    <w:p w:rsidR="00E61862" w:rsidRPr="003C4CF6" w:rsidRDefault="00E61862" w:rsidP="00E61862">
      <w:pPr>
        <w:pStyle w:val="Point1"/>
      </w:pPr>
      <w:r w:rsidRPr="003C4CF6">
        <w:t>4.</w:t>
      </w:r>
      <w:r w:rsidRPr="003C4CF6">
        <w:tab/>
        <w:t>Europski parlament i Vijeće mogu mobilizirati pričuvu za Ukrajinu u okviru proračunskog postupka predviđenog člankom 314. UFEU-a.</w:t>
      </w:r>
    </w:p>
    <w:p w:rsidR="00E61862" w:rsidRPr="003C4CF6" w:rsidRDefault="00E61862" w:rsidP="00E61862">
      <w:pPr>
        <w:pStyle w:val="Point1"/>
      </w:pPr>
      <w:r w:rsidRPr="003C4CF6">
        <w:t>________________</w:t>
      </w:r>
    </w:p>
    <w:p w:rsidR="00E61862" w:rsidRPr="003C4CF6" w:rsidRDefault="00E61862" w:rsidP="00E61862">
      <w:pPr>
        <w:pStyle w:val="Point1"/>
        <w:spacing w:line="240" w:lineRule="auto"/>
      </w:pPr>
      <w:r w:rsidRPr="003C4CF6">
        <w:rPr>
          <w:b/>
          <w:vertAlign w:val="superscript"/>
        </w:rPr>
        <w:t>*</w:t>
      </w:r>
      <w:r w:rsidRPr="003C4CF6">
        <w:tab/>
        <w:t>Odluka Vijeća (EU, Euratom) 2020/2053 od 14. prosinca 2020. o sustavu vlastitih sredstava Europske unije te o stavljanju izvan snage Odluke 2014/335/EU, Euratom (SL L 424, 15.12.2020., str. 1.).”;</w:t>
      </w:r>
    </w:p>
    <w:p w:rsidR="00E61862" w:rsidRPr="003C4CF6" w:rsidRDefault="00E61862" w:rsidP="00E61862">
      <w:pPr>
        <w:pStyle w:val="Point0"/>
      </w:pPr>
      <w:r w:rsidRPr="003C4CF6">
        <w:br w:type="page"/>
        <w:t>7.</w:t>
      </w:r>
      <w:r w:rsidRPr="003C4CF6">
        <w:tab/>
        <w:t>u članku 11. umeće se sljedeći stavak:</w:t>
      </w:r>
    </w:p>
    <w:p w:rsidR="00E61862" w:rsidRPr="003C4CF6" w:rsidRDefault="00E61862" w:rsidP="00E61862">
      <w:pPr>
        <w:pStyle w:val="Point1"/>
      </w:pPr>
      <w:r w:rsidRPr="003C4CF6">
        <w:t>„3.a</w:t>
      </w:r>
      <w:r w:rsidRPr="003C4CF6">
        <w:tab/>
        <w:t>Maksimalni iznos godišnje prilagodbe iz stavka 3. ovog članka za 2026., uvećan za iznos iz članka 5. stavka 2. drugog podstavka, prilagođava se za iznos jednak neiskorištenom dijelu maksimalnog iznosa za 2025.”;</w:t>
      </w:r>
    </w:p>
    <w:p w:rsidR="00E61862" w:rsidRPr="003C4CF6" w:rsidRDefault="00E61862" w:rsidP="00E61862">
      <w:pPr>
        <w:pStyle w:val="Point0"/>
      </w:pPr>
      <w:r w:rsidRPr="003C4CF6">
        <w:t>8.</w:t>
      </w:r>
      <w:r w:rsidRPr="003C4CF6">
        <w:tab/>
        <w:t>članak 12. zamjenjuje se sljedećim:</w:t>
      </w:r>
    </w:p>
    <w:p w:rsidR="00E61862" w:rsidRPr="003C4CF6" w:rsidRDefault="00E61862" w:rsidP="00E61862">
      <w:pPr>
        <w:pStyle w:val="Text1"/>
        <w:rPr>
          <w:i/>
          <w:iCs/>
        </w:rPr>
      </w:pPr>
      <w:r w:rsidRPr="003C4CF6">
        <w:rPr>
          <w:i/>
        </w:rPr>
        <w:t>„Članak 12.</w:t>
      </w:r>
      <w:r w:rsidRPr="003C4CF6">
        <w:rPr>
          <w:i/>
        </w:rPr>
        <w:br/>
        <w:t>Instrument fleksibilnosti</w:t>
      </w:r>
    </w:p>
    <w:p w:rsidR="00E61862" w:rsidRPr="003C4CF6" w:rsidRDefault="00E61862" w:rsidP="00E61862">
      <w:pPr>
        <w:pStyle w:val="Point1"/>
      </w:pPr>
      <w:r w:rsidRPr="003C4CF6">
        <w:t>1.</w:t>
      </w:r>
      <w:r w:rsidRPr="003C4CF6">
        <w:tab/>
        <w:t>Instrument fleksibilnosti može se iskoristiti za financiranje posebnih nepredviđenih rashoda u odobrenim sredstvima za preuzimanje obveza i odgovarajućim odobrenim sredstvima za plaćanje za određenu financijsku godinu koji se ne mogu financirati u okviru gornjih granica raspoloživih za jedan ili više drugih naslova. Gornja granica raspoloživog godišnjeg iznosa za Instrument fleksibilnosti za razdoblje 2021. – 2023. iznosi 915 milijuna EUR (u cijenama iz 2018.). Gornja granica raspoloživog godišnjeg iznosa za Instrument fleksibilnosti za razdoblje 2024 – 2027. iznosi 1 346 milijuna EUR (u cijenama iz 2018.).</w:t>
      </w:r>
    </w:p>
    <w:p w:rsidR="00E61862" w:rsidRPr="003C4CF6" w:rsidRDefault="00E61862" w:rsidP="00E61862">
      <w:pPr>
        <w:pStyle w:val="Text2"/>
      </w:pPr>
      <w:r w:rsidRPr="003C4CF6">
        <w:t>Raspoloživi godišnji iznos za Instrument fleksibilnosti svake se godine povećava za iznos koji je jednak dijelovima godišnjih iznosa za europsku pričuvu za solidarnost i pričuvu za pomoć u nuždi koji su prestali vrijediti u prethodnoj godini u skladu s člankom 9.</w:t>
      </w:r>
    </w:p>
    <w:p w:rsidR="00E61862" w:rsidRPr="003C4CF6" w:rsidRDefault="00E61862" w:rsidP="00E61862">
      <w:pPr>
        <w:pStyle w:val="Point1"/>
      </w:pPr>
      <w:r w:rsidRPr="003C4CF6">
        <w:br w:type="page"/>
        <w:t>2.</w:t>
      </w:r>
      <w:r w:rsidRPr="003C4CF6">
        <w:rPr>
          <w:rStyle w:val="Bodytext1"/>
        </w:rPr>
        <w:tab/>
      </w:r>
      <w:r w:rsidRPr="003C4CF6">
        <w:t>Neiskorišteni dio godišnjeg iznosa Instrumenta fleksibilnosti može se iskoristiti do kraja godine n+2. Svaki dio godišnjeg iznosa koji potječe iz prethodnih godina upotrebljava se prvi, pri čemu se kreće od najstarijeg takvog iznosa. Bilo koji dio godišnjeg iznosa iz godine n koji nije iskorišten do kraja godine n+2 prestaje vrijediti.”;</w:t>
      </w:r>
    </w:p>
    <w:p w:rsidR="00E61862" w:rsidRPr="003C4CF6" w:rsidRDefault="00E61862" w:rsidP="00E61862">
      <w:pPr>
        <w:pStyle w:val="Point0"/>
      </w:pPr>
      <w:r w:rsidRPr="003C4CF6">
        <w:t>9.</w:t>
      </w:r>
      <w:r w:rsidRPr="003C4CF6">
        <w:tab/>
        <w:t>prilozi I. i II. zamjenjuju se tekstom navedenim u Prilogu ovoj Uredbi.</w:t>
      </w:r>
    </w:p>
    <w:p w:rsidR="00E61862" w:rsidRPr="003C4CF6" w:rsidRDefault="00E61862" w:rsidP="00E61862">
      <w:pPr>
        <w:pStyle w:val="Titrearticle"/>
      </w:pPr>
      <w:r w:rsidRPr="003C4CF6">
        <w:t>Članak 2.</w:t>
      </w:r>
    </w:p>
    <w:p w:rsidR="00E61862" w:rsidRPr="003C4CF6" w:rsidRDefault="00E61862" w:rsidP="00E61862">
      <w:r w:rsidRPr="003C4CF6">
        <w:t xml:space="preserve">Ova Uredba stupa na snagu na dan objave u </w:t>
      </w:r>
      <w:r w:rsidRPr="003C4CF6">
        <w:rPr>
          <w:i/>
        </w:rPr>
        <w:t>Službenom listu Europske unije</w:t>
      </w:r>
      <w:r w:rsidRPr="003C4CF6">
        <w:t>.</w:t>
      </w:r>
    </w:p>
    <w:p w:rsidR="00E61862" w:rsidRPr="003C4CF6" w:rsidRDefault="00E61862" w:rsidP="00E61862">
      <w:r w:rsidRPr="003C4CF6">
        <w:t>Primjenjuje se od 1. siječnja 2024.</w:t>
      </w:r>
    </w:p>
    <w:p w:rsidR="00E61862" w:rsidRPr="003C4CF6" w:rsidRDefault="00E61862" w:rsidP="00E61862">
      <w:pPr>
        <w:pStyle w:val="Applicationdirecte"/>
      </w:pPr>
      <w:r w:rsidRPr="003C4CF6">
        <w:t>Ova je Uredba u cijelosti obvezujuća i izravno se primjenjuje u svim državama članicama.</w:t>
      </w:r>
    </w:p>
    <w:p w:rsidR="00E61862" w:rsidRPr="003C4CF6" w:rsidRDefault="00E61862" w:rsidP="00E61862">
      <w:pPr>
        <w:pStyle w:val="Fait"/>
      </w:pPr>
      <w:r w:rsidRPr="003C4CF6">
        <w:t>Sastavljeno u …</w:t>
      </w:r>
    </w:p>
    <w:p w:rsidR="00E61862" w:rsidRPr="003C4CF6" w:rsidRDefault="00E61862" w:rsidP="00E61862">
      <w:pPr>
        <w:pStyle w:val="Institutionquisigne"/>
      </w:pPr>
      <w:r w:rsidRPr="003C4CF6">
        <w:tab/>
        <w:t>Za Vijeće</w:t>
      </w:r>
    </w:p>
    <w:p w:rsidR="00E61862" w:rsidRPr="003C4CF6" w:rsidRDefault="00E61862" w:rsidP="00E61862">
      <w:pPr>
        <w:pStyle w:val="Personnequisigne"/>
      </w:pPr>
      <w:r w:rsidRPr="003C4CF6">
        <w:tab/>
        <w:t>Predsjednik/Predsjednica</w:t>
      </w:r>
    </w:p>
    <w:p w:rsidR="00E61862" w:rsidRPr="003C4CF6" w:rsidRDefault="00E61862" w:rsidP="00E61862">
      <w:pPr>
        <w:pStyle w:val="Lignefinal"/>
      </w:pPr>
    </w:p>
    <w:p w:rsidR="00E61862" w:rsidRPr="003C4CF6" w:rsidRDefault="00E61862" w:rsidP="00E61862">
      <w:pPr>
        <w:spacing w:line="216" w:lineRule="auto"/>
        <w:sectPr w:rsidR="00E61862" w:rsidRPr="003C4CF6" w:rsidSect="009E6EE3">
          <w:headerReference w:type="even" r:id="rId9"/>
          <w:headerReference w:type="default" r:id="rId10"/>
          <w:footerReference w:type="even" r:id="rId11"/>
          <w:footerReference w:type="default" r:id="rId12"/>
          <w:headerReference w:type="first" r:id="rId13"/>
          <w:footerReference w:type="first" r:id="rId14"/>
          <w:footnotePr>
            <w:numRestart w:val="eachPage"/>
          </w:footnotePr>
          <w:pgSz w:w="11907" w:h="16839"/>
          <w:pgMar w:top="1134" w:right="1134" w:bottom="1134" w:left="1134" w:header="567" w:footer="567" w:gutter="0"/>
          <w:cols w:space="720"/>
          <w:docGrid w:linePitch="360"/>
        </w:sectPr>
      </w:pPr>
    </w:p>
    <w:p w:rsidR="00E61862" w:rsidRPr="003C4CF6" w:rsidRDefault="00E61862" w:rsidP="00E61862">
      <w:pPr>
        <w:pStyle w:val="Annexetitre"/>
      </w:pPr>
      <w:r w:rsidRPr="003C4CF6">
        <w:t>PRILOG</w:t>
      </w:r>
    </w:p>
    <w:p w:rsidR="00E61862" w:rsidRPr="003C4CF6" w:rsidRDefault="00E61862" w:rsidP="00E61862">
      <w:pPr>
        <w:pStyle w:val="NormalCentered"/>
        <w:rPr>
          <w:rFonts w:cs="Arial"/>
          <w:bCs/>
        </w:rPr>
      </w:pPr>
      <w:r w:rsidRPr="003C4CF6">
        <w:t>„PRILOG I.</w:t>
      </w:r>
      <w:r w:rsidRPr="003C4CF6">
        <w:br/>
        <w:t>VIŠEGODIŠNJI FINANCIJSKI OKVIR (EU-27)</w:t>
      </w:r>
    </w:p>
    <w:tbl>
      <w:tblPr>
        <w:tblStyle w:val="TableGrid"/>
        <w:tblW w:w="5259" w:type="pct"/>
        <w:tblLayout w:type="fixed"/>
        <w:tblLook w:val="04A0" w:firstRow="1" w:lastRow="0" w:firstColumn="1" w:lastColumn="0" w:noHBand="0" w:noVBand="1"/>
      </w:tblPr>
      <w:tblGrid>
        <w:gridCol w:w="5245"/>
        <w:gridCol w:w="1362"/>
        <w:gridCol w:w="1190"/>
        <w:gridCol w:w="938"/>
        <w:gridCol w:w="998"/>
        <w:gridCol w:w="1001"/>
        <w:gridCol w:w="1001"/>
        <w:gridCol w:w="1446"/>
        <w:gridCol w:w="1845"/>
      </w:tblGrid>
      <w:tr w:rsidR="00E61862" w:rsidRPr="003C4CF6" w:rsidTr="004849FD">
        <w:trPr>
          <w:trHeight w:val="317"/>
          <w:tblHeader/>
        </w:trPr>
        <w:tc>
          <w:tcPr>
            <w:tcW w:w="1745" w:type="pct"/>
            <w:tcBorders>
              <w:top w:val="nil"/>
              <w:left w:val="nil"/>
              <w:bottom w:val="single" w:sz="4" w:space="0" w:color="auto"/>
              <w:right w:val="nil"/>
            </w:tcBorders>
            <w:noWrap/>
            <w:hideMark/>
          </w:tcPr>
          <w:p w:rsidR="00E61862" w:rsidRPr="003C4CF6" w:rsidRDefault="00E61862" w:rsidP="004849FD">
            <w:pPr>
              <w:spacing w:before="60" w:after="60"/>
              <w:jc w:val="center"/>
              <w:rPr>
                <w:rFonts w:asciiTheme="majorBidi" w:hAnsiTheme="majorBidi" w:cstheme="majorBidi"/>
                <w:szCs w:val="24"/>
              </w:rPr>
            </w:pPr>
          </w:p>
        </w:tc>
        <w:tc>
          <w:tcPr>
            <w:tcW w:w="453" w:type="pct"/>
            <w:tcBorders>
              <w:top w:val="nil"/>
              <w:left w:val="nil"/>
              <w:bottom w:val="single" w:sz="4" w:space="0" w:color="auto"/>
              <w:right w:val="nil"/>
            </w:tcBorders>
            <w:noWrap/>
            <w:hideMark/>
          </w:tcPr>
          <w:p w:rsidR="00E61862" w:rsidRPr="003C4CF6" w:rsidRDefault="00E61862" w:rsidP="004849FD">
            <w:pPr>
              <w:spacing w:before="60" w:after="60"/>
              <w:rPr>
                <w:rFonts w:asciiTheme="majorBidi" w:hAnsiTheme="majorBidi" w:cstheme="majorBidi"/>
                <w:szCs w:val="24"/>
              </w:rPr>
            </w:pPr>
          </w:p>
        </w:tc>
        <w:tc>
          <w:tcPr>
            <w:tcW w:w="396" w:type="pct"/>
            <w:tcBorders>
              <w:top w:val="nil"/>
              <w:left w:val="nil"/>
              <w:bottom w:val="single" w:sz="4" w:space="0" w:color="auto"/>
              <w:right w:val="nil"/>
            </w:tcBorders>
            <w:noWrap/>
            <w:hideMark/>
          </w:tcPr>
          <w:p w:rsidR="00E61862" w:rsidRPr="003C4CF6" w:rsidRDefault="00E61862" w:rsidP="004849FD">
            <w:pPr>
              <w:spacing w:before="60" w:after="60"/>
              <w:rPr>
                <w:rFonts w:asciiTheme="majorBidi" w:hAnsiTheme="majorBidi" w:cstheme="majorBidi"/>
                <w:szCs w:val="24"/>
              </w:rPr>
            </w:pPr>
          </w:p>
        </w:tc>
        <w:tc>
          <w:tcPr>
            <w:tcW w:w="312" w:type="pct"/>
            <w:tcBorders>
              <w:top w:val="nil"/>
              <w:left w:val="nil"/>
              <w:bottom w:val="single" w:sz="4" w:space="0" w:color="auto"/>
              <w:right w:val="nil"/>
            </w:tcBorders>
            <w:noWrap/>
            <w:hideMark/>
          </w:tcPr>
          <w:p w:rsidR="00E61862" w:rsidRPr="003C4CF6" w:rsidRDefault="00E61862" w:rsidP="004849FD">
            <w:pPr>
              <w:spacing w:before="60" w:after="60"/>
              <w:rPr>
                <w:rFonts w:asciiTheme="majorBidi" w:hAnsiTheme="majorBidi" w:cstheme="majorBidi"/>
                <w:szCs w:val="24"/>
              </w:rPr>
            </w:pPr>
          </w:p>
        </w:tc>
        <w:tc>
          <w:tcPr>
            <w:tcW w:w="332" w:type="pct"/>
            <w:tcBorders>
              <w:top w:val="nil"/>
              <w:left w:val="nil"/>
              <w:bottom w:val="single" w:sz="4" w:space="0" w:color="auto"/>
              <w:right w:val="nil"/>
            </w:tcBorders>
            <w:noWrap/>
            <w:hideMark/>
          </w:tcPr>
          <w:p w:rsidR="00E61862" w:rsidRPr="003C4CF6" w:rsidRDefault="00E61862" w:rsidP="004849FD">
            <w:pPr>
              <w:spacing w:before="60" w:after="60"/>
              <w:rPr>
                <w:rFonts w:asciiTheme="majorBidi" w:hAnsiTheme="majorBidi" w:cstheme="majorBidi"/>
                <w:szCs w:val="24"/>
              </w:rPr>
            </w:pPr>
          </w:p>
        </w:tc>
        <w:tc>
          <w:tcPr>
            <w:tcW w:w="333" w:type="pct"/>
            <w:tcBorders>
              <w:top w:val="nil"/>
              <w:left w:val="nil"/>
              <w:bottom w:val="single" w:sz="4" w:space="0" w:color="auto"/>
              <w:right w:val="nil"/>
            </w:tcBorders>
            <w:noWrap/>
            <w:hideMark/>
          </w:tcPr>
          <w:p w:rsidR="00E61862" w:rsidRPr="003C4CF6" w:rsidRDefault="00E61862" w:rsidP="004849FD">
            <w:pPr>
              <w:spacing w:before="60" w:after="60"/>
              <w:rPr>
                <w:rFonts w:asciiTheme="majorBidi" w:hAnsiTheme="majorBidi" w:cstheme="majorBidi"/>
                <w:szCs w:val="24"/>
              </w:rPr>
            </w:pPr>
          </w:p>
        </w:tc>
        <w:tc>
          <w:tcPr>
            <w:tcW w:w="333" w:type="pct"/>
            <w:tcBorders>
              <w:top w:val="nil"/>
              <w:left w:val="nil"/>
              <w:bottom w:val="single" w:sz="4" w:space="0" w:color="auto"/>
              <w:right w:val="nil"/>
            </w:tcBorders>
            <w:noWrap/>
            <w:hideMark/>
          </w:tcPr>
          <w:p w:rsidR="00E61862" w:rsidRPr="003C4CF6" w:rsidRDefault="00E61862" w:rsidP="004849FD">
            <w:pPr>
              <w:spacing w:before="60" w:after="60"/>
              <w:rPr>
                <w:rFonts w:asciiTheme="majorBidi" w:hAnsiTheme="majorBidi" w:cstheme="majorBidi"/>
                <w:szCs w:val="24"/>
              </w:rPr>
            </w:pPr>
          </w:p>
        </w:tc>
        <w:tc>
          <w:tcPr>
            <w:tcW w:w="1095" w:type="pct"/>
            <w:gridSpan w:val="2"/>
            <w:tcBorders>
              <w:top w:val="nil"/>
              <w:left w:val="nil"/>
              <w:bottom w:val="single" w:sz="4" w:space="0" w:color="auto"/>
              <w:right w:val="nil"/>
            </w:tcBorders>
            <w:noWrap/>
            <w:hideMark/>
          </w:tcPr>
          <w:p w:rsidR="00E61862" w:rsidRPr="003C4CF6" w:rsidRDefault="00E61862" w:rsidP="004849FD">
            <w:pPr>
              <w:spacing w:before="60" w:after="60"/>
              <w:jc w:val="right"/>
              <w:rPr>
                <w:rFonts w:asciiTheme="majorBidi" w:hAnsiTheme="majorBidi" w:cstheme="majorBidi"/>
                <w:i/>
                <w:iCs/>
                <w:szCs w:val="24"/>
              </w:rPr>
            </w:pPr>
            <w:r w:rsidRPr="003C4CF6">
              <w:rPr>
                <w:rFonts w:asciiTheme="majorBidi" w:hAnsiTheme="majorBidi"/>
                <w:i/>
              </w:rPr>
              <w:t>(u milijunima EUR – cijene iz 2018.)</w:t>
            </w:r>
          </w:p>
        </w:tc>
      </w:tr>
      <w:tr w:rsidR="00E61862" w:rsidRPr="003C4CF6" w:rsidTr="004849FD">
        <w:trPr>
          <w:trHeight w:val="623"/>
          <w:tblHeader/>
        </w:trPr>
        <w:tc>
          <w:tcPr>
            <w:tcW w:w="1745" w:type="pct"/>
            <w:tcBorders>
              <w:top w:val="single" w:sz="4" w:space="0" w:color="auto"/>
              <w:bottom w:val="single" w:sz="4" w:space="0" w:color="auto"/>
            </w:tcBorders>
            <w:noWrap/>
            <w:vAlign w:val="center"/>
            <w:hideMark/>
          </w:tcPr>
          <w:p w:rsidR="00E61862" w:rsidRPr="003C4CF6" w:rsidRDefault="00E61862" w:rsidP="004849FD">
            <w:pPr>
              <w:spacing w:before="60" w:after="60"/>
              <w:jc w:val="center"/>
              <w:rPr>
                <w:b/>
                <w:bCs/>
                <w:szCs w:val="24"/>
              </w:rPr>
            </w:pPr>
            <w:r w:rsidRPr="003C4CF6">
              <w:rPr>
                <w:b/>
              </w:rPr>
              <w:t>ODOBRENA SREDSTVA ZA PREUZIMANJE OBVEZA</w:t>
            </w:r>
          </w:p>
        </w:tc>
        <w:tc>
          <w:tcPr>
            <w:tcW w:w="453" w:type="pct"/>
            <w:tcBorders>
              <w:top w:val="single" w:sz="4" w:space="0" w:color="auto"/>
              <w:bottom w:val="single" w:sz="4" w:space="0" w:color="auto"/>
              <w:right w:val="nil"/>
            </w:tcBorders>
            <w:noWrap/>
            <w:vAlign w:val="center"/>
            <w:hideMark/>
          </w:tcPr>
          <w:p w:rsidR="00E61862" w:rsidRPr="003C4CF6" w:rsidRDefault="00E61862" w:rsidP="004849FD">
            <w:pPr>
              <w:spacing w:before="60" w:after="60"/>
              <w:jc w:val="center"/>
              <w:rPr>
                <w:b/>
                <w:bCs/>
                <w:szCs w:val="24"/>
              </w:rPr>
            </w:pPr>
            <w:r w:rsidRPr="003C4CF6">
              <w:rPr>
                <w:b/>
              </w:rPr>
              <w:t>2021.</w:t>
            </w:r>
          </w:p>
        </w:tc>
        <w:tc>
          <w:tcPr>
            <w:tcW w:w="396" w:type="pct"/>
            <w:tcBorders>
              <w:top w:val="single" w:sz="4" w:space="0" w:color="auto"/>
              <w:left w:val="nil"/>
              <w:bottom w:val="single" w:sz="4" w:space="0" w:color="auto"/>
              <w:right w:val="nil"/>
            </w:tcBorders>
            <w:noWrap/>
            <w:vAlign w:val="center"/>
            <w:hideMark/>
          </w:tcPr>
          <w:p w:rsidR="00E61862" w:rsidRPr="003C4CF6" w:rsidRDefault="00E61862" w:rsidP="004849FD">
            <w:pPr>
              <w:spacing w:before="60" w:after="60"/>
              <w:rPr>
                <w:b/>
                <w:bCs/>
                <w:szCs w:val="24"/>
              </w:rPr>
            </w:pPr>
            <w:r w:rsidRPr="003C4CF6">
              <w:rPr>
                <w:b/>
              </w:rPr>
              <w:t>2022.</w:t>
            </w:r>
          </w:p>
        </w:tc>
        <w:tc>
          <w:tcPr>
            <w:tcW w:w="312" w:type="pct"/>
            <w:tcBorders>
              <w:top w:val="single" w:sz="4" w:space="0" w:color="auto"/>
              <w:left w:val="nil"/>
              <w:bottom w:val="single" w:sz="4" w:space="0" w:color="auto"/>
              <w:right w:val="nil"/>
            </w:tcBorders>
            <w:noWrap/>
            <w:vAlign w:val="center"/>
            <w:hideMark/>
          </w:tcPr>
          <w:p w:rsidR="00E61862" w:rsidRPr="003C4CF6" w:rsidRDefault="00E61862" w:rsidP="004849FD">
            <w:pPr>
              <w:spacing w:before="60" w:after="60"/>
              <w:jc w:val="center"/>
              <w:rPr>
                <w:b/>
                <w:bCs/>
                <w:szCs w:val="24"/>
              </w:rPr>
            </w:pPr>
            <w:r w:rsidRPr="003C4CF6">
              <w:rPr>
                <w:b/>
              </w:rPr>
              <w:t>2023.</w:t>
            </w:r>
          </w:p>
        </w:tc>
        <w:tc>
          <w:tcPr>
            <w:tcW w:w="332" w:type="pct"/>
            <w:tcBorders>
              <w:top w:val="single" w:sz="4" w:space="0" w:color="auto"/>
              <w:left w:val="nil"/>
              <w:bottom w:val="single" w:sz="4" w:space="0" w:color="auto"/>
              <w:right w:val="nil"/>
            </w:tcBorders>
            <w:noWrap/>
            <w:vAlign w:val="center"/>
            <w:hideMark/>
          </w:tcPr>
          <w:p w:rsidR="00E61862" w:rsidRPr="003C4CF6" w:rsidRDefault="00E61862" w:rsidP="004849FD">
            <w:pPr>
              <w:spacing w:before="60" w:after="60"/>
              <w:jc w:val="center"/>
              <w:rPr>
                <w:b/>
                <w:bCs/>
                <w:szCs w:val="24"/>
              </w:rPr>
            </w:pPr>
            <w:r w:rsidRPr="003C4CF6">
              <w:rPr>
                <w:b/>
              </w:rPr>
              <w:t>2024.</w:t>
            </w:r>
          </w:p>
        </w:tc>
        <w:tc>
          <w:tcPr>
            <w:tcW w:w="333" w:type="pct"/>
            <w:tcBorders>
              <w:top w:val="single" w:sz="4" w:space="0" w:color="auto"/>
              <w:left w:val="nil"/>
              <w:bottom w:val="single" w:sz="4" w:space="0" w:color="auto"/>
              <w:right w:val="nil"/>
            </w:tcBorders>
            <w:noWrap/>
            <w:vAlign w:val="center"/>
            <w:hideMark/>
          </w:tcPr>
          <w:p w:rsidR="00E61862" w:rsidRPr="003C4CF6" w:rsidRDefault="00E61862" w:rsidP="004849FD">
            <w:pPr>
              <w:spacing w:before="60" w:after="60"/>
              <w:jc w:val="center"/>
              <w:rPr>
                <w:b/>
                <w:bCs/>
                <w:szCs w:val="24"/>
              </w:rPr>
            </w:pPr>
            <w:r w:rsidRPr="003C4CF6">
              <w:rPr>
                <w:b/>
              </w:rPr>
              <w:t>2025.</w:t>
            </w:r>
          </w:p>
        </w:tc>
        <w:tc>
          <w:tcPr>
            <w:tcW w:w="333" w:type="pct"/>
            <w:tcBorders>
              <w:top w:val="single" w:sz="4" w:space="0" w:color="auto"/>
              <w:left w:val="nil"/>
              <w:bottom w:val="single" w:sz="4" w:space="0" w:color="auto"/>
              <w:right w:val="nil"/>
            </w:tcBorders>
            <w:noWrap/>
            <w:vAlign w:val="center"/>
            <w:hideMark/>
          </w:tcPr>
          <w:p w:rsidR="00E61862" w:rsidRPr="003C4CF6" w:rsidRDefault="00E61862" w:rsidP="004849FD">
            <w:pPr>
              <w:spacing w:before="60" w:after="60"/>
              <w:jc w:val="center"/>
              <w:rPr>
                <w:b/>
                <w:bCs/>
                <w:szCs w:val="24"/>
              </w:rPr>
            </w:pPr>
            <w:r w:rsidRPr="003C4CF6">
              <w:rPr>
                <w:b/>
              </w:rPr>
              <w:t>2026.</w:t>
            </w:r>
          </w:p>
        </w:tc>
        <w:tc>
          <w:tcPr>
            <w:tcW w:w="481" w:type="pct"/>
            <w:tcBorders>
              <w:top w:val="single" w:sz="4" w:space="0" w:color="auto"/>
              <w:left w:val="nil"/>
              <w:bottom w:val="single" w:sz="4" w:space="0" w:color="auto"/>
            </w:tcBorders>
            <w:noWrap/>
            <w:vAlign w:val="center"/>
            <w:hideMark/>
          </w:tcPr>
          <w:p w:rsidR="00E61862" w:rsidRPr="003C4CF6" w:rsidRDefault="00E61862" w:rsidP="004849FD">
            <w:pPr>
              <w:spacing w:before="60" w:after="60"/>
              <w:jc w:val="center"/>
              <w:rPr>
                <w:b/>
                <w:bCs/>
                <w:szCs w:val="24"/>
              </w:rPr>
            </w:pPr>
            <w:r w:rsidRPr="003C4CF6">
              <w:rPr>
                <w:b/>
              </w:rPr>
              <w:t>2027.</w:t>
            </w:r>
          </w:p>
        </w:tc>
        <w:tc>
          <w:tcPr>
            <w:tcW w:w="614" w:type="pct"/>
            <w:tcBorders>
              <w:top w:val="single" w:sz="4" w:space="0" w:color="auto"/>
              <w:bottom w:val="single" w:sz="4" w:space="0" w:color="auto"/>
            </w:tcBorders>
            <w:vAlign w:val="center"/>
            <w:hideMark/>
          </w:tcPr>
          <w:p w:rsidR="00E61862" w:rsidRPr="003C4CF6" w:rsidRDefault="00E61862" w:rsidP="004849FD">
            <w:pPr>
              <w:spacing w:before="60" w:after="60"/>
              <w:jc w:val="center"/>
              <w:rPr>
                <w:b/>
                <w:bCs/>
                <w:szCs w:val="24"/>
              </w:rPr>
            </w:pPr>
            <w:r w:rsidRPr="003C4CF6">
              <w:rPr>
                <w:b/>
              </w:rPr>
              <w:t>Ukupno</w:t>
            </w:r>
            <w:r w:rsidRPr="003C4CF6">
              <w:rPr>
                <w:b/>
              </w:rPr>
              <w:br/>
              <w:t>2021. – 2027.</w:t>
            </w:r>
          </w:p>
        </w:tc>
      </w:tr>
      <w:tr w:rsidR="00E61862" w:rsidRPr="003C4CF6" w:rsidTr="004849FD">
        <w:trPr>
          <w:trHeight w:val="290"/>
        </w:trPr>
        <w:tc>
          <w:tcPr>
            <w:tcW w:w="1745" w:type="pct"/>
            <w:tcBorders>
              <w:bottom w:val="nil"/>
            </w:tcBorders>
            <w:noWrap/>
            <w:hideMark/>
          </w:tcPr>
          <w:p w:rsidR="00E61862" w:rsidRPr="003C4CF6" w:rsidRDefault="00E61862" w:rsidP="004849FD">
            <w:pPr>
              <w:spacing w:before="60" w:after="60"/>
              <w:rPr>
                <w:b/>
                <w:bCs/>
                <w:szCs w:val="24"/>
              </w:rPr>
            </w:pPr>
            <w:r w:rsidRPr="003C4CF6">
              <w:rPr>
                <w:b/>
              </w:rPr>
              <w:t>1.</w:t>
            </w:r>
            <w:r w:rsidRPr="003C4CF6">
              <w:rPr>
                <w:b/>
              </w:rPr>
              <w:tab/>
              <w:t>Jedinstveno tržište, inovacije i digitalizacija</w:t>
            </w:r>
          </w:p>
        </w:tc>
        <w:tc>
          <w:tcPr>
            <w:tcW w:w="453" w:type="pct"/>
            <w:tcBorders>
              <w:bottom w:val="nil"/>
              <w:right w:val="nil"/>
            </w:tcBorders>
            <w:noWrap/>
            <w:hideMark/>
          </w:tcPr>
          <w:p w:rsidR="00E61862" w:rsidRPr="003C4CF6" w:rsidRDefault="00E61862" w:rsidP="004849FD">
            <w:pPr>
              <w:spacing w:before="60" w:after="60"/>
              <w:ind w:firstLineChars="3" w:firstLine="7"/>
              <w:jc w:val="center"/>
              <w:rPr>
                <w:b/>
                <w:bCs/>
                <w:spacing w:val="-4"/>
                <w:szCs w:val="24"/>
              </w:rPr>
            </w:pPr>
            <w:r w:rsidRPr="003C4CF6">
              <w:rPr>
                <w:b/>
              </w:rPr>
              <w:t>19 712</w:t>
            </w:r>
          </w:p>
        </w:tc>
        <w:tc>
          <w:tcPr>
            <w:tcW w:w="396" w:type="pct"/>
            <w:tcBorders>
              <w:left w:val="nil"/>
              <w:bottom w:val="nil"/>
              <w:right w:val="nil"/>
            </w:tcBorders>
            <w:noWrap/>
            <w:hideMark/>
          </w:tcPr>
          <w:p w:rsidR="00E61862" w:rsidRPr="003C4CF6" w:rsidRDefault="00E61862" w:rsidP="004849FD">
            <w:pPr>
              <w:spacing w:before="60" w:after="60"/>
              <w:rPr>
                <w:b/>
                <w:bCs/>
                <w:spacing w:val="-4"/>
                <w:szCs w:val="24"/>
              </w:rPr>
            </w:pPr>
            <w:r w:rsidRPr="003C4CF6">
              <w:rPr>
                <w:b/>
              </w:rPr>
              <w:t>20 211</w:t>
            </w:r>
          </w:p>
        </w:tc>
        <w:tc>
          <w:tcPr>
            <w:tcW w:w="312" w:type="pct"/>
            <w:tcBorders>
              <w:left w:val="nil"/>
              <w:bottom w:val="nil"/>
              <w:right w:val="nil"/>
            </w:tcBorders>
            <w:noWrap/>
            <w:hideMark/>
          </w:tcPr>
          <w:p w:rsidR="00E61862" w:rsidRPr="003C4CF6" w:rsidRDefault="00E61862" w:rsidP="004849FD">
            <w:pPr>
              <w:spacing w:before="60" w:after="60"/>
              <w:rPr>
                <w:b/>
                <w:spacing w:val="-4"/>
                <w:szCs w:val="24"/>
              </w:rPr>
            </w:pPr>
            <w:r w:rsidRPr="003C4CF6">
              <w:rPr>
                <w:b/>
              </w:rPr>
              <w:t>19678</w:t>
            </w:r>
          </w:p>
        </w:tc>
        <w:tc>
          <w:tcPr>
            <w:tcW w:w="332" w:type="pct"/>
            <w:tcBorders>
              <w:left w:val="nil"/>
              <w:bottom w:val="nil"/>
              <w:right w:val="nil"/>
            </w:tcBorders>
            <w:noWrap/>
            <w:hideMark/>
          </w:tcPr>
          <w:p w:rsidR="00E61862" w:rsidRPr="003C4CF6" w:rsidRDefault="00E61862" w:rsidP="004849FD">
            <w:pPr>
              <w:spacing w:before="60" w:after="60"/>
              <w:ind w:firstLineChars="3" w:firstLine="7"/>
              <w:jc w:val="right"/>
              <w:rPr>
                <w:b/>
                <w:spacing w:val="-4"/>
                <w:szCs w:val="24"/>
              </w:rPr>
            </w:pPr>
            <w:r w:rsidRPr="003C4CF6">
              <w:rPr>
                <w:b/>
              </w:rPr>
              <w:t>19 178</w:t>
            </w:r>
          </w:p>
        </w:tc>
        <w:tc>
          <w:tcPr>
            <w:tcW w:w="333" w:type="pct"/>
            <w:tcBorders>
              <w:left w:val="nil"/>
              <w:bottom w:val="nil"/>
              <w:right w:val="nil"/>
            </w:tcBorders>
            <w:noWrap/>
            <w:hideMark/>
          </w:tcPr>
          <w:p w:rsidR="00E61862" w:rsidRPr="003C4CF6" w:rsidRDefault="00E61862" w:rsidP="004849FD">
            <w:pPr>
              <w:spacing w:before="60" w:after="60"/>
              <w:ind w:firstLineChars="3" w:firstLine="7"/>
              <w:jc w:val="right"/>
              <w:rPr>
                <w:b/>
                <w:spacing w:val="-4"/>
                <w:szCs w:val="24"/>
              </w:rPr>
            </w:pPr>
            <w:r w:rsidRPr="003C4CF6">
              <w:rPr>
                <w:b/>
              </w:rPr>
              <w:t>18 173</w:t>
            </w:r>
          </w:p>
        </w:tc>
        <w:tc>
          <w:tcPr>
            <w:tcW w:w="333" w:type="pct"/>
            <w:tcBorders>
              <w:left w:val="nil"/>
              <w:bottom w:val="nil"/>
              <w:right w:val="nil"/>
            </w:tcBorders>
            <w:noWrap/>
            <w:hideMark/>
          </w:tcPr>
          <w:p w:rsidR="00E61862" w:rsidRPr="003C4CF6" w:rsidRDefault="00E61862" w:rsidP="004849FD">
            <w:pPr>
              <w:spacing w:before="60" w:after="60"/>
              <w:ind w:firstLineChars="3" w:firstLine="7"/>
              <w:jc w:val="right"/>
              <w:rPr>
                <w:b/>
                <w:spacing w:val="-4"/>
                <w:szCs w:val="24"/>
              </w:rPr>
            </w:pPr>
            <w:r w:rsidRPr="003C4CF6">
              <w:rPr>
                <w:b/>
              </w:rPr>
              <w:t>18 120</w:t>
            </w:r>
          </w:p>
        </w:tc>
        <w:tc>
          <w:tcPr>
            <w:tcW w:w="481" w:type="pct"/>
            <w:tcBorders>
              <w:left w:val="nil"/>
              <w:bottom w:val="nil"/>
            </w:tcBorders>
            <w:noWrap/>
            <w:hideMark/>
          </w:tcPr>
          <w:p w:rsidR="00E61862" w:rsidRPr="003C4CF6" w:rsidRDefault="00E61862" w:rsidP="004849FD">
            <w:pPr>
              <w:spacing w:before="60" w:after="60"/>
              <w:ind w:firstLineChars="3" w:firstLine="7"/>
              <w:jc w:val="right"/>
              <w:rPr>
                <w:b/>
                <w:bCs/>
                <w:spacing w:val="-4"/>
                <w:szCs w:val="24"/>
              </w:rPr>
            </w:pPr>
            <w:r w:rsidRPr="003C4CF6">
              <w:rPr>
                <w:b/>
              </w:rPr>
              <w:t>17 565</w:t>
            </w:r>
          </w:p>
        </w:tc>
        <w:tc>
          <w:tcPr>
            <w:tcW w:w="614" w:type="pct"/>
            <w:tcBorders>
              <w:bottom w:val="nil"/>
            </w:tcBorders>
            <w:noWrap/>
            <w:hideMark/>
          </w:tcPr>
          <w:p w:rsidR="00E61862" w:rsidRPr="003C4CF6" w:rsidRDefault="00E61862" w:rsidP="004849FD">
            <w:pPr>
              <w:spacing w:before="60" w:after="60"/>
              <w:ind w:firstLineChars="3" w:firstLine="7"/>
              <w:jc w:val="right"/>
              <w:rPr>
                <w:b/>
                <w:spacing w:val="-4"/>
                <w:szCs w:val="24"/>
              </w:rPr>
            </w:pPr>
            <w:r w:rsidRPr="003C4CF6">
              <w:rPr>
                <w:b/>
              </w:rPr>
              <w:t>132 637</w:t>
            </w:r>
          </w:p>
        </w:tc>
      </w:tr>
      <w:tr w:rsidR="00E61862" w:rsidRPr="003C4CF6" w:rsidTr="004849FD">
        <w:trPr>
          <w:trHeight w:val="290"/>
        </w:trPr>
        <w:tc>
          <w:tcPr>
            <w:tcW w:w="1745" w:type="pct"/>
            <w:tcBorders>
              <w:top w:val="nil"/>
              <w:bottom w:val="nil"/>
            </w:tcBorders>
            <w:noWrap/>
            <w:hideMark/>
          </w:tcPr>
          <w:p w:rsidR="00E61862" w:rsidRPr="003C4CF6" w:rsidRDefault="00E61862" w:rsidP="004849FD">
            <w:pPr>
              <w:spacing w:before="60" w:after="60"/>
              <w:rPr>
                <w:b/>
                <w:bCs/>
                <w:szCs w:val="24"/>
              </w:rPr>
            </w:pPr>
            <w:r w:rsidRPr="003C4CF6">
              <w:rPr>
                <w:b/>
              </w:rPr>
              <w:t>2.</w:t>
            </w:r>
            <w:r w:rsidRPr="003C4CF6">
              <w:rPr>
                <w:b/>
              </w:rPr>
              <w:tab/>
              <w:t xml:space="preserve">Kohezija, otpornost i vrijednosti </w:t>
            </w:r>
          </w:p>
        </w:tc>
        <w:tc>
          <w:tcPr>
            <w:tcW w:w="453" w:type="pct"/>
            <w:tcBorders>
              <w:top w:val="nil"/>
              <w:bottom w:val="nil"/>
              <w:right w:val="nil"/>
            </w:tcBorders>
            <w:noWrap/>
            <w:hideMark/>
          </w:tcPr>
          <w:p w:rsidR="00E61862" w:rsidRPr="003C4CF6" w:rsidRDefault="00E61862" w:rsidP="004849FD">
            <w:pPr>
              <w:spacing w:before="60" w:after="60"/>
              <w:ind w:firstLineChars="3" w:firstLine="7"/>
              <w:jc w:val="center"/>
              <w:rPr>
                <w:b/>
                <w:bCs/>
                <w:spacing w:val="-4"/>
                <w:szCs w:val="24"/>
              </w:rPr>
            </w:pPr>
            <w:r w:rsidRPr="003C4CF6">
              <w:rPr>
                <w:b/>
              </w:rPr>
              <w:t>5 996</w:t>
            </w:r>
          </w:p>
        </w:tc>
        <w:tc>
          <w:tcPr>
            <w:tcW w:w="396" w:type="pct"/>
            <w:tcBorders>
              <w:top w:val="nil"/>
              <w:left w:val="nil"/>
              <w:bottom w:val="nil"/>
              <w:right w:val="nil"/>
            </w:tcBorders>
            <w:noWrap/>
            <w:hideMark/>
          </w:tcPr>
          <w:p w:rsidR="00E61862" w:rsidRPr="003C4CF6" w:rsidRDefault="00E61862" w:rsidP="004849FD">
            <w:pPr>
              <w:spacing w:before="60" w:after="60"/>
              <w:ind w:firstLineChars="3" w:firstLine="7"/>
              <w:rPr>
                <w:b/>
                <w:bCs/>
                <w:spacing w:val="-4"/>
                <w:szCs w:val="24"/>
              </w:rPr>
            </w:pPr>
            <w:r w:rsidRPr="003C4CF6">
              <w:rPr>
                <w:b/>
              </w:rPr>
              <w:t>62 642</w:t>
            </w:r>
          </w:p>
        </w:tc>
        <w:tc>
          <w:tcPr>
            <w:tcW w:w="312" w:type="pct"/>
            <w:tcBorders>
              <w:top w:val="nil"/>
              <w:left w:val="nil"/>
              <w:bottom w:val="nil"/>
              <w:right w:val="nil"/>
            </w:tcBorders>
            <w:noWrap/>
            <w:hideMark/>
          </w:tcPr>
          <w:p w:rsidR="00E61862" w:rsidRPr="003C4CF6" w:rsidRDefault="00E61862" w:rsidP="004849FD">
            <w:pPr>
              <w:spacing w:before="60" w:after="60"/>
              <w:ind w:firstLineChars="3" w:firstLine="7"/>
              <w:rPr>
                <w:b/>
                <w:bCs/>
                <w:spacing w:val="-4"/>
                <w:szCs w:val="24"/>
              </w:rPr>
            </w:pPr>
            <w:r w:rsidRPr="003C4CF6">
              <w:rPr>
                <w:b/>
              </w:rPr>
              <w:t>63525</w:t>
            </w:r>
          </w:p>
        </w:tc>
        <w:tc>
          <w:tcPr>
            <w:tcW w:w="332" w:type="pct"/>
            <w:tcBorders>
              <w:top w:val="nil"/>
              <w:left w:val="nil"/>
              <w:bottom w:val="nil"/>
              <w:right w:val="nil"/>
            </w:tcBorders>
            <w:noWrap/>
            <w:hideMark/>
          </w:tcPr>
          <w:p w:rsidR="00E61862" w:rsidRPr="003C4CF6" w:rsidRDefault="00E61862" w:rsidP="004849FD">
            <w:pPr>
              <w:spacing w:before="60" w:after="60"/>
              <w:ind w:firstLineChars="3" w:firstLine="7"/>
              <w:jc w:val="right"/>
              <w:rPr>
                <w:b/>
                <w:spacing w:val="-4"/>
                <w:szCs w:val="24"/>
              </w:rPr>
            </w:pPr>
            <w:r w:rsidRPr="003C4CF6">
              <w:rPr>
                <w:b/>
              </w:rPr>
              <w:t>65 079</w:t>
            </w:r>
          </w:p>
        </w:tc>
        <w:tc>
          <w:tcPr>
            <w:tcW w:w="333" w:type="pct"/>
            <w:tcBorders>
              <w:top w:val="nil"/>
              <w:left w:val="nil"/>
              <w:bottom w:val="nil"/>
              <w:right w:val="nil"/>
            </w:tcBorders>
            <w:noWrap/>
            <w:hideMark/>
          </w:tcPr>
          <w:p w:rsidR="00E61862" w:rsidRPr="003C4CF6" w:rsidRDefault="00E61862" w:rsidP="004849FD">
            <w:pPr>
              <w:spacing w:before="60" w:after="60"/>
              <w:ind w:firstLineChars="3" w:firstLine="7"/>
              <w:jc w:val="right"/>
              <w:rPr>
                <w:b/>
                <w:spacing w:val="-4"/>
                <w:szCs w:val="24"/>
              </w:rPr>
            </w:pPr>
            <w:r w:rsidRPr="003C4CF6">
              <w:rPr>
                <w:b/>
              </w:rPr>
              <w:t>65 184</w:t>
            </w:r>
          </w:p>
        </w:tc>
        <w:tc>
          <w:tcPr>
            <w:tcW w:w="333" w:type="pct"/>
            <w:tcBorders>
              <w:top w:val="nil"/>
              <w:left w:val="nil"/>
              <w:bottom w:val="nil"/>
              <w:right w:val="nil"/>
            </w:tcBorders>
            <w:noWrap/>
            <w:hideMark/>
          </w:tcPr>
          <w:p w:rsidR="00E61862" w:rsidRPr="003C4CF6" w:rsidRDefault="00E61862" w:rsidP="004849FD">
            <w:pPr>
              <w:spacing w:before="60" w:after="60"/>
              <w:ind w:firstLineChars="3" w:firstLine="7"/>
              <w:jc w:val="right"/>
              <w:rPr>
                <w:b/>
                <w:spacing w:val="-4"/>
                <w:szCs w:val="24"/>
              </w:rPr>
            </w:pPr>
            <w:r w:rsidRPr="003C4CF6">
              <w:rPr>
                <w:b/>
              </w:rPr>
              <w:t>56 675</w:t>
            </w:r>
          </w:p>
        </w:tc>
        <w:tc>
          <w:tcPr>
            <w:tcW w:w="481" w:type="pct"/>
            <w:tcBorders>
              <w:top w:val="nil"/>
              <w:left w:val="nil"/>
              <w:bottom w:val="nil"/>
            </w:tcBorders>
            <w:noWrap/>
            <w:hideMark/>
          </w:tcPr>
          <w:p w:rsidR="00E61862" w:rsidRPr="003C4CF6" w:rsidRDefault="00E61862" w:rsidP="004849FD">
            <w:pPr>
              <w:spacing w:before="60" w:after="60"/>
              <w:ind w:firstLineChars="3" w:firstLine="7"/>
              <w:jc w:val="right"/>
              <w:rPr>
                <w:b/>
                <w:bCs/>
                <w:spacing w:val="-4"/>
                <w:szCs w:val="24"/>
              </w:rPr>
            </w:pPr>
            <w:r w:rsidRPr="003C4CF6">
              <w:rPr>
                <w:b/>
              </w:rPr>
              <w:t>58 680</w:t>
            </w:r>
          </w:p>
        </w:tc>
        <w:tc>
          <w:tcPr>
            <w:tcW w:w="614" w:type="pct"/>
            <w:tcBorders>
              <w:top w:val="nil"/>
              <w:bottom w:val="nil"/>
            </w:tcBorders>
            <w:noWrap/>
            <w:hideMark/>
          </w:tcPr>
          <w:p w:rsidR="00E61862" w:rsidRPr="003C4CF6" w:rsidRDefault="00E61862" w:rsidP="004849FD">
            <w:pPr>
              <w:spacing w:before="60" w:after="60"/>
              <w:ind w:firstLineChars="3" w:firstLine="7"/>
              <w:jc w:val="right"/>
              <w:rPr>
                <w:b/>
                <w:spacing w:val="-4"/>
                <w:szCs w:val="24"/>
              </w:rPr>
            </w:pPr>
            <w:r w:rsidRPr="003C4CF6">
              <w:rPr>
                <w:b/>
              </w:rPr>
              <w:t>377 781</w:t>
            </w:r>
          </w:p>
        </w:tc>
      </w:tr>
      <w:tr w:rsidR="00E61862" w:rsidRPr="003C4CF6" w:rsidTr="004849FD">
        <w:trPr>
          <w:trHeight w:val="290"/>
        </w:trPr>
        <w:tc>
          <w:tcPr>
            <w:tcW w:w="1745" w:type="pct"/>
            <w:tcBorders>
              <w:top w:val="nil"/>
              <w:bottom w:val="nil"/>
            </w:tcBorders>
            <w:noWrap/>
            <w:hideMark/>
          </w:tcPr>
          <w:p w:rsidR="00E61862" w:rsidRPr="003C4CF6" w:rsidRDefault="00E61862" w:rsidP="004849FD">
            <w:pPr>
              <w:spacing w:before="60" w:after="60"/>
              <w:ind w:left="1418" w:hanging="709"/>
              <w:rPr>
                <w:szCs w:val="24"/>
              </w:rPr>
            </w:pPr>
            <w:r w:rsidRPr="003C4CF6">
              <w:t>2.a</w:t>
            </w:r>
            <w:r w:rsidRPr="003C4CF6">
              <w:tab/>
              <w:t>Ekonomska, socijalna i teritorijalna kohezija</w:t>
            </w:r>
          </w:p>
        </w:tc>
        <w:tc>
          <w:tcPr>
            <w:tcW w:w="453" w:type="pct"/>
            <w:tcBorders>
              <w:top w:val="nil"/>
              <w:bottom w:val="nil"/>
              <w:right w:val="nil"/>
            </w:tcBorders>
            <w:noWrap/>
            <w:hideMark/>
          </w:tcPr>
          <w:p w:rsidR="00E61862" w:rsidRPr="003C4CF6" w:rsidRDefault="00E61862" w:rsidP="004849FD">
            <w:pPr>
              <w:spacing w:before="60" w:after="60"/>
              <w:ind w:firstLineChars="100" w:firstLine="240"/>
              <w:jc w:val="center"/>
              <w:rPr>
                <w:spacing w:val="-4"/>
                <w:szCs w:val="24"/>
              </w:rPr>
            </w:pPr>
            <w:r w:rsidRPr="003C4CF6">
              <w:t>1 666</w:t>
            </w:r>
          </w:p>
        </w:tc>
        <w:tc>
          <w:tcPr>
            <w:tcW w:w="396" w:type="pct"/>
            <w:tcBorders>
              <w:top w:val="nil"/>
              <w:left w:val="nil"/>
              <w:bottom w:val="nil"/>
              <w:right w:val="nil"/>
            </w:tcBorders>
            <w:noWrap/>
            <w:hideMark/>
          </w:tcPr>
          <w:p w:rsidR="00E61862" w:rsidRPr="003C4CF6" w:rsidRDefault="00E61862" w:rsidP="004849FD">
            <w:pPr>
              <w:spacing w:before="60" w:after="60"/>
              <w:rPr>
                <w:spacing w:val="-4"/>
                <w:szCs w:val="24"/>
              </w:rPr>
            </w:pPr>
            <w:r w:rsidRPr="003C4CF6">
              <w:t>56 673</w:t>
            </w:r>
          </w:p>
        </w:tc>
        <w:tc>
          <w:tcPr>
            <w:tcW w:w="312" w:type="pct"/>
            <w:tcBorders>
              <w:top w:val="nil"/>
              <w:left w:val="nil"/>
              <w:bottom w:val="nil"/>
              <w:right w:val="nil"/>
            </w:tcBorders>
            <w:noWrap/>
            <w:hideMark/>
          </w:tcPr>
          <w:p w:rsidR="00E61862" w:rsidRPr="003C4CF6" w:rsidRDefault="00E61862" w:rsidP="004849FD">
            <w:pPr>
              <w:spacing w:before="60" w:after="60"/>
              <w:jc w:val="center"/>
              <w:rPr>
                <w:spacing w:val="-4"/>
                <w:szCs w:val="24"/>
              </w:rPr>
            </w:pPr>
            <w:r w:rsidRPr="003C4CF6">
              <w:t>57 005</w:t>
            </w:r>
          </w:p>
        </w:tc>
        <w:tc>
          <w:tcPr>
            <w:tcW w:w="332" w:type="pct"/>
            <w:tcBorders>
              <w:top w:val="nil"/>
              <w:left w:val="nil"/>
              <w:bottom w:val="nil"/>
              <w:right w:val="nil"/>
            </w:tcBorders>
            <w:noWrap/>
            <w:hideMark/>
          </w:tcPr>
          <w:p w:rsidR="00E61862" w:rsidRPr="003C4CF6" w:rsidRDefault="00E61862" w:rsidP="004849FD">
            <w:pPr>
              <w:spacing w:before="60" w:after="60"/>
              <w:jc w:val="right"/>
              <w:rPr>
                <w:spacing w:val="-4"/>
                <w:szCs w:val="24"/>
              </w:rPr>
            </w:pPr>
            <w:r w:rsidRPr="003C4CF6">
              <w:t>57 436</w:t>
            </w:r>
          </w:p>
        </w:tc>
        <w:tc>
          <w:tcPr>
            <w:tcW w:w="333" w:type="pct"/>
            <w:tcBorders>
              <w:top w:val="nil"/>
              <w:left w:val="nil"/>
              <w:bottom w:val="nil"/>
              <w:right w:val="nil"/>
            </w:tcBorders>
            <w:noWrap/>
            <w:hideMark/>
          </w:tcPr>
          <w:p w:rsidR="00E61862" w:rsidRPr="003C4CF6" w:rsidRDefault="00E61862" w:rsidP="004849FD">
            <w:pPr>
              <w:spacing w:before="60" w:after="60"/>
              <w:jc w:val="right"/>
              <w:rPr>
                <w:spacing w:val="-4"/>
                <w:szCs w:val="24"/>
              </w:rPr>
            </w:pPr>
            <w:r w:rsidRPr="003C4CF6">
              <w:t>57 772</w:t>
            </w:r>
          </w:p>
        </w:tc>
        <w:tc>
          <w:tcPr>
            <w:tcW w:w="333" w:type="pct"/>
            <w:tcBorders>
              <w:top w:val="nil"/>
              <w:left w:val="nil"/>
              <w:bottom w:val="nil"/>
              <w:right w:val="nil"/>
            </w:tcBorders>
            <w:noWrap/>
            <w:hideMark/>
          </w:tcPr>
          <w:p w:rsidR="00E61862" w:rsidRPr="003C4CF6" w:rsidRDefault="00E61862" w:rsidP="004849FD">
            <w:pPr>
              <w:spacing w:before="60" w:after="60"/>
              <w:jc w:val="right"/>
              <w:rPr>
                <w:spacing w:val="-4"/>
                <w:szCs w:val="24"/>
              </w:rPr>
            </w:pPr>
            <w:r w:rsidRPr="003C4CF6">
              <w:t>48 302</w:t>
            </w:r>
          </w:p>
        </w:tc>
        <w:tc>
          <w:tcPr>
            <w:tcW w:w="481" w:type="pct"/>
            <w:tcBorders>
              <w:top w:val="nil"/>
              <w:left w:val="nil"/>
              <w:bottom w:val="nil"/>
            </w:tcBorders>
            <w:noWrap/>
            <w:hideMark/>
          </w:tcPr>
          <w:p w:rsidR="00E61862" w:rsidRPr="003C4CF6" w:rsidRDefault="00E61862" w:rsidP="004849FD">
            <w:pPr>
              <w:spacing w:before="60" w:after="60"/>
              <w:jc w:val="right"/>
              <w:rPr>
                <w:spacing w:val="-4"/>
                <w:szCs w:val="24"/>
              </w:rPr>
            </w:pPr>
            <w:r w:rsidRPr="003C4CF6">
              <w:t>48 937</w:t>
            </w:r>
          </w:p>
        </w:tc>
        <w:tc>
          <w:tcPr>
            <w:tcW w:w="614" w:type="pct"/>
            <w:tcBorders>
              <w:top w:val="nil"/>
              <w:bottom w:val="nil"/>
            </w:tcBorders>
            <w:noWrap/>
            <w:hideMark/>
          </w:tcPr>
          <w:p w:rsidR="00E61862" w:rsidRPr="003C4CF6" w:rsidRDefault="00E61862" w:rsidP="004849FD">
            <w:pPr>
              <w:spacing w:before="60" w:after="60"/>
              <w:jc w:val="right"/>
              <w:rPr>
                <w:spacing w:val="-4"/>
                <w:szCs w:val="24"/>
              </w:rPr>
            </w:pPr>
            <w:r w:rsidRPr="003C4CF6">
              <w:t>327 791</w:t>
            </w:r>
          </w:p>
        </w:tc>
      </w:tr>
      <w:tr w:rsidR="00E61862" w:rsidRPr="003C4CF6" w:rsidTr="004849FD">
        <w:trPr>
          <w:trHeight w:val="290"/>
        </w:trPr>
        <w:tc>
          <w:tcPr>
            <w:tcW w:w="1745" w:type="pct"/>
            <w:tcBorders>
              <w:top w:val="nil"/>
              <w:bottom w:val="nil"/>
            </w:tcBorders>
            <w:noWrap/>
            <w:hideMark/>
          </w:tcPr>
          <w:p w:rsidR="00E61862" w:rsidRPr="003C4CF6" w:rsidRDefault="00E61862" w:rsidP="004849FD">
            <w:pPr>
              <w:spacing w:before="60" w:after="60"/>
              <w:ind w:left="1418" w:hanging="709"/>
              <w:rPr>
                <w:szCs w:val="24"/>
              </w:rPr>
            </w:pPr>
            <w:r w:rsidRPr="003C4CF6">
              <w:t>2.b</w:t>
            </w:r>
            <w:r w:rsidRPr="003C4CF6">
              <w:tab/>
              <w:t>Otpornost i vrijednosti</w:t>
            </w:r>
          </w:p>
        </w:tc>
        <w:tc>
          <w:tcPr>
            <w:tcW w:w="453" w:type="pct"/>
            <w:tcBorders>
              <w:top w:val="nil"/>
              <w:bottom w:val="nil"/>
              <w:right w:val="nil"/>
            </w:tcBorders>
            <w:noWrap/>
            <w:hideMark/>
          </w:tcPr>
          <w:p w:rsidR="00E61862" w:rsidRPr="003C4CF6" w:rsidRDefault="00E61862" w:rsidP="004849FD">
            <w:pPr>
              <w:spacing w:before="60" w:after="60"/>
              <w:jc w:val="center"/>
              <w:rPr>
                <w:spacing w:val="-4"/>
                <w:szCs w:val="24"/>
              </w:rPr>
            </w:pPr>
            <w:r w:rsidRPr="003C4CF6">
              <w:t>4 330</w:t>
            </w:r>
          </w:p>
        </w:tc>
        <w:tc>
          <w:tcPr>
            <w:tcW w:w="396" w:type="pct"/>
            <w:tcBorders>
              <w:top w:val="nil"/>
              <w:left w:val="nil"/>
              <w:bottom w:val="nil"/>
              <w:right w:val="nil"/>
            </w:tcBorders>
            <w:noWrap/>
            <w:hideMark/>
          </w:tcPr>
          <w:p w:rsidR="00E61862" w:rsidRPr="003C4CF6" w:rsidRDefault="00E61862" w:rsidP="004849FD">
            <w:pPr>
              <w:spacing w:before="60" w:after="60"/>
              <w:rPr>
                <w:spacing w:val="-4"/>
                <w:szCs w:val="24"/>
              </w:rPr>
            </w:pPr>
            <w:r w:rsidRPr="003C4CF6">
              <w:t>5 969</w:t>
            </w:r>
          </w:p>
        </w:tc>
        <w:tc>
          <w:tcPr>
            <w:tcW w:w="312" w:type="pct"/>
            <w:tcBorders>
              <w:top w:val="nil"/>
              <w:left w:val="nil"/>
              <w:bottom w:val="nil"/>
              <w:right w:val="nil"/>
            </w:tcBorders>
            <w:noWrap/>
            <w:hideMark/>
          </w:tcPr>
          <w:p w:rsidR="00E61862" w:rsidRPr="003C4CF6" w:rsidRDefault="00E61862" w:rsidP="004849FD">
            <w:pPr>
              <w:spacing w:before="60" w:after="60"/>
              <w:jc w:val="center"/>
              <w:rPr>
                <w:spacing w:val="-4"/>
                <w:szCs w:val="24"/>
              </w:rPr>
            </w:pPr>
            <w:r w:rsidRPr="003C4CF6">
              <w:t>6 520</w:t>
            </w:r>
          </w:p>
        </w:tc>
        <w:tc>
          <w:tcPr>
            <w:tcW w:w="332" w:type="pct"/>
            <w:tcBorders>
              <w:top w:val="nil"/>
              <w:left w:val="nil"/>
              <w:bottom w:val="nil"/>
              <w:right w:val="nil"/>
            </w:tcBorders>
            <w:noWrap/>
            <w:hideMark/>
          </w:tcPr>
          <w:p w:rsidR="00E61862" w:rsidRPr="003C4CF6" w:rsidRDefault="00E61862" w:rsidP="004849FD">
            <w:pPr>
              <w:spacing w:before="60" w:after="60"/>
              <w:jc w:val="right"/>
              <w:rPr>
                <w:spacing w:val="-4"/>
                <w:szCs w:val="24"/>
              </w:rPr>
            </w:pPr>
            <w:r w:rsidRPr="003C4CF6">
              <w:t>7 643</w:t>
            </w:r>
          </w:p>
        </w:tc>
        <w:tc>
          <w:tcPr>
            <w:tcW w:w="333" w:type="pct"/>
            <w:tcBorders>
              <w:top w:val="nil"/>
              <w:left w:val="nil"/>
              <w:bottom w:val="nil"/>
              <w:right w:val="nil"/>
            </w:tcBorders>
            <w:noWrap/>
            <w:hideMark/>
          </w:tcPr>
          <w:p w:rsidR="00E61862" w:rsidRPr="003C4CF6" w:rsidRDefault="00E61862" w:rsidP="004849FD">
            <w:pPr>
              <w:spacing w:before="60" w:after="60"/>
              <w:jc w:val="right"/>
              <w:rPr>
                <w:spacing w:val="-4"/>
                <w:szCs w:val="24"/>
              </w:rPr>
            </w:pPr>
            <w:r w:rsidRPr="003C4CF6">
              <w:t>7 412</w:t>
            </w:r>
          </w:p>
        </w:tc>
        <w:tc>
          <w:tcPr>
            <w:tcW w:w="333" w:type="pct"/>
            <w:tcBorders>
              <w:top w:val="nil"/>
              <w:left w:val="nil"/>
              <w:bottom w:val="nil"/>
              <w:right w:val="nil"/>
            </w:tcBorders>
            <w:noWrap/>
            <w:hideMark/>
          </w:tcPr>
          <w:p w:rsidR="00E61862" w:rsidRPr="003C4CF6" w:rsidRDefault="00E61862" w:rsidP="004849FD">
            <w:pPr>
              <w:spacing w:before="60" w:after="60"/>
              <w:jc w:val="right"/>
              <w:rPr>
                <w:spacing w:val="-4"/>
                <w:szCs w:val="24"/>
              </w:rPr>
            </w:pPr>
            <w:r w:rsidRPr="003C4CF6">
              <w:t>8 373</w:t>
            </w:r>
          </w:p>
        </w:tc>
        <w:tc>
          <w:tcPr>
            <w:tcW w:w="481" w:type="pct"/>
            <w:tcBorders>
              <w:top w:val="nil"/>
              <w:left w:val="nil"/>
              <w:bottom w:val="nil"/>
            </w:tcBorders>
            <w:noWrap/>
            <w:hideMark/>
          </w:tcPr>
          <w:p w:rsidR="00E61862" w:rsidRPr="003C4CF6" w:rsidRDefault="00E61862" w:rsidP="004849FD">
            <w:pPr>
              <w:spacing w:before="60" w:after="60"/>
              <w:jc w:val="right"/>
              <w:rPr>
                <w:spacing w:val="-4"/>
                <w:szCs w:val="24"/>
              </w:rPr>
            </w:pPr>
            <w:r w:rsidRPr="003C4CF6">
              <w:t>9 743</w:t>
            </w:r>
          </w:p>
        </w:tc>
        <w:tc>
          <w:tcPr>
            <w:tcW w:w="614" w:type="pct"/>
            <w:tcBorders>
              <w:top w:val="nil"/>
              <w:bottom w:val="nil"/>
            </w:tcBorders>
            <w:noWrap/>
            <w:hideMark/>
          </w:tcPr>
          <w:p w:rsidR="00E61862" w:rsidRPr="003C4CF6" w:rsidRDefault="00E61862" w:rsidP="004849FD">
            <w:pPr>
              <w:spacing w:before="60" w:after="60"/>
              <w:jc w:val="right"/>
              <w:rPr>
                <w:spacing w:val="-4"/>
                <w:szCs w:val="24"/>
              </w:rPr>
            </w:pPr>
            <w:r w:rsidRPr="003C4CF6">
              <w:t>49 990</w:t>
            </w:r>
          </w:p>
        </w:tc>
      </w:tr>
      <w:tr w:rsidR="00E61862" w:rsidRPr="003C4CF6" w:rsidTr="004849FD">
        <w:trPr>
          <w:trHeight w:val="290"/>
        </w:trPr>
        <w:tc>
          <w:tcPr>
            <w:tcW w:w="1745" w:type="pct"/>
            <w:tcBorders>
              <w:top w:val="nil"/>
              <w:bottom w:val="nil"/>
            </w:tcBorders>
            <w:noWrap/>
            <w:hideMark/>
          </w:tcPr>
          <w:p w:rsidR="00E61862" w:rsidRPr="003C4CF6" w:rsidRDefault="00E61862" w:rsidP="004849FD">
            <w:pPr>
              <w:spacing w:before="60" w:after="60"/>
              <w:rPr>
                <w:b/>
                <w:bCs/>
                <w:szCs w:val="24"/>
              </w:rPr>
            </w:pPr>
            <w:r w:rsidRPr="003C4CF6">
              <w:rPr>
                <w:b/>
              </w:rPr>
              <w:t>3.</w:t>
            </w:r>
            <w:r w:rsidRPr="003C4CF6">
              <w:rPr>
                <w:b/>
              </w:rPr>
              <w:tab/>
              <w:t>Prirodni resursi i okoliš</w:t>
            </w:r>
          </w:p>
        </w:tc>
        <w:tc>
          <w:tcPr>
            <w:tcW w:w="453" w:type="pct"/>
            <w:tcBorders>
              <w:top w:val="nil"/>
              <w:bottom w:val="nil"/>
              <w:right w:val="nil"/>
            </w:tcBorders>
            <w:noWrap/>
            <w:hideMark/>
          </w:tcPr>
          <w:p w:rsidR="00E61862" w:rsidRPr="003C4CF6" w:rsidRDefault="00E61862" w:rsidP="004849FD">
            <w:pPr>
              <w:spacing w:before="60" w:after="60"/>
              <w:ind w:firstLineChars="3" w:firstLine="7"/>
              <w:jc w:val="center"/>
              <w:rPr>
                <w:b/>
                <w:bCs/>
                <w:spacing w:val="-4"/>
                <w:szCs w:val="24"/>
              </w:rPr>
            </w:pPr>
            <w:r w:rsidRPr="003C4CF6">
              <w:rPr>
                <w:b/>
              </w:rPr>
              <w:t>53 562</w:t>
            </w:r>
          </w:p>
        </w:tc>
        <w:tc>
          <w:tcPr>
            <w:tcW w:w="396" w:type="pct"/>
            <w:tcBorders>
              <w:top w:val="nil"/>
              <w:left w:val="nil"/>
              <w:bottom w:val="nil"/>
              <w:right w:val="nil"/>
            </w:tcBorders>
            <w:noWrap/>
            <w:hideMark/>
          </w:tcPr>
          <w:p w:rsidR="00E61862" w:rsidRPr="003C4CF6" w:rsidRDefault="00E61862" w:rsidP="004849FD">
            <w:pPr>
              <w:spacing w:before="60" w:after="60"/>
              <w:ind w:firstLineChars="3" w:firstLine="7"/>
              <w:rPr>
                <w:b/>
                <w:bCs/>
                <w:spacing w:val="-4"/>
                <w:szCs w:val="24"/>
              </w:rPr>
            </w:pPr>
            <w:r w:rsidRPr="003C4CF6">
              <w:rPr>
                <w:b/>
              </w:rPr>
              <w:t>52 626</w:t>
            </w:r>
          </w:p>
        </w:tc>
        <w:tc>
          <w:tcPr>
            <w:tcW w:w="312" w:type="pct"/>
            <w:tcBorders>
              <w:top w:val="nil"/>
              <w:left w:val="nil"/>
              <w:bottom w:val="nil"/>
              <w:right w:val="nil"/>
            </w:tcBorders>
            <w:noWrap/>
            <w:hideMark/>
          </w:tcPr>
          <w:p w:rsidR="00E61862" w:rsidRPr="003C4CF6" w:rsidRDefault="00E61862" w:rsidP="004849FD">
            <w:pPr>
              <w:spacing w:before="60" w:after="60"/>
              <w:ind w:firstLineChars="3" w:firstLine="7"/>
              <w:rPr>
                <w:b/>
                <w:bCs/>
                <w:spacing w:val="-4"/>
                <w:szCs w:val="24"/>
              </w:rPr>
            </w:pPr>
            <w:r w:rsidRPr="003C4CF6">
              <w:rPr>
                <w:b/>
              </w:rPr>
              <w:t>51893</w:t>
            </w:r>
          </w:p>
        </w:tc>
        <w:tc>
          <w:tcPr>
            <w:tcW w:w="332" w:type="pct"/>
            <w:tcBorders>
              <w:top w:val="nil"/>
              <w:left w:val="nil"/>
              <w:bottom w:val="nil"/>
              <w:right w:val="nil"/>
            </w:tcBorders>
            <w:noWrap/>
            <w:hideMark/>
          </w:tcPr>
          <w:p w:rsidR="00E61862" w:rsidRPr="003C4CF6" w:rsidRDefault="00E61862" w:rsidP="004849FD">
            <w:pPr>
              <w:spacing w:before="60" w:after="60"/>
              <w:ind w:firstLineChars="3" w:firstLine="7"/>
              <w:jc w:val="right"/>
              <w:rPr>
                <w:b/>
                <w:bCs/>
                <w:spacing w:val="-4"/>
                <w:szCs w:val="24"/>
              </w:rPr>
            </w:pPr>
            <w:r w:rsidRPr="003C4CF6">
              <w:rPr>
                <w:b/>
              </w:rPr>
              <w:t>51 013</w:t>
            </w:r>
          </w:p>
        </w:tc>
        <w:tc>
          <w:tcPr>
            <w:tcW w:w="333" w:type="pct"/>
            <w:tcBorders>
              <w:top w:val="nil"/>
              <w:left w:val="nil"/>
              <w:bottom w:val="nil"/>
              <w:right w:val="nil"/>
            </w:tcBorders>
            <w:noWrap/>
            <w:hideMark/>
          </w:tcPr>
          <w:p w:rsidR="00E61862" w:rsidRPr="003C4CF6" w:rsidRDefault="00E61862" w:rsidP="004849FD">
            <w:pPr>
              <w:spacing w:before="60" w:after="60"/>
              <w:ind w:firstLineChars="3" w:firstLine="7"/>
              <w:jc w:val="right"/>
              <w:rPr>
                <w:b/>
                <w:bCs/>
                <w:spacing w:val="-4"/>
                <w:szCs w:val="24"/>
              </w:rPr>
            </w:pPr>
            <w:r w:rsidRPr="003C4CF6">
              <w:rPr>
                <w:b/>
              </w:rPr>
              <w:t>49 914</w:t>
            </w:r>
          </w:p>
        </w:tc>
        <w:tc>
          <w:tcPr>
            <w:tcW w:w="333" w:type="pct"/>
            <w:tcBorders>
              <w:top w:val="nil"/>
              <w:left w:val="nil"/>
              <w:bottom w:val="nil"/>
              <w:right w:val="nil"/>
            </w:tcBorders>
            <w:noWrap/>
            <w:hideMark/>
          </w:tcPr>
          <w:p w:rsidR="00E61862" w:rsidRPr="003C4CF6" w:rsidRDefault="00E61862" w:rsidP="004849FD">
            <w:pPr>
              <w:spacing w:before="60" w:after="60"/>
              <w:ind w:firstLineChars="3" w:firstLine="7"/>
              <w:jc w:val="right"/>
              <w:rPr>
                <w:b/>
                <w:spacing w:val="-4"/>
                <w:szCs w:val="24"/>
              </w:rPr>
            </w:pPr>
            <w:r w:rsidRPr="003C4CF6">
              <w:rPr>
                <w:b/>
              </w:rPr>
              <w:t>48 734</w:t>
            </w:r>
          </w:p>
        </w:tc>
        <w:tc>
          <w:tcPr>
            <w:tcW w:w="481" w:type="pct"/>
            <w:tcBorders>
              <w:top w:val="nil"/>
              <w:left w:val="nil"/>
              <w:bottom w:val="nil"/>
            </w:tcBorders>
            <w:noWrap/>
            <w:hideMark/>
          </w:tcPr>
          <w:p w:rsidR="00E61862" w:rsidRPr="003C4CF6" w:rsidRDefault="00E61862" w:rsidP="004849FD">
            <w:pPr>
              <w:spacing w:before="60" w:after="60"/>
              <w:ind w:firstLineChars="3" w:firstLine="7"/>
              <w:jc w:val="right"/>
              <w:rPr>
                <w:b/>
                <w:bCs/>
                <w:spacing w:val="-4"/>
                <w:szCs w:val="24"/>
              </w:rPr>
            </w:pPr>
            <w:r w:rsidRPr="003C4CF6">
              <w:rPr>
                <w:b/>
              </w:rPr>
              <w:t>47 960</w:t>
            </w:r>
          </w:p>
        </w:tc>
        <w:tc>
          <w:tcPr>
            <w:tcW w:w="614" w:type="pct"/>
            <w:tcBorders>
              <w:top w:val="nil"/>
              <w:bottom w:val="nil"/>
            </w:tcBorders>
            <w:noWrap/>
            <w:hideMark/>
          </w:tcPr>
          <w:p w:rsidR="00E61862" w:rsidRPr="003C4CF6" w:rsidRDefault="00E61862" w:rsidP="004849FD">
            <w:pPr>
              <w:spacing w:before="60" w:after="60"/>
              <w:ind w:firstLineChars="3" w:firstLine="7"/>
              <w:jc w:val="right"/>
              <w:rPr>
                <w:b/>
                <w:spacing w:val="-4"/>
                <w:szCs w:val="24"/>
              </w:rPr>
            </w:pPr>
            <w:r w:rsidRPr="003C4CF6">
              <w:rPr>
                <w:b/>
              </w:rPr>
              <w:t>355 702</w:t>
            </w:r>
          </w:p>
        </w:tc>
      </w:tr>
      <w:tr w:rsidR="00E61862" w:rsidRPr="003C4CF6" w:rsidTr="004849FD">
        <w:trPr>
          <w:trHeight w:val="290"/>
        </w:trPr>
        <w:tc>
          <w:tcPr>
            <w:tcW w:w="1745" w:type="pct"/>
            <w:tcBorders>
              <w:top w:val="nil"/>
              <w:bottom w:val="nil"/>
            </w:tcBorders>
            <w:noWrap/>
            <w:hideMark/>
          </w:tcPr>
          <w:p w:rsidR="00E61862" w:rsidRPr="003C4CF6" w:rsidRDefault="00E61862" w:rsidP="004849FD">
            <w:pPr>
              <w:spacing w:before="60" w:after="60"/>
              <w:ind w:left="709"/>
              <w:rPr>
                <w:szCs w:val="24"/>
              </w:rPr>
            </w:pPr>
            <w:r w:rsidRPr="003C4CF6">
              <w:t>od čega: rashodi povezani s tržištem i izravna plaćanja</w:t>
            </w:r>
          </w:p>
        </w:tc>
        <w:tc>
          <w:tcPr>
            <w:tcW w:w="453" w:type="pct"/>
            <w:tcBorders>
              <w:top w:val="nil"/>
              <w:bottom w:val="nil"/>
              <w:right w:val="nil"/>
            </w:tcBorders>
            <w:noWrap/>
            <w:hideMark/>
          </w:tcPr>
          <w:p w:rsidR="00E61862" w:rsidRPr="003C4CF6" w:rsidRDefault="00E61862" w:rsidP="004849FD">
            <w:pPr>
              <w:spacing w:before="60" w:after="60"/>
              <w:jc w:val="center"/>
              <w:rPr>
                <w:spacing w:val="-4"/>
                <w:szCs w:val="24"/>
              </w:rPr>
            </w:pPr>
            <w:r w:rsidRPr="003C4CF6">
              <w:t>38 040</w:t>
            </w:r>
          </w:p>
        </w:tc>
        <w:tc>
          <w:tcPr>
            <w:tcW w:w="396" w:type="pct"/>
            <w:tcBorders>
              <w:top w:val="nil"/>
              <w:left w:val="nil"/>
              <w:bottom w:val="nil"/>
              <w:right w:val="nil"/>
            </w:tcBorders>
            <w:noWrap/>
            <w:hideMark/>
          </w:tcPr>
          <w:p w:rsidR="00E61862" w:rsidRPr="003C4CF6" w:rsidRDefault="00E61862" w:rsidP="004849FD">
            <w:pPr>
              <w:spacing w:before="60" w:after="60"/>
              <w:rPr>
                <w:spacing w:val="-4"/>
                <w:szCs w:val="24"/>
              </w:rPr>
            </w:pPr>
            <w:r w:rsidRPr="003C4CF6">
              <w:t>37 544</w:t>
            </w:r>
          </w:p>
        </w:tc>
        <w:tc>
          <w:tcPr>
            <w:tcW w:w="312" w:type="pct"/>
            <w:tcBorders>
              <w:top w:val="nil"/>
              <w:left w:val="nil"/>
              <w:bottom w:val="nil"/>
              <w:right w:val="nil"/>
            </w:tcBorders>
            <w:noWrap/>
            <w:hideMark/>
          </w:tcPr>
          <w:p w:rsidR="00E61862" w:rsidRPr="003C4CF6" w:rsidRDefault="00E61862" w:rsidP="004849FD">
            <w:pPr>
              <w:spacing w:before="60" w:after="60"/>
              <w:jc w:val="right"/>
              <w:rPr>
                <w:spacing w:val="-4"/>
                <w:szCs w:val="24"/>
              </w:rPr>
            </w:pPr>
            <w:r w:rsidRPr="003C4CF6">
              <w:t>36 857</w:t>
            </w:r>
          </w:p>
        </w:tc>
        <w:tc>
          <w:tcPr>
            <w:tcW w:w="332" w:type="pct"/>
            <w:tcBorders>
              <w:top w:val="nil"/>
              <w:left w:val="nil"/>
              <w:bottom w:val="nil"/>
              <w:right w:val="nil"/>
            </w:tcBorders>
            <w:noWrap/>
            <w:hideMark/>
          </w:tcPr>
          <w:p w:rsidR="00E61862" w:rsidRPr="003C4CF6" w:rsidRDefault="00E61862" w:rsidP="004849FD">
            <w:pPr>
              <w:spacing w:before="60" w:after="60"/>
              <w:jc w:val="right"/>
              <w:rPr>
                <w:spacing w:val="-4"/>
                <w:szCs w:val="24"/>
              </w:rPr>
            </w:pPr>
            <w:r w:rsidRPr="003C4CF6">
              <w:t>36 054</w:t>
            </w:r>
          </w:p>
        </w:tc>
        <w:tc>
          <w:tcPr>
            <w:tcW w:w="333" w:type="pct"/>
            <w:tcBorders>
              <w:top w:val="nil"/>
              <w:left w:val="nil"/>
              <w:bottom w:val="nil"/>
              <w:right w:val="nil"/>
            </w:tcBorders>
            <w:noWrap/>
            <w:hideMark/>
          </w:tcPr>
          <w:p w:rsidR="00E61862" w:rsidRPr="003C4CF6" w:rsidRDefault="00E61862" w:rsidP="004849FD">
            <w:pPr>
              <w:spacing w:before="60" w:after="60"/>
              <w:jc w:val="right"/>
              <w:rPr>
                <w:spacing w:val="-4"/>
                <w:szCs w:val="24"/>
              </w:rPr>
            </w:pPr>
            <w:r w:rsidRPr="003C4CF6">
              <w:t>35 283</w:t>
            </w:r>
          </w:p>
        </w:tc>
        <w:tc>
          <w:tcPr>
            <w:tcW w:w="333" w:type="pct"/>
            <w:tcBorders>
              <w:top w:val="nil"/>
              <w:left w:val="nil"/>
              <w:bottom w:val="nil"/>
              <w:right w:val="nil"/>
            </w:tcBorders>
            <w:noWrap/>
            <w:hideMark/>
          </w:tcPr>
          <w:p w:rsidR="00E61862" w:rsidRPr="003C4CF6" w:rsidRDefault="00E61862" w:rsidP="004849FD">
            <w:pPr>
              <w:spacing w:before="60" w:after="60"/>
              <w:jc w:val="right"/>
              <w:rPr>
                <w:spacing w:val="-4"/>
                <w:szCs w:val="24"/>
              </w:rPr>
            </w:pPr>
            <w:r w:rsidRPr="003C4CF6">
              <w:t>34 602</w:t>
            </w:r>
          </w:p>
        </w:tc>
        <w:tc>
          <w:tcPr>
            <w:tcW w:w="481" w:type="pct"/>
            <w:tcBorders>
              <w:top w:val="nil"/>
              <w:left w:val="nil"/>
              <w:bottom w:val="nil"/>
            </w:tcBorders>
            <w:noWrap/>
            <w:hideMark/>
          </w:tcPr>
          <w:p w:rsidR="00E61862" w:rsidRPr="003C4CF6" w:rsidRDefault="00E61862" w:rsidP="004849FD">
            <w:pPr>
              <w:spacing w:before="60" w:after="60"/>
              <w:jc w:val="right"/>
              <w:rPr>
                <w:spacing w:val="-4"/>
                <w:szCs w:val="24"/>
              </w:rPr>
            </w:pPr>
            <w:r w:rsidRPr="003C4CF6">
              <w:t>33 886</w:t>
            </w:r>
          </w:p>
        </w:tc>
        <w:tc>
          <w:tcPr>
            <w:tcW w:w="614" w:type="pct"/>
            <w:tcBorders>
              <w:top w:val="nil"/>
              <w:bottom w:val="nil"/>
            </w:tcBorders>
            <w:noWrap/>
            <w:hideMark/>
          </w:tcPr>
          <w:p w:rsidR="00E61862" w:rsidRPr="003C4CF6" w:rsidRDefault="00E61862" w:rsidP="004849FD">
            <w:pPr>
              <w:spacing w:before="60" w:after="60"/>
              <w:jc w:val="right"/>
              <w:rPr>
                <w:spacing w:val="-4"/>
                <w:szCs w:val="24"/>
              </w:rPr>
            </w:pPr>
            <w:r w:rsidRPr="003C4CF6">
              <w:t>252 266</w:t>
            </w:r>
          </w:p>
        </w:tc>
      </w:tr>
      <w:tr w:rsidR="00E61862" w:rsidRPr="003C4CF6" w:rsidTr="004849FD">
        <w:trPr>
          <w:trHeight w:val="290"/>
        </w:trPr>
        <w:tc>
          <w:tcPr>
            <w:tcW w:w="1745" w:type="pct"/>
            <w:tcBorders>
              <w:top w:val="nil"/>
              <w:bottom w:val="nil"/>
            </w:tcBorders>
            <w:noWrap/>
            <w:hideMark/>
          </w:tcPr>
          <w:p w:rsidR="00E61862" w:rsidRPr="003C4CF6" w:rsidRDefault="00E61862" w:rsidP="004849FD">
            <w:pPr>
              <w:pageBreakBefore/>
              <w:spacing w:before="60" w:after="60"/>
              <w:rPr>
                <w:b/>
                <w:bCs/>
                <w:szCs w:val="24"/>
              </w:rPr>
            </w:pPr>
            <w:r w:rsidRPr="003C4CF6">
              <w:rPr>
                <w:b/>
              </w:rPr>
              <w:t>4.</w:t>
            </w:r>
            <w:r w:rsidRPr="003C4CF6">
              <w:rPr>
                <w:b/>
              </w:rPr>
              <w:tab/>
              <w:t>Migracije i upravljanje granicama</w:t>
            </w:r>
          </w:p>
        </w:tc>
        <w:tc>
          <w:tcPr>
            <w:tcW w:w="453" w:type="pct"/>
            <w:tcBorders>
              <w:top w:val="nil"/>
              <w:bottom w:val="nil"/>
              <w:right w:val="nil"/>
            </w:tcBorders>
            <w:noWrap/>
            <w:hideMark/>
          </w:tcPr>
          <w:p w:rsidR="00E61862" w:rsidRPr="003C4CF6" w:rsidRDefault="00E61862" w:rsidP="004849FD">
            <w:pPr>
              <w:spacing w:before="60" w:after="60"/>
              <w:ind w:firstLineChars="3" w:firstLine="7"/>
              <w:jc w:val="right"/>
              <w:rPr>
                <w:b/>
                <w:spacing w:val="-4"/>
                <w:szCs w:val="24"/>
              </w:rPr>
            </w:pPr>
            <w:r w:rsidRPr="003C4CF6">
              <w:rPr>
                <w:b/>
              </w:rPr>
              <w:t>1 687</w:t>
            </w:r>
          </w:p>
        </w:tc>
        <w:tc>
          <w:tcPr>
            <w:tcW w:w="396" w:type="pct"/>
            <w:tcBorders>
              <w:top w:val="nil"/>
              <w:left w:val="nil"/>
              <w:bottom w:val="nil"/>
              <w:right w:val="nil"/>
            </w:tcBorders>
            <w:noWrap/>
            <w:hideMark/>
          </w:tcPr>
          <w:p w:rsidR="00E61862" w:rsidRPr="003C4CF6" w:rsidRDefault="00E61862" w:rsidP="004849FD">
            <w:pPr>
              <w:spacing w:before="60" w:after="60"/>
              <w:ind w:firstLineChars="3" w:firstLine="7"/>
              <w:jc w:val="right"/>
              <w:rPr>
                <w:b/>
                <w:bCs/>
                <w:szCs w:val="24"/>
              </w:rPr>
            </w:pPr>
            <w:r w:rsidRPr="003C4CF6">
              <w:rPr>
                <w:b/>
              </w:rPr>
              <w:t>3 104</w:t>
            </w:r>
          </w:p>
        </w:tc>
        <w:tc>
          <w:tcPr>
            <w:tcW w:w="312" w:type="pct"/>
            <w:tcBorders>
              <w:top w:val="nil"/>
              <w:left w:val="nil"/>
              <w:bottom w:val="nil"/>
              <w:right w:val="nil"/>
            </w:tcBorders>
            <w:noWrap/>
            <w:hideMark/>
          </w:tcPr>
          <w:p w:rsidR="00E61862" w:rsidRPr="003C4CF6" w:rsidRDefault="00E61862" w:rsidP="004849FD">
            <w:pPr>
              <w:spacing w:before="60" w:after="60"/>
              <w:ind w:firstLineChars="3" w:firstLine="7"/>
              <w:jc w:val="right"/>
              <w:rPr>
                <w:b/>
                <w:bCs/>
                <w:szCs w:val="24"/>
              </w:rPr>
            </w:pPr>
            <w:r w:rsidRPr="003C4CF6">
              <w:rPr>
                <w:b/>
              </w:rPr>
              <w:t>3 454</w:t>
            </w:r>
          </w:p>
        </w:tc>
        <w:tc>
          <w:tcPr>
            <w:tcW w:w="332" w:type="pct"/>
            <w:tcBorders>
              <w:top w:val="nil"/>
              <w:left w:val="nil"/>
              <w:bottom w:val="nil"/>
              <w:right w:val="nil"/>
            </w:tcBorders>
            <w:noWrap/>
            <w:hideMark/>
          </w:tcPr>
          <w:p w:rsidR="00E61862" w:rsidRPr="003C4CF6" w:rsidRDefault="00E61862" w:rsidP="004849FD">
            <w:pPr>
              <w:spacing w:before="60" w:after="60"/>
              <w:ind w:firstLineChars="3" w:firstLine="7"/>
              <w:jc w:val="right"/>
              <w:rPr>
                <w:b/>
                <w:spacing w:val="-4"/>
                <w:szCs w:val="24"/>
              </w:rPr>
            </w:pPr>
            <w:r w:rsidRPr="003C4CF6">
              <w:rPr>
                <w:b/>
              </w:rPr>
              <w:t>3 569</w:t>
            </w:r>
          </w:p>
        </w:tc>
        <w:tc>
          <w:tcPr>
            <w:tcW w:w="333" w:type="pct"/>
            <w:tcBorders>
              <w:top w:val="nil"/>
              <w:left w:val="nil"/>
              <w:bottom w:val="nil"/>
              <w:right w:val="nil"/>
            </w:tcBorders>
            <w:noWrap/>
            <w:hideMark/>
          </w:tcPr>
          <w:p w:rsidR="00E61862" w:rsidRPr="003C4CF6" w:rsidRDefault="00E61862" w:rsidP="004849FD">
            <w:pPr>
              <w:spacing w:before="60" w:after="60"/>
              <w:ind w:firstLineChars="3" w:firstLine="7"/>
              <w:jc w:val="right"/>
              <w:rPr>
                <w:b/>
                <w:bCs/>
                <w:szCs w:val="24"/>
              </w:rPr>
            </w:pPr>
            <w:r w:rsidRPr="003C4CF6">
              <w:rPr>
                <w:b/>
              </w:rPr>
              <w:t>4 083</w:t>
            </w:r>
          </w:p>
        </w:tc>
        <w:tc>
          <w:tcPr>
            <w:tcW w:w="333" w:type="pct"/>
            <w:tcBorders>
              <w:top w:val="nil"/>
              <w:left w:val="nil"/>
              <w:bottom w:val="nil"/>
              <w:right w:val="nil"/>
            </w:tcBorders>
            <w:noWrap/>
            <w:hideMark/>
          </w:tcPr>
          <w:p w:rsidR="00E61862" w:rsidRPr="003C4CF6" w:rsidRDefault="00E61862" w:rsidP="004849FD">
            <w:pPr>
              <w:spacing w:before="60" w:after="60"/>
              <w:ind w:firstLineChars="3" w:firstLine="7"/>
              <w:jc w:val="right"/>
              <w:rPr>
                <w:b/>
                <w:bCs/>
                <w:szCs w:val="24"/>
              </w:rPr>
            </w:pPr>
            <w:r w:rsidRPr="003C4CF6">
              <w:rPr>
                <w:b/>
              </w:rPr>
              <w:t>4 145</w:t>
            </w:r>
          </w:p>
        </w:tc>
        <w:tc>
          <w:tcPr>
            <w:tcW w:w="481" w:type="pct"/>
            <w:tcBorders>
              <w:top w:val="nil"/>
              <w:left w:val="nil"/>
              <w:bottom w:val="nil"/>
            </w:tcBorders>
            <w:noWrap/>
            <w:hideMark/>
          </w:tcPr>
          <w:p w:rsidR="00E61862" w:rsidRPr="003C4CF6" w:rsidRDefault="00E61862" w:rsidP="004849FD">
            <w:pPr>
              <w:spacing w:before="60" w:after="60"/>
              <w:ind w:firstLineChars="3" w:firstLine="7"/>
              <w:jc w:val="right"/>
              <w:rPr>
                <w:b/>
                <w:bCs/>
                <w:szCs w:val="24"/>
              </w:rPr>
            </w:pPr>
            <w:r w:rsidRPr="003C4CF6">
              <w:rPr>
                <w:b/>
              </w:rPr>
              <w:t>4 701</w:t>
            </w:r>
          </w:p>
        </w:tc>
        <w:tc>
          <w:tcPr>
            <w:tcW w:w="614" w:type="pct"/>
            <w:tcBorders>
              <w:top w:val="nil"/>
              <w:bottom w:val="nil"/>
            </w:tcBorders>
            <w:noWrap/>
            <w:hideMark/>
          </w:tcPr>
          <w:p w:rsidR="00E61862" w:rsidRPr="003C4CF6" w:rsidRDefault="00E61862" w:rsidP="004849FD">
            <w:pPr>
              <w:spacing w:before="60" w:after="60"/>
              <w:ind w:firstLineChars="3" w:firstLine="7"/>
              <w:jc w:val="right"/>
              <w:rPr>
                <w:b/>
                <w:bCs/>
                <w:szCs w:val="24"/>
              </w:rPr>
            </w:pPr>
            <w:r w:rsidRPr="003C4CF6">
              <w:rPr>
                <w:b/>
              </w:rPr>
              <w:t>24 743</w:t>
            </w:r>
          </w:p>
        </w:tc>
      </w:tr>
      <w:tr w:rsidR="00E61862" w:rsidRPr="003C4CF6" w:rsidTr="004849FD">
        <w:trPr>
          <w:trHeight w:val="290"/>
        </w:trPr>
        <w:tc>
          <w:tcPr>
            <w:tcW w:w="1745" w:type="pct"/>
            <w:tcBorders>
              <w:top w:val="nil"/>
              <w:bottom w:val="nil"/>
            </w:tcBorders>
            <w:noWrap/>
            <w:hideMark/>
          </w:tcPr>
          <w:p w:rsidR="00E61862" w:rsidRPr="003C4CF6" w:rsidRDefault="00E61862" w:rsidP="004849FD">
            <w:pPr>
              <w:spacing w:before="60" w:after="60"/>
              <w:rPr>
                <w:b/>
                <w:bCs/>
                <w:szCs w:val="24"/>
              </w:rPr>
            </w:pPr>
            <w:r w:rsidRPr="003C4CF6">
              <w:rPr>
                <w:b/>
              </w:rPr>
              <w:t>5.</w:t>
            </w:r>
            <w:r w:rsidRPr="003C4CF6">
              <w:rPr>
                <w:b/>
              </w:rPr>
              <w:tab/>
              <w:t>Sigurnost i obrana</w:t>
            </w:r>
          </w:p>
        </w:tc>
        <w:tc>
          <w:tcPr>
            <w:tcW w:w="453" w:type="pct"/>
            <w:tcBorders>
              <w:top w:val="nil"/>
              <w:bottom w:val="nil"/>
              <w:right w:val="nil"/>
            </w:tcBorders>
            <w:noWrap/>
            <w:hideMark/>
          </w:tcPr>
          <w:p w:rsidR="00E61862" w:rsidRPr="003C4CF6" w:rsidRDefault="00E61862" w:rsidP="004849FD">
            <w:pPr>
              <w:spacing w:before="60" w:after="60"/>
              <w:ind w:firstLineChars="3" w:firstLine="7"/>
              <w:jc w:val="right"/>
              <w:rPr>
                <w:b/>
                <w:bCs/>
                <w:szCs w:val="24"/>
              </w:rPr>
            </w:pPr>
            <w:r w:rsidRPr="003C4CF6">
              <w:rPr>
                <w:b/>
              </w:rPr>
              <w:t>1 598</w:t>
            </w:r>
          </w:p>
        </w:tc>
        <w:tc>
          <w:tcPr>
            <w:tcW w:w="396" w:type="pct"/>
            <w:tcBorders>
              <w:top w:val="nil"/>
              <w:left w:val="nil"/>
              <w:bottom w:val="nil"/>
              <w:right w:val="nil"/>
            </w:tcBorders>
            <w:noWrap/>
            <w:hideMark/>
          </w:tcPr>
          <w:p w:rsidR="00E61862" w:rsidRPr="003C4CF6" w:rsidRDefault="00E61862" w:rsidP="004849FD">
            <w:pPr>
              <w:spacing w:before="60" w:after="60"/>
              <w:ind w:firstLineChars="3" w:firstLine="7"/>
              <w:jc w:val="right"/>
              <w:rPr>
                <w:b/>
                <w:spacing w:val="-4"/>
                <w:szCs w:val="24"/>
              </w:rPr>
            </w:pPr>
            <w:r w:rsidRPr="003C4CF6">
              <w:rPr>
                <w:b/>
              </w:rPr>
              <w:t>1 750</w:t>
            </w:r>
          </w:p>
        </w:tc>
        <w:tc>
          <w:tcPr>
            <w:tcW w:w="312" w:type="pct"/>
            <w:tcBorders>
              <w:top w:val="nil"/>
              <w:left w:val="nil"/>
              <w:bottom w:val="nil"/>
              <w:right w:val="nil"/>
            </w:tcBorders>
            <w:noWrap/>
            <w:hideMark/>
          </w:tcPr>
          <w:p w:rsidR="00E61862" w:rsidRPr="003C4CF6" w:rsidRDefault="00E61862" w:rsidP="004849FD">
            <w:pPr>
              <w:spacing w:before="60" w:after="60"/>
              <w:ind w:firstLineChars="3" w:firstLine="7"/>
              <w:jc w:val="right"/>
              <w:rPr>
                <w:b/>
                <w:spacing w:val="-4"/>
                <w:szCs w:val="24"/>
              </w:rPr>
            </w:pPr>
            <w:r w:rsidRPr="003C4CF6">
              <w:rPr>
                <w:b/>
              </w:rPr>
              <w:t>1 762</w:t>
            </w:r>
          </w:p>
        </w:tc>
        <w:tc>
          <w:tcPr>
            <w:tcW w:w="332" w:type="pct"/>
            <w:tcBorders>
              <w:top w:val="nil"/>
              <w:left w:val="nil"/>
              <w:bottom w:val="nil"/>
              <w:right w:val="nil"/>
            </w:tcBorders>
            <w:noWrap/>
            <w:hideMark/>
          </w:tcPr>
          <w:p w:rsidR="00E61862" w:rsidRPr="003C4CF6" w:rsidRDefault="00E61862" w:rsidP="004849FD">
            <w:pPr>
              <w:spacing w:before="60" w:after="60"/>
              <w:ind w:firstLineChars="3" w:firstLine="7"/>
              <w:jc w:val="right"/>
              <w:rPr>
                <w:b/>
                <w:bCs/>
                <w:szCs w:val="24"/>
              </w:rPr>
            </w:pPr>
            <w:r w:rsidRPr="003C4CF6">
              <w:rPr>
                <w:b/>
              </w:rPr>
              <w:t>2 112</w:t>
            </w:r>
          </w:p>
        </w:tc>
        <w:tc>
          <w:tcPr>
            <w:tcW w:w="333" w:type="pct"/>
            <w:tcBorders>
              <w:top w:val="nil"/>
              <w:left w:val="nil"/>
              <w:bottom w:val="nil"/>
              <w:right w:val="nil"/>
            </w:tcBorders>
            <w:noWrap/>
            <w:hideMark/>
          </w:tcPr>
          <w:p w:rsidR="00E61862" w:rsidRPr="003C4CF6" w:rsidRDefault="00E61862" w:rsidP="004849FD">
            <w:pPr>
              <w:spacing w:before="60" w:after="60"/>
              <w:ind w:firstLineChars="3" w:firstLine="7"/>
              <w:jc w:val="right"/>
              <w:rPr>
                <w:b/>
                <w:bCs/>
                <w:szCs w:val="24"/>
              </w:rPr>
            </w:pPr>
            <w:r w:rsidRPr="003C4CF6">
              <w:rPr>
                <w:b/>
              </w:rPr>
              <w:t>2 277</w:t>
            </w:r>
          </w:p>
        </w:tc>
        <w:tc>
          <w:tcPr>
            <w:tcW w:w="333" w:type="pct"/>
            <w:tcBorders>
              <w:top w:val="nil"/>
              <w:left w:val="nil"/>
              <w:bottom w:val="nil"/>
              <w:right w:val="nil"/>
            </w:tcBorders>
            <w:noWrap/>
            <w:hideMark/>
          </w:tcPr>
          <w:p w:rsidR="00E61862" w:rsidRPr="003C4CF6" w:rsidRDefault="00E61862" w:rsidP="004849FD">
            <w:pPr>
              <w:spacing w:before="60" w:after="60"/>
              <w:ind w:firstLineChars="3" w:firstLine="7"/>
              <w:jc w:val="right"/>
              <w:rPr>
                <w:b/>
                <w:bCs/>
                <w:szCs w:val="24"/>
              </w:rPr>
            </w:pPr>
            <w:r w:rsidRPr="003C4CF6">
              <w:rPr>
                <w:b/>
              </w:rPr>
              <w:t>2 398</w:t>
            </w:r>
          </w:p>
        </w:tc>
        <w:tc>
          <w:tcPr>
            <w:tcW w:w="481" w:type="pct"/>
            <w:tcBorders>
              <w:top w:val="nil"/>
              <w:left w:val="nil"/>
              <w:bottom w:val="nil"/>
            </w:tcBorders>
            <w:noWrap/>
            <w:hideMark/>
          </w:tcPr>
          <w:p w:rsidR="00E61862" w:rsidRPr="003C4CF6" w:rsidRDefault="00E61862" w:rsidP="004849FD">
            <w:pPr>
              <w:spacing w:before="60" w:after="60"/>
              <w:ind w:firstLineChars="3" w:firstLine="7"/>
              <w:jc w:val="right"/>
              <w:rPr>
                <w:b/>
                <w:bCs/>
                <w:szCs w:val="24"/>
              </w:rPr>
            </w:pPr>
            <w:r w:rsidRPr="003C4CF6">
              <w:rPr>
                <w:b/>
              </w:rPr>
              <w:t>2 576</w:t>
            </w:r>
          </w:p>
        </w:tc>
        <w:tc>
          <w:tcPr>
            <w:tcW w:w="614" w:type="pct"/>
            <w:tcBorders>
              <w:top w:val="nil"/>
              <w:bottom w:val="nil"/>
            </w:tcBorders>
            <w:noWrap/>
            <w:hideMark/>
          </w:tcPr>
          <w:p w:rsidR="00E61862" w:rsidRPr="003C4CF6" w:rsidRDefault="00E61862" w:rsidP="004849FD">
            <w:pPr>
              <w:spacing w:before="60" w:after="60"/>
              <w:ind w:firstLineChars="3" w:firstLine="7"/>
              <w:jc w:val="right"/>
              <w:rPr>
                <w:b/>
                <w:bCs/>
                <w:szCs w:val="24"/>
              </w:rPr>
            </w:pPr>
            <w:r w:rsidRPr="003C4CF6">
              <w:rPr>
                <w:b/>
              </w:rPr>
              <w:t>14 473</w:t>
            </w:r>
          </w:p>
        </w:tc>
      </w:tr>
      <w:tr w:rsidR="00E61862" w:rsidRPr="003C4CF6" w:rsidTr="004849FD">
        <w:trPr>
          <w:trHeight w:val="290"/>
        </w:trPr>
        <w:tc>
          <w:tcPr>
            <w:tcW w:w="1745" w:type="pct"/>
            <w:tcBorders>
              <w:top w:val="nil"/>
              <w:bottom w:val="nil"/>
            </w:tcBorders>
            <w:noWrap/>
            <w:hideMark/>
          </w:tcPr>
          <w:p w:rsidR="00E61862" w:rsidRPr="003C4CF6" w:rsidRDefault="00E61862" w:rsidP="004849FD">
            <w:pPr>
              <w:spacing w:before="60" w:after="60"/>
              <w:rPr>
                <w:b/>
                <w:bCs/>
                <w:szCs w:val="24"/>
              </w:rPr>
            </w:pPr>
            <w:r w:rsidRPr="003C4CF6">
              <w:rPr>
                <w:b/>
              </w:rPr>
              <w:t>6.</w:t>
            </w:r>
            <w:r w:rsidRPr="003C4CF6">
              <w:rPr>
                <w:b/>
              </w:rPr>
              <w:tab/>
              <w:t>Susjedstvo i svijet</w:t>
            </w:r>
          </w:p>
        </w:tc>
        <w:tc>
          <w:tcPr>
            <w:tcW w:w="453" w:type="pct"/>
            <w:tcBorders>
              <w:top w:val="nil"/>
              <w:bottom w:val="nil"/>
              <w:right w:val="nil"/>
            </w:tcBorders>
            <w:noWrap/>
            <w:hideMark/>
          </w:tcPr>
          <w:p w:rsidR="00E61862" w:rsidRPr="003C4CF6" w:rsidRDefault="00E61862" w:rsidP="004849FD">
            <w:pPr>
              <w:spacing w:before="60" w:after="60"/>
              <w:ind w:firstLineChars="3" w:firstLine="7"/>
              <w:jc w:val="right"/>
              <w:rPr>
                <w:b/>
                <w:spacing w:val="-4"/>
                <w:szCs w:val="24"/>
              </w:rPr>
            </w:pPr>
            <w:r w:rsidRPr="003C4CF6">
              <w:rPr>
                <w:b/>
              </w:rPr>
              <w:t>15 309</w:t>
            </w:r>
          </w:p>
        </w:tc>
        <w:tc>
          <w:tcPr>
            <w:tcW w:w="396" w:type="pct"/>
            <w:tcBorders>
              <w:top w:val="nil"/>
              <w:left w:val="nil"/>
              <w:bottom w:val="nil"/>
              <w:right w:val="nil"/>
            </w:tcBorders>
            <w:noWrap/>
            <w:hideMark/>
          </w:tcPr>
          <w:p w:rsidR="00E61862" w:rsidRPr="003C4CF6" w:rsidRDefault="00E61862" w:rsidP="004849FD">
            <w:pPr>
              <w:spacing w:before="60" w:after="60"/>
              <w:ind w:firstLineChars="3" w:firstLine="7"/>
              <w:jc w:val="right"/>
              <w:rPr>
                <w:b/>
                <w:bCs/>
                <w:szCs w:val="24"/>
              </w:rPr>
            </w:pPr>
            <w:r w:rsidRPr="003C4CF6">
              <w:rPr>
                <w:b/>
              </w:rPr>
              <w:t>15 522</w:t>
            </w:r>
          </w:p>
        </w:tc>
        <w:tc>
          <w:tcPr>
            <w:tcW w:w="312" w:type="pct"/>
            <w:tcBorders>
              <w:top w:val="nil"/>
              <w:left w:val="nil"/>
              <w:bottom w:val="nil"/>
              <w:right w:val="nil"/>
            </w:tcBorders>
            <w:noWrap/>
            <w:hideMark/>
          </w:tcPr>
          <w:p w:rsidR="00E61862" w:rsidRPr="003C4CF6" w:rsidRDefault="00E61862" w:rsidP="004849FD">
            <w:pPr>
              <w:spacing w:before="60" w:after="60"/>
              <w:ind w:firstLineChars="3" w:firstLine="7"/>
              <w:jc w:val="right"/>
              <w:rPr>
                <w:b/>
                <w:bCs/>
                <w:szCs w:val="24"/>
              </w:rPr>
            </w:pPr>
            <w:r w:rsidRPr="003C4CF6">
              <w:rPr>
                <w:b/>
              </w:rPr>
              <w:t>14 789</w:t>
            </w:r>
          </w:p>
        </w:tc>
        <w:tc>
          <w:tcPr>
            <w:tcW w:w="332" w:type="pct"/>
            <w:tcBorders>
              <w:top w:val="nil"/>
              <w:left w:val="nil"/>
              <w:bottom w:val="nil"/>
              <w:right w:val="nil"/>
            </w:tcBorders>
            <w:noWrap/>
            <w:hideMark/>
          </w:tcPr>
          <w:p w:rsidR="00E61862" w:rsidRPr="003C4CF6" w:rsidRDefault="00E61862" w:rsidP="004849FD">
            <w:pPr>
              <w:spacing w:before="60" w:after="60"/>
              <w:ind w:firstLineChars="3" w:firstLine="7"/>
              <w:jc w:val="right"/>
              <w:rPr>
                <w:b/>
                <w:spacing w:val="-4"/>
                <w:szCs w:val="24"/>
              </w:rPr>
            </w:pPr>
            <w:r w:rsidRPr="003C4CF6">
              <w:rPr>
                <w:b/>
              </w:rPr>
              <w:t>14 500</w:t>
            </w:r>
          </w:p>
        </w:tc>
        <w:tc>
          <w:tcPr>
            <w:tcW w:w="333" w:type="pct"/>
            <w:tcBorders>
              <w:top w:val="nil"/>
              <w:left w:val="nil"/>
              <w:bottom w:val="nil"/>
              <w:right w:val="nil"/>
            </w:tcBorders>
            <w:noWrap/>
            <w:hideMark/>
          </w:tcPr>
          <w:p w:rsidR="00E61862" w:rsidRPr="003C4CF6" w:rsidRDefault="00E61862" w:rsidP="004849FD">
            <w:pPr>
              <w:spacing w:before="60" w:after="60"/>
              <w:ind w:firstLineChars="3" w:firstLine="7"/>
              <w:jc w:val="right"/>
              <w:rPr>
                <w:b/>
                <w:bCs/>
                <w:szCs w:val="24"/>
              </w:rPr>
            </w:pPr>
            <w:r w:rsidRPr="003C4CF6">
              <w:rPr>
                <w:b/>
              </w:rPr>
              <w:t>14 192</w:t>
            </w:r>
          </w:p>
        </w:tc>
        <w:tc>
          <w:tcPr>
            <w:tcW w:w="333" w:type="pct"/>
            <w:tcBorders>
              <w:top w:val="nil"/>
              <w:left w:val="nil"/>
              <w:bottom w:val="nil"/>
              <w:right w:val="nil"/>
            </w:tcBorders>
            <w:noWrap/>
            <w:hideMark/>
          </w:tcPr>
          <w:p w:rsidR="00E61862" w:rsidRPr="003C4CF6" w:rsidRDefault="00E61862" w:rsidP="004849FD">
            <w:pPr>
              <w:spacing w:before="60" w:after="60"/>
              <w:ind w:firstLineChars="3" w:firstLine="7"/>
              <w:jc w:val="right"/>
              <w:rPr>
                <w:b/>
                <w:spacing w:val="-4"/>
                <w:szCs w:val="24"/>
              </w:rPr>
            </w:pPr>
            <w:r w:rsidRPr="003C4CF6">
              <w:rPr>
                <w:b/>
              </w:rPr>
              <w:t>13 326</w:t>
            </w:r>
          </w:p>
        </w:tc>
        <w:tc>
          <w:tcPr>
            <w:tcW w:w="481" w:type="pct"/>
            <w:tcBorders>
              <w:top w:val="nil"/>
              <w:left w:val="nil"/>
              <w:bottom w:val="nil"/>
            </w:tcBorders>
            <w:noWrap/>
            <w:hideMark/>
          </w:tcPr>
          <w:p w:rsidR="00E61862" w:rsidRPr="003C4CF6" w:rsidRDefault="00E61862" w:rsidP="004849FD">
            <w:pPr>
              <w:spacing w:before="60" w:after="60"/>
              <w:ind w:firstLineChars="3" w:firstLine="7"/>
              <w:jc w:val="right"/>
              <w:rPr>
                <w:b/>
                <w:bCs/>
                <w:szCs w:val="24"/>
              </w:rPr>
            </w:pPr>
            <w:r w:rsidRPr="003C4CF6">
              <w:rPr>
                <w:b/>
              </w:rPr>
              <w:t>13 447</w:t>
            </w:r>
          </w:p>
        </w:tc>
        <w:tc>
          <w:tcPr>
            <w:tcW w:w="614" w:type="pct"/>
            <w:tcBorders>
              <w:top w:val="nil"/>
              <w:bottom w:val="nil"/>
            </w:tcBorders>
            <w:noWrap/>
            <w:hideMark/>
          </w:tcPr>
          <w:p w:rsidR="00E61862" w:rsidRPr="003C4CF6" w:rsidRDefault="00E61862" w:rsidP="004849FD">
            <w:pPr>
              <w:spacing w:before="60" w:after="60"/>
              <w:ind w:firstLineChars="3" w:firstLine="7"/>
              <w:jc w:val="right"/>
              <w:rPr>
                <w:b/>
                <w:spacing w:val="-4"/>
                <w:szCs w:val="24"/>
              </w:rPr>
            </w:pPr>
            <w:r w:rsidRPr="003C4CF6">
              <w:rPr>
                <w:b/>
              </w:rPr>
              <w:t>101 085</w:t>
            </w:r>
          </w:p>
        </w:tc>
      </w:tr>
      <w:tr w:rsidR="00E61862" w:rsidRPr="003C4CF6" w:rsidTr="004849FD">
        <w:trPr>
          <w:trHeight w:val="290"/>
        </w:trPr>
        <w:tc>
          <w:tcPr>
            <w:tcW w:w="1745" w:type="pct"/>
            <w:tcBorders>
              <w:top w:val="nil"/>
              <w:bottom w:val="nil"/>
            </w:tcBorders>
            <w:noWrap/>
            <w:hideMark/>
          </w:tcPr>
          <w:p w:rsidR="00E61862" w:rsidRPr="003C4CF6" w:rsidRDefault="00E61862" w:rsidP="004849FD">
            <w:pPr>
              <w:spacing w:before="60" w:after="60"/>
              <w:rPr>
                <w:b/>
                <w:bCs/>
                <w:szCs w:val="24"/>
              </w:rPr>
            </w:pPr>
            <w:r w:rsidRPr="003C4CF6">
              <w:rPr>
                <w:b/>
              </w:rPr>
              <w:t>7.</w:t>
            </w:r>
            <w:r w:rsidRPr="003C4CF6">
              <w:rPr>
                <w:b/>
              </w:rPr>
              <w:tab/>
              <w:t>Europska javna uprava</w:t>
            </w:r>
          </w:p>
        </w:tc>
        <w:tc>
          <w:tcPr>
            <w:tcW w:w="453" w:type="pct"/>
            <w:tcBorders>
              <w:top w:val="nil"/>
              <w:bottom w:val="nil"/>
              <w:right w:val="nil"/>
            </w:tcBorders>
            <w:noWrap/>
            <w:hideMark/>
          </w:tcPr>
          <w:p w:rsidR="00E61862" w:rsidRPr="003C4CF6" w:rsidRDefault="00E61862" w:rsidP="004849FD">
            <w:pPr>
              <w:spacing w:before="60" w:after="60"/>
              <w:ind w:firstLineChars="3" w:firstLine="7"/>
              <w:jc w:val="right"/>
              <w:rPr>
                <w:b/>
                <w:spacing w:val="-4"/>
                <w:szCs w:val="24"/>
              </w:rPr>
            </w:pPr>
            <w:r w:rsidRPr="003C4CF6">
              <w:rPr>
                <w:b/>
              </w:rPr>
              <w:t>10 021</w:t>
            </w:r>
          </w:p>
        </w:tc>
        <w:tc>
          <w:tcPr>
            <w:tcW w:w="396" w:type="pct"/>
            <w:tcBorders>
              <w:top w:val="nil"/>
              <w:left w:val="nil"/>
              <w:bottom w:val="nil"/>
              <w:right w:val="nil"/>
            </w:tcBorders>
            <w:noWrap/>
            <w:hideMark/>
          </w:tcPr>
          <w:p w:rsidR="00E61862" w:rsidRPr="003C4CF6" w:rsidRDefault="00E61862" w:rsidP="004849FD">
            <w:pPr>
              <w:spacing w:before="60" w:after="60"/>
              <w:ind w:firstLineChars="3" w:firstLine="7"/>
              <w:jc w:val="right"/>
              <w:rPr>
                <w:b/>
                <w:bCs/>
                <w:szCs w:val="24"/>
              </w:rPr>
            </w:pPr>
            <w:r w:rsidRPr="003C4CF6">
              <w:rPr>
                <w:b/>
              </w:rPr>
              <w:t>10 215</w:t>
            </w:r>
          </w:p>
        </w:tc>
        <w:tc>
          <w:tcPr>
            <w:tcW w:w="312" w:type="pct"/>
            <w:tcBorders>
              <w:top w:val="nil"/>
              <w:left w:val="nil"/>
              <w:bottom w:val="nil"/>
              <w:right w:val="nil"/>
            </w:tcBorders>
            <w:noWrap/>
            <w:hideMark/>
          </w:tcPr>
          <w:p w:rsidR="00E61862" w:rsidRPr="003C4CF6" w:rsidRDefault="00E61862" w:rsidP="004849FD">
            <w:pPr>
              <w:spacing w:before="60" w:after="60"/>
              <w:ind w:firstLineChars="3" w:firstLine="7"/>
              <w:jc w:val="right"/>
              <w:rPr>
                <w:b/>
                <w:spacing w:val="-4"/>
                <w:szCs w:val="24"/>
              </w:rPr>
            </w:pPr>
            <w:r w:rsidRPr="003C4CF6">
              <w:rPr>
                <w:b/>
              </w:rPr>
              <w:t>10 342</w:t>
            </w:r>
          </w:p>
        </w:tc>
        <w:tc>
          <w:tcPr>
            <w:tcW w:w="332" w:type="pct"/>
            <w:tcBorders>
              <w:top w:val="nil"/>
              <w:left w:val="nil"/>
              <w:bottom w:val="nil"/>
              <w:right w:val="nil"/>
            </w:tcBorders>
            <w:noWrap/>
            <w:hideMark/>
          </w:tcPr>
          <w:p w:rsidR="00E61862" w:rsidRPr="003C4CF6" w:rsidRDefault="00E61862" w:rsidP="004849FD">
            <w:pPr>
              <w:spacing w:before="60" w:after="60"/>
              <w:ind w:firstLineChars="3" w:firstLine="7"/>
              <w:jc w:val="right"/>
              <w:rPr>
                <w:b/>
                <w:spacing w:val="-4"/>
                <w:szCs w:val="24"/>
              </w:rPr>
            </w:pPr>
            <w:r w:rsidRPr="003C4CF6">
              <w:rPr>
                <w:b/>
              </w:rPr>
              <w:t>10 454</w:t>
            </w:r>
          </w:p>
        </w:tc>
        <w:tc>
          <w:tcPr>
            <w:tcW w:w="333" w:type="pct"/>
            <w:tcBorders>
              <w:top w:val="nil"/>
              <w:left w:val="nil"/>
              <w:bottom w:val="nil"/>
              <w:right w:val="nil"/>
            </w:tcBorders>
            <w:noWrap/>
            <w:hideMark/>
          </w:tcPr>
          <w:p w:rsidR="00E61862" w:rsidRPr="003C4CF6" w:rsidRDefault="00E61862" w:rsidP="004849FD">
            <w:pPr>
              <w:spacing w:before="60" w:after="60"/>
              <w:ind w:firstLineChars="3" w:firstLine="7"/>
              <w:jc w:val="right"/>
              <w:rPr>
                <w:b/>
                <w:spacing w:val="-4"/>
                <w:szCs w:val="24"/>
              </w:rPr>
            </w:pPr>
            <w:r w:rsidRPr="003C4CF6">
              <w:rPr>
                <w:b/>
              </w:rPr>
              <w:t>10 554</w:t>
            </w:r>
          </w:p>
        </w:tc>
        <w:tc>
          <w:tcPr>
            <w:tcW w:w="333" w:type="pct"/>
            <w:tcBorders>
              <w:top w:val="nil"/>
              <w:left w:val="nil"/>
              <w:bottom w:val="nil"/>
              <w:right w:val="nil"/>
            </w:tcBorders>
            <w:noWrap/>
            <w:hideMark/>
          </w:tcPr>
          <w:p w:rsidR="00E61862" w:rsidRPr="003C4CF6" w:rsidRDefault="00E61862" w:rsidP="004849FD">
            <w:pPr>
              <w:spacing w:before="60" w:after="60"/>
              <w:ind w:firstLineChars="3" w:firstLine="7"/>
              <w:jc w:val="right"/>
              <w:rPr>
                <w:b/>
                <w:spacing w:val="-4"/>
                <w:szCs w:val="24"/>
              </w:rPr>
            </w:pPr>
            <w:r w:rsidRPr="003C4CF6">
              <w:rPr>
                <w:b/>
              </w:rPr>
              <w:t>10 673</w:t>
            </w:r>
          </w:p>
        </w:tc>
        <w:tc>
          <w:tcPr>
            <w:tcW w:w="481" w:type="pct"/>
            <w:tcBorders>
              <w:top w:val="nil"/>
              <w:left w:val="nil"/>
              <w:bottom w:val="nil"/>
            </w:tcBorders>
            <w:noWrap/>
            <w:hideMark/>
          </w:tcPr>
          <w:p w:rsidR="00E61862" w:rsidRPr="003C4CF6" w:rsidRDefault="00E61862" w:rsidP="004849FD">
            <w:pPr>
              <w:spacing w:before="60" w:after="60"/>
              <w:ind w:firstLineChars="3" w:firstLine="7"/>
              <w:jc w:val="right"/>
              <w:rPr>
                <w:b/>
                <w:bCs/>
                <w:szCs w:val="24"/>
              </w:rPr>
            </w:pPr>
            <w:r w:rsidRPr="003C4CF6">
              <w:rPr>
                <w:b/>
              </w:rPr>
              <w:t>10 843</w:t>
            </w:r>
          </w:p>
        </w:tc>
        <w:tc>
          <w:tcPr>
            <w:tcW w:w="614" w:type="pct"/>
            <w:tcBorders>
              <w:top w:val="nil"/>
              <w:bottom w:val="nil"/>
            </w:tcBorders>
            <w:noWrap/>
            <w:hideMark/>
          </w:tcPr>
          <w:p w:rsidR="00E61862" w:rsidRPr="003C4CF6" w:rsidRDefault="00E61862" w:rsidP="004849FD">
            <w:pPr>
              <w:spacing w:before="60" w:after="60"/>
              <w:ind w:firstLineChars="3" w:firstLine="7"/>
              <w:jc w:val="right"/>
              <w:rPr>
                <w:b/>
                <w:bCs/>
                <w:szCs w:val="24"/>
              </w:rPr>
            </w:pPr>
            <w:r w:rsidRPr="003C4CF6">
              <w:rPr>
                <w:b/>
              </w:rPr>
              <w:t>73 102</w:t>
            </w:r>
          </w:p>
        </w:tc>
      </w:tr>
      <w:tr w:rsidR="00E61862" w:rsidRPr="003C4CF6" w:rsidTr="004849FD">
        <w:trPr>
          <w:trHeight w:val="304"/>
        </w:trPr>
        <w:tc>
          <w:tcPr>
            <w:tcW w:w="1745" w:type="pct"/>
            <w:tcBorders>
              <w:top w:val="nil"/>
              <w:bottom w:val="single" w:sz="4" w:space="0" w:color="auto"/>
            </w:tcBorders>
            <w:noWrap/>
            <w:hideMark/>
          </w:tcPr>
          <w:p w:rsidR="00E61862" w:rsidRPr="003C4CF6" w:rsidRDefault="00E61862" w:rsidP="004849FD">
            <w:pPr>
              <w:spacing w:before="60" w:after="60"/>
              <w:ind w:left="709"/>
              <w:rPr>
                <w:szCs w:val="24"/>
              </w:rPr>
            </w:pPr>
            <w:r w:rsidRPr="003C4CF6">
              <w:t>od čega: administrativni rashodi institucija</w:t>
            </w:r>
          </w:p>
        </w:tc>
        <w:tc>
          <w:tcPr>
            <w:tcW w:w="453" w:type="pct"/>
            <w:tcBorders>
              <w:top w:val="nil"/>
              <w:bottom w:val="single" w:sz="4" w:space="0" w:color="auto"/>
              <w:right w:val="nil"/>
            </w:tcBorders>
            <w:noWrap/>
            <w:hideMark/>
          </w:tcPr>
          <w:p w:rsidR="00E61862" w:rsidRPr="003C4CF6" w:rsidRDefault="00E61862" w:rsidP="004849FD">
            <w:pPr>
              <w:spacing w:before="60" w:after="60"/>
              <w:jc w:val="right"/>
              <w:rPr>
                <w:szCs w:val="24"/>
              </w:rPr>
            </w:pPr>
            <w:r w:rsidRPr="003C4CF6">
              <w:t>7 742</w:t>
            </w:r>
          </w:p>
        </w:tc>
        <w:tc>
          <w:tcPr>
            <w:tcW w:w="396" w:type="pct"/>
            <w:tcBorders>
              <w:top w:val="nil"/>
              <w:left w:val="nil"/>
              <w:bottom w:val="single" w:sz="4" w:space="0" w:color="auto"/>
              <w:right w:val="nil"/>
            </w:tcBorders>
            <w:noWrap/>
            <w:hideMark/>
          </w:tcPr>
          <w:p w:rsidR="00E61862" w:rsidRPr="003C4CF6" w:rsidRDefault="00E61862" w:rsidP="004849FD">
            <w:pPr>
              <w:spacing w:before="60" w:after="60"/>
              <w:jc w:val="right"/>
              <w:rPr>
                <w:szCs w:val="24"/>
              </w:rPr>
            </w:pPr>
            <w:r w:rsidRPr="003C4CF6">
              <w:t>7 878</w:t>
            </w:r>
          </w:p>
        </w:tc>
        <w:tc>
          <w:tcPr>
            <w:tcW w:w="312" w:type="pct"/>
            <w:tcBorders>
              <w:top w:val="nil"/>
              <w:left w:val="nil"/>
              <w:bottom w:val="single" w:sz="4" w:space="0" w:color="auto"/>
              <w:right w:val="nil"/>
            </w:tcBorders>
            <w:noWrap/>
            <w:hideMark/>
          </w:tcPr>
          <w:p w:rsidR="00E61862" w:rsidRPr="003C4CF6" w:rsidRDefault="00E61862" w:rsidP="004849FD">
            <w:pPr>
              <w:spacing w:before="60" w:after="60"/>
              <w:jc w:val="right"/>
              <w:rPr>
                <w:szCs w:val="24"/>
              </w:rPr>
            </w:pPr>
            <w:r w:rsidRPr="003C4CF6">
              <w:t>7 945</w:t>
            </w:r>
          </w:p>
        </w:tc>
        <w:tc>
          <w:tcPr>
            <w:tcW w:w="332" w:type="pct"/>
            <w:tcBorders>
              <w:top w:val="nil"/>
              <w:left w:val="nil"/>
              <w:bottom w:val="single" w:sz="4" w:space="0" w:color="auto"/>
              <w:right w:val="nil"/>
            </w:tcBorders>
            <w:noWrap/>
            <w:hideMark/>
          </w:tcPr>
          <w:p w:rsidR="00E61862" w:rsidRPr="003C4CF6" w:rsidRDefault="00E61862" w:rsidP="004849FD">
            <w:pPr>
              <w:spacing w:before="60" w:after="60"/>
              <w:jc w:val="right"/>
              <w:rPr>
                <w:szCs w:val="24"/>
              </w:rPr>
            </w:pPr>
            <w:r w:rsidRPr="003C4CF6">
              <w:t>7 997</w:t>
            </w:r>
          </w:p>
        </w:tc>
        <w:tc>
          <w:tcPr>
            <w:tcW w:w="333" w:type="pct"/>
            <w:tcBorders>
              <w:top w:val="nil"/>
              <w:left w:val="nil"/>
              <w:bottom w:val="single" w:sz="4" w:space="0" w:color="auto"/>
              <w:right w:val="nil"/>
            </w:tcBorders>
            <w:noWrap/>
            <w:hideMark/>
          </w:tcPr>
          <w:p w:rsidR="00E61862" w:rsidRPr="003C4CF6" w:rsidRDefault="00E61862" w:rsidP="004849FD">
            <w:pPr>
              <w:spacing w:before="60" w:after="60"/>
              <w:jc w:val="right"/>
              <w:rPr>
                <w:szCs w:val="24"/>
              </w:rPr>
            </w:pPr>
            <w:r w:rsidRPr="003C4CF6">
              <w:t>8 025</w:t>
            </w:r>
          </w:p>
        </w:tc>
        <w:tc>
          <w:tcPr>
            <w:tcW w:w="333" w:type="pct"/>
            <w:tcBorders>
              <w:top w:val="nil"/>
              <w:left w:val="nil"/>
              <w:bottom w:val="single" w:sz="4" w:space="0" w:color="auto"/>
              <w:right w:val="nil"/>
            </w:tcBorders>
            <w:noWrap/>
            <w:hideMark/>
          </w:tcPr>
          <w:p w:rsidR="00E61862" w:rsidRPr="003C4CF6" w:rsidRDefault="00E61862" w:rsidP="004849FD">
            <w:pPr>
              <w:spacing w:before="60" w:after="60"/>
              <w:jc w:val="right"/>
              <w:rPr>
                <w:szCs w:val="24"/>
              </w:rPr>
            </w:pPr>
            <w:r w:rsidRPr="003C4CF6">
              <w:t>8 077</w:t>
            </w:r>
          </w:p>
        </w:tc>
        <w:tc>
          <w:tcPr>
            <w:tcW w:w="481" w:type="pct"/>
            <w:tcBorders>
              <w:top w:val="nil"/>
              <w:left w:val="nil"/>
              <w:bottom w:val="single" w:sz="4" w:space="0" w:color="auto"/>
            </w:tcBorders>
            <w:noWrap/>
            <w:hideMark/>
          </w:tcPr>
          <w:p w:rsidR="00E61862" w:rsidRPr="003C4CF6" w:rsidRDefault="00E61862" w:rsidP="004849FD">
            <w:pPr>
              <w:spacing w:before="60" w:after="60"/>
              <w:jc w:val="right"/>
              <w:rPr>
                <w:szCs w:val="24"/>
              </w:rPr>
            </w:pPr>
            <w:r w:rsidRPr="003C4CF6">
              <w:t>8 188</w:t>
            </w:r>
          </w:p>
        </w:tc>
        <w:tc>
          <w:tcPr>
            <w:tcW w:w="614" w:type="pct"/>
            <w:tcBorders>
              <w:top w:val="nil"/>
              <w:bottom w:val="single" w:sz="4" w:space="0" w:color="auto"/>
            </w:tcBorders>
            <w:noWrap/>
            <w:hideMark/>
          </w:tcPr>
          <w:p w:rsidR="00E61862" w:rsidRPr="003C4CF6" w:rsidRDefault="00E61862" w:rsidP="004849FD">
            <w:pPr>
              <w:spacing w:before="60" w:after="60"/>
              <w:jc w:val="right"/>
              <w:rPr>
                <w:szCs w:val="24"/>
              </w:rPr>
            </w:pPr>
            <w:r w:rsidRPr="003C4CF6">
              <w:t>55 852</w:t>
            </w:r>
          </w:p>
        </w:tc>
      </w:tr>
      <w:tr w:rsidR="00E61862" w:rsidRPr="003C4CF6" w:rsidTr="004849FD">
        <w:trPr>
          <w:trHeight w:val="304"/>
        </w:trPr>
        <w:tc>
          <w:tcPr>
            <w:tcW w:w="1745" w:type="pct"/>
            <w:tcBorders>
              <w:bottom w:val="single" w:sz="4" w:space="0" w:color="auto"/>
            </w:tcBorders>
            <w:noWrap/>
            <w:vAlign w:val="center"/>
            <w:hideMark/>
          </w:tcPr>
          <w:p w:rsidR="00E61862" w:rsidRPr="003C4CF6" w:rsidRDefault="00E61862" w:rsidP="004849FD">
            <w:pPr>
              <w:spacing w:before="60" w:after="60"/>
              <w:jc w:val="center"/>
              <w:rPr>
                <w:b/>
                <w:bCs/>
                <w:szCs w:val="24"/>
              </w:rPr>
            </w:pPr>
            <w:r w:rsidRPr="003C4CF6">
              <w:rPr>
                <w:b/>
              </w:rPr>
              <w:t>UKUPNA ODOBRENA SREDSTVA ZA PREUZIMANJE OBVEZA</w:t>
            </w:r>
          </w:p>
        </w:tc>
        <w:tc>
          <w:tcPr>
            <w:tcW w:w="453" w:type="pct"/>
            <w:tcBorders>
              <w:bottom w:val="single" w:sz="4" w:space="0" w:color="auto"/>
              <w:right w:val="nil"/>
            </w:tcBorders>
            <w:noWrap/>
            <w:vAlign w:val="center"/>
            <w:hideMark/>
          </w:tcPr>
          <w:p w:rsidR="00E61862" w:rsidRPr="003C4CF6" w:rsidRDefault="00E61862" w:rsidP="004849FD">
            <w:pPr>
              <w:spacing w:before="60" w:after="60"/>
              <w:ind w:firstLineChars="3" w:firstLine="7"/>
              <w:jc w:val="right"/>
              <w:rPr>
                <w:b/>
                <w:bCs/>
                <w:szCs w:val="24"/>
              </w:rPr>
            </w:pPr>
            <w:r w:rsidRPr="003C4CF6">
              <w:rPr>
                <w:b/>
              </w:rPr>
              <w:t>107 885</w:t>
            </w:r>
          </w:p>
        </w:tc>
        <w:tc>
          <w:tcPr>
            <w:tcW w:w="396" w:type="pct"/>
            <w:tcBorders>
              <w:left w:val="nil"/>
              <w:bottom w:val="single" w:sz="4" w:space="0" w:color="auto"/>
              <w:right w:val="nil"/>
            </w:tcBorders>
            <w:noWrap/>
            <w:vAlign w:val="center"/>
            <w:hideMark/>
          </w:tcPr>
          <w:p w:rsidR="00E61862" w:rsidRPr="003C4CF6" w:rsidRDefault="00E61862" w:rsidP="004849FD">
            <w:pPr>
              <w:spacing w:before="60" w:after="60"/>
              <w:ind w:firstLineChars="3" w:firstLine="7"/>
              <w:jc w:val="right"/>
              <w:rPr>
                <w:b/>
                <w:bCs/>
                <w:szCs w:val="24"/>
              </w:rPr>
            </w:pPr>
            <w:r w:rsidRPr="003C4CF6">
              <w:rPr>
                <w:b/>
              </w:rPr>
              <w:t>166 070</w:t>
            </w:r>
          </w:p>
        </w:tc>
        <w:tc>
          <w:tcPr>
            <w:tcW w:w="312" w:type="pct"/>
            <w:tcBorders>
              <w:left w:val="nil"/>
              <w:bottom w:val="single" w:sz="4" w:space="0" w:color="auto"/>
              <w:right w:val="nil"/>
            </w:tcBorders>
            <w:noWrap/>
            <w:vAlign w:val="center"/>
            <w:hideMark/>
          </w:tcPr>
          <w:p w:rsidR="00E61862" w:rsidRPr="003C4CF6" w:rsidRDefault="00E61862" w:rsidP="004849FD">
            <w:pPr>
              <w:spacing w:before="60" w:after="60"/>
              <w:ind w:firstLineChars="3" w:firstLine="7"/>
              <w:jc w:val="right"/>
              <w:rPr>
                <w:b/>
                <w:spacing w:val="-4"/>
                <w:szCs w:val="24"/>
              </w:rPr>
            </w:pPr>
            <w:r w:rsidRPr="003C4CF6">
              <w:rPr>
                <w:b/>
              </w:rPr>
              <w:t>165 443</w:t>
            </w:r>
          </w:p>
        </w:tc>
        <w:tc>
          <w:tcPr>
            <w:tcW w:w="332" w:type="pct"/>
            <w:tcBorders>
              <w:left w:val="nil"/>
              <w:bottom w:val="single" w:sz="4" w:space="0" w:color="auto"/>
              <w:right w:val="nil"/>
            </w:tcBorders>
            <w:noWrap/>
            <w:vAlign w:val="center"/>
            <w:hideMark/>
          </w:tcPr>
          <w:p w:rsidR="00E61862" w:rsidRPr="003C4CF6" w:rsidRDefault="00E61862" w:rsidP="004849FD">
            <w:pPr>
              <w:spacing w:before="60" w:after="60"/>
              <w:ind w:firstLineChars="3" w:firstLine="7"/>
              <w:jc w:val="right"/>
              <w:rPr>
                <w:b/>
                <w:bCs/>
                <w:szCs w:val="24"/>
              </w:rPr>
            </w:pPr>
            <w:r w:rsidRPr="003C4CF6">
              <w:rPr>
                <w:b/>
              </w:rPr>
              <w:t>165 905</w:t>
            </w:r>
          </w:p>
        </w:tc>
        <w:tc>
          <w:tcPr>
            <w:tcW w:w="333" w:type="pct"/>
            <w:tcBorders>
              <w:left w:val="nil"/>
              <w:bottom w:val="single" w:sz="4" w:space="0" w:color="auto"/>
              <w:right w:val="nil"/>
            </w:tcBorders>
            <w:noWrap/>
            <w:vAlign w:val="center"/>
            <w:hideMark/>
          </w:tcPr>
          <w:p w:rsidR="00E61862" w:rsidRPr="003C4CF6" w:rsidRDefault="00E61862" w:rsidP="004849FD">
            <w:pPr>
              <w:spacing w:before="60" w:after="60"/>
              <w:ind w:firstLineChars="3" w:firstLine="7"/>
              <w:jc w:val="right"/>
              <w:rPr>
                <w:b/>
                <w:spacing w:val="-4"/>
                <w:szCs w:val="24"/>
              </w:rPr>
            </w:pPr>
            <w:r w:rsidRPr="003C4CF6">
              <w:rPr>
                <w:b/>
              </w:rPr>
              <w:t>164 377</w:t>
            </w:r>
          </w:p>
        </w:tc>
        <w:tc>
          <w:tcPr>
            <w:tcW w:w="333" w:type="pct"/>
            <w:tcBorders>
              <w:left w:val="nil"/>
              <w:bottom w:val="single" w:sz="4" w:space="0" w:color="auto"/>
              <w:right w:val="nil"/>
            </w:tcBorders>
            <w:noWrap/>
            <w:vAlign w:val="center"/>
            <w:hideMark/>
          </w:tcPr>
          <w:p w:rsidR="00E61862" w:rsidRPr="003C4CF6" w:rsidRDefault="00E61862" w:rsidP="004849FD">
            <w:pPr>
              <w:spacing w:before="60" w:after="60"/>
              <w:ind w:firstLineChars="3" w:firstLine="7"/>
              <w:jc w:val="right"/>
              <w:rPr>
                <w:b/>
                <w:bCs/>
                <w:szCs w:val="24"/>
              </w:rPr>
            </w:pPr>
            <w:r w:rsidRPr="003C4CF6">
              <w:rPr>
                <w:b/>
              </w:rPr>
              <w:t>154 071</w:t>
            </w:r>
          </w:p>
        </w:tc>
        <w:tc>
          <w:tcPr>
            <w:tcW w:w="481" w:type="pct"/>
            <w:tcBorders>
              <w:left w:val="nil"/>
              <w:bottom w:val="single" w:sz="4" w:space="0" w:color="auto"/>
            </w:tcBorders>
            <w:noWrap/>
            <w:vAlign w:val="center"/>
            <w:hideMark/>
          </w:tcPr>
          <w:p w:rsidR="00E61862" w:rsidRPr="003C4CF6" w:rsidRDefault="00E61862" w:rsidP="004849FD">
            <w:pPr>
              <w:spacing w:before="60" w:after="60"/>
              <w:ind w:firstLineChars="3" w:firstLine="7"/>
              <w:jc w:val="right"/>
              <w:rPr>
                <w:b/>
                <w:spacing w:val="-4"/>
                <w:szCs w:val="24"/>
              </w:rPr>
            </w:pPr>
            <w:r w:rsidRPr="003C4CF6">
              <w:rPr>
                <w:b/>
              </w:rPr>
              <w:t>155 772</w:t>
            </w:r>
          </w:p>
        </w:tc>
        <w:tc>
          <w:tcPr>
            <w:tcW w:w="614" w:type="pct"/>
            <w:tcBorders>
              <w:bottom w:val="single" w:sz="4" w:space="0" w:color="auto"/>
            </w:tcBorders>
            <w:noWrap/>
            <w:vAlign w:val="center"/>
            <w:hideMark/>
          </w:tcPr>
          <w:p w:rsidR="00E61862" w:rsidRPr="003C4CF6" w:rsidRDefault="00E61862" w:rsidP="004849FD">
            <w:pPr>
              <w:spacing w:before="60" w:after="60"/>
              <w:ind w:firstLineChars="3" w:firstLine="7"/>
              <w:jc w:val="right"/>
              <w:rPr>
                <w:b/>
                <w:bCs/>
                <w:szCs w:val="24"/>
              </w:rPr>
            </w:pPr>
            <w:r w:rsidRPr="003C4CF6">
              <w:rPr>
                <w:b/>
              </w:rPr>
              <w:t>1 079 523</w:t>
            </w:r>
          </w:p>
        </w:tc>
      </w:tr>
      <w:tr w:rsidR="00E61862" w:rsidRPr="003C4CF6" w:rsidTr="004849FD">
        <w:trPr>
          <w:trHeight w:val="304"/>
        </w:trPr>
        <w:tc>
          <w:tcPr>
            <w:tcW w:w="1745" w:type="pct"/>
            <w:tcBorders>
              <w:top w:val="single" w:sz="4" w:space="0" w:color="auto"/>
              <w:left w:val="nil"/>
              <w:bottom w:val="single" w:sz="4" w:space="0" w:color="auto"/>
              <w:right w:val="nil"/>
            </w:tcBorders>
            <w:hideMark/>
          </w:tcPr>
          <w:p w:rsidR="00E61862" w:rsidRPr="003C4CF6" w:rsidRDefault="00E61862" w:rsidP="004849FD">
            <w:pPr>
              <w:spacing w:before="60" w:after="60"/>
              <w:ind w:firstLineChars="100" w:firstLine="240"/>
              <w:jc w:val="right"/>
              <w:rPr>
                <w:b/>
                <w:bCs/>
                <w:szCs w:val="24"/>
              </w:rPr>
            </w:pPr>
          </w:p>
        </w:tc>
        <w:tc>
          <w:tcPr>
            <w:tcW w:w="453" w:type="pct"/>
            <w:tcBorders>
              <w:top w:val="single" w:sz="4" w:space="0" w:color="auto"/>
              <w:left w:val="nil"/>
              <w:bottom w:val="single" w:sz="4" w:space="0" w:color="auto"/>
              <w:right w:val="nil"/>
            </w:tcBorders>
            <w:hideMark/>
          </w:tcPr>
          <w:p w:rsidR="00E61862" w:rsidRPr="003C4CF6" w:rsidRDefault="00E61862" w:rsidP="004849FD">
            <w:pPr>
              <w:spacing w:before="60" w:after="60"/>
              <w:rPr>
                <w:szCs w:val="24"/>
              </w:rPr>
            </w:pPr>
          </w:p>
        </w:tc>
        <w:tc>
          <w:tcPr>
            <w:tcW w:w="396" w:type="pct"/>
            <w:tcBorders>
              <w:top w:val="single" w:sz="4" w:space="0" w:color="auto"/>
              <w:left w:val="nil"/>
              <w:bottom w:val="single" w:sz="4" w:space="0" w:color="auto"/>
              <w:right w:val="nil"/>
            </w:tcBorders>
            <w:hideMark/>
          </w:tcPr>
          <w:p w:rsidR="00E61862" w:rsidRPr="003C4CF6" w:rsidRDefault="00E61862" w:rsidP="004849FD">
            <w:pPr>
              <w:spacing w:before="60" w:after="60"/>
              <w:rPr>
                <w:szCs w:val="24"/>
              </w:rPr>
            </w:pPr>
          </w:p>
        </w:tc>
        <w:tc>
          <w:tcPr>
            <w:tcW w:w="312" w:type="pct"/>
            <w:tcBorders>
              <w:top w:val="single" w:sz="4" w:space="0" w:color="auto"/>
              <w:left w:val="nil"/>
              <w:bottom w:val="single" w:sz="4" w:space="0" w:color="auto"/>
              <w:right w:val="nil"/>
            </w:tcBorders>
            <w:hideMark/>
          </w:tcPr>
          <w:p w:rsidR="00E61862" w:rsidRPr="003C4CF6" w:rsidRDefault="00E61862" w:rsidP="004849FD">
            <w:pPr>
              <w:spacing w:before="60" w:after="60"/>
              <w:rPr>
                <w:szCs w:val="24"/>
              </w:rPr>
            </w:pPr>
          </w:p>
        </w:tc>
        <w:tc>
          <w:tcPr>
            <w:tcW w:w="332" w:type="pct"/>
            <w:tcBorders>
              <w:top w:val="single" w:sz="4" w:space="0" w:color="auto"/>
              <w:left w:val="nil"/>
              <w:bottom w:val="single" w:sz="4" w:space="0" w:color="auto"/>
              <w:right w:val="nil"/>
            </w:tcBorders>
            <w:hideMark/>
          </w:tcPr>
          <w:p w:rsidR="00E61862" w:rsidRPr="003C4CF6" w:rsidRDefault="00E61862" w:rsidP="004849FD">
            <w:pPr>
              <w:spacing w:before="60" w:after="60"/>
              <w:rPr>
                <w:szCs w:val="24"/>
              </w:rPr>
            </w:pPr>
          </w:p>
        </w:tc>
        <w:tc>
          <w:tcPr>
            <w:tcW w:w="333" w:type="pct"/>
            <w:tcBorders>
              <w:top w:val="single" w:sz="4" w:space="0" w:color="auto"/>
              <w:left w:val="nil"/>
              <w:bottom w:val="single" w:sz="4" w:space="0" w:color="auto"/>
              <w:right w:val="nil"/>
            </w:tcBorders>
            <w:hideMark/>
          </w:tcPr>
          <w:p w:rsidR="00E61862" w:rsidRPr="003C4CF6" w:rsidRDefault="00E61862" w:rsidP="004849FD">
            <w:pPr>
              <w:spacing w:before="60" w:after="60"/>
              <w:rPr>
                <w:szCs w:val="24"/>
              </w:rPr>
            </w:pPr>
          </w:p>
        </w:tc>
        <w:tc>
          <w:tcPr>
            <w:tcW w:w="333" w:type="pct"/>
            <w:tcBorders>
              <w:top w:val="single" w:sz="4" w:space="0" w:color="auto"/>
              <w:left w:val="nil"/>
              <w:bottom w:val="single" w:sz="4" w:space="0" w:color="auto"/>
              <w:right w:val="nil"/>
            </w:tcBorders>
            <w:hideMark/>
          </w:tcPr>
          <w:p w:rsidR="00E61862" w:rsidRPr="003C4CF6" w:rsidRDefault="00E61862" w:rsidP="004849FD">
            <w:pPr>
              <w:spacing w:before="60" w:after="60"/>
              <w:rPr>
                <w:szCs w:val="24"/>
              </w:rPr>
            </w:pPr>
          </w:p>
        </w:tc>
        <w:tc>
          <w:tcPr>
            <w:tcW w:w="481" w:type="pct"/>
            <w:tcBorders>
              <w:top w:val="single" w:sz="4" w:space="0" w:color="auto"/>
              <w:left w:val="nil"/>
              <w:bottom w:val="single" w:sz="4" w:space="0" w:color="auto"/>
              <w:right w:val="nil"/>
            </w:tcBorders>
            <w:hideMark/>
          </w:tcPr>
          <w:p w:rsidR="00E61862" w:rsidRPr="003C4CF6" w:rsidRDefault="00E61862" w:rsidP="004849FD">
            <w:pPr>
              <w:spacing w:before="60" w:after="60"/>
              <w:rPr>
                <w:szCs w:val="24"/>
              </w:rPr>
            </w:pPr>
          </w:p>
        </w:tc>
        <w:tc>
          <w:tcPr>
            <w:tcW w:w="614" w:type="pct"/>
            <w:tcBorders>
              <w:top w:val="single" w:sz="4" w:space="0" w:color="auto"/>
              <w:left w:val="nil"/>
              <w:bottom w:val="single" w:sz="4" w:space="0" w:color="auto"/>
              <w:right w:val="nil"/>
            </w:tcBorders>
            <w:hideMark/>
          </w:tcPr>
          <w:p w:rsidR="00E61862" w:rsidRPr="003C4CF6" w:rsidRDefault="00E61862" w:rsidP="004849FD">
            <w:pPr>
              <w:spacing w:before="60" w:after="60"/>
              <w:rPr>
                <w:szCs w:val="24"/>
              </w:rPr>
            </w:pPr>
          </w:p>
        </w:tc>
      </w:tr>
      <w:tr w:rsidR="00E61862" w:rsidRPr="003C4CF6" w:rsidTr="004849FD">
        <w:trPr>
          <w:trHeight w:val="304"/>
        </w:trPr>
        <w:tc>
          <w:tcPr>
            <w:tcW w:w="1745" w:type="pct"/>
            <w:tcBorders>
              <w:top w:val="single" w:sz="4" w:space="0" w:color="auto"/>
            </w:tcBorders>
            <w:noWrap/>
            <w:hideMark/>
          </w:tcPr>
          <w:p w:rsidR="00E61862" w:rsidRPr="003C4CF6" w:rsidRDefault="00E61862" w:rsidP="004849FD">
            <w:pPr>
              <w:spacing w:before="60" w:after="60"/>
              <w:jc w:val="right"/>
              <w:rPr>
                <w:b/>
                <w:bCs/>
                <w:szCs w:val="24"/>
              </w:rPr>
            </w:pPr>
            <w:r w:rsidRPr="003C4CF6">
              <w:rPr>
                <w:b/>
              </w:rPr>
              <w:t>UKUPNA ODOBRENA SREDSTVA ZA PLAĆANJE</w:t>
            </w:r>
          </w:p>
        </w:tc>
        <w:tc>
          <w:tcPr>
            <w:tcW w:w="453" w:type="pct"/>
            <w:tcBorders>
              <w:top w:val="single" w:sz="4" w:space="0" w:color="auto"/>
              <w:right w:val="nil"/>
            </w:tcBorders>
            <w:noWrap/>
            <w:hideMark/>
          </w:tcPr>
          <w:p w:rsidR="00E61862" w:rsidRPr="003C4CF6" w:rsidRDefault="00E61862" w:rsidP="004849FD">
            <w:pPr>
              <w:spacing w:before="60" w:after="60"/>
              <w:ind w:firstLineChars="3" w:firstLine="7"/>
              <w:jc w:val="right"/>
              <w:rPr>
                <w:b/>
                <w:bCs/>
                <w:szCs w:val="24"/>
              </w:rPr>
            </w:pPr>
            <w:r w:rsidRPr="003C4CF6">
              <w:rPr>
                <w:b/>
              </w:rPr>
              <w:t>154 065</w:t>
            </w:r>
          </w:p>
        </w:tc>
        <w:tc>
          <w:tcPr>
            <w:tcW w:w="396" w:type="pct"/>
            <w:tcBorders>
              <w:top w:val="single" w:sz="4" w:space="0" w:color="auto"/>
              <w:left w:val="nil"/>
              <w:right w:val="nil"/>
            </w:tcBorders>
            <w:noWrap/>
            <w:hideMark/>
          </w:tcPr>
          <w:p w:rsidR="00E61862" w:rsidRPr="003C4CF6" w:rsidRDefault="00E61862" w:rsidP="004849FD">
            <w:pPr>
              <w:spacing w:before="60" w:after="60"/>
              <w:ind w:firstLineChars="3" w:firstLine="7"/>
              <w:jc w:val="right"/>
              <w:rPr>
                <w:b/>
                <w:bCs/>
                <w:szCs w:val="24"/>
              </w:rPr>
            </w:pPr>
            <w:r w:rsidRPr="003C4CF6">
              <w:rPr>
                <w:b/>
              </w:rPr>
              <w:t>153 850</w:t>
            </w:r>
          </w:p>
        </w:tc>
        <w:tc>
          <w:tcPr>
            <w:tcW w:w="312" w:type="pct"/>
            <w:tcBorders>
              <w:top w:val="single" w:sz="4" w:space="0" w:color="auto"/>
              <w:left w:val="nil"/>
              <w:right w:val="nil"/>
            </w:tcBorders>
            <w:noWrap/>
            <w:hideMark/>
          </w:tcPr>
          <w:p w:rsidR="00E61862" w:rsidRPr="003C4CF6" w:rsidRDefault="00E61862" w:rsidP="004849FD">
            <w:pPr>
              <w:spacing w:before="60" w:after="60"/>
              <w:ind w:firstLineChars="3" w:firstLine="7"/>
              <w:jc w:val="center"/>
              <w:rPr>
                <w:b/>
                <w:spacing w:val="-4"/>
                <w:szCs w:val="24"/>
              </w:rPr>
            </w:pPr>
            <w:r w:rsidRPr="003C4CF6">
              <w:rPr>
                <w:b/>
              </w:rPr>
              <w:t>152 682</w:t>
            </w:r>
          </w:p>
        </w:tc>
        <w:tc>
          <w:tcPr>
            <w:tcW w:w="332" w:type="pct"/>
            <w:tcBorders>
              <w:top w:val="single" w:sz="4" w:space="0" w:color="auto"/>
              <w:left w:val="nil"/>
              <w:right w:val="nil"/>
            </w:tcBorders>
            <w:noWrap/>
            <w:hideMark/>
          </w:tcPr>
          <w:p w:rsidR="00E61862" w:rsidRPr="003C4CF6" w:rsidRDefault="00E61862" w:rsidP="004849FD">
            <w:pPr>
              <w:spacing w:before="60" w:after="60"/>
              <w:ind w:firstLineChars="3" w:firstLine="7"/>
              <w:jc w:val="right"/>
              <w:rPr>
                <w:b/>
                <w:spacing w:val="-4"/>
                <w:szCs w:val="24"/>
              </w:rPr>
            </w:pPr>
            <w:r w:rsidRPr="003C4CF6">
              <w:rPr>
                <w:b/>
              </w:rPr>
              <w:t>151 436</w:t>
            </w:r>
          </w:p>
        </w:tc>
        <w:tc>
          <w:tcPr>
            <w:tcW w:w="333" w:type="pct"/>
            <w:tcBorders>
              <w:top w:val="single" w:sz="4" w:space="0" w:color="auto"/>
              <w:left w:val="nil"/>
              <w:right w:val="nil"/>
            </w:tcBorders>
            <w:noWrap/>
            <w:hideMark/>
          </w:tcPr>
          <w:p w:rsidR="00E61862" w:rsidRPr="003C4CF6" w:rsidRDefault="00E61862" w:rsidP="004849FD">
            <w:pPr>
              <w:spacing w:before="60" w:after="60"/>
              <w:ind w:firstLineChars="3" w:firstLine="7"/>
              <w:jc w:val="right"/>
              <w:rPr>
                <w:b/>
                <w:spacing w:val="-4"/>
                <w:szCs w:val="24"/>
              </w:rPr>
            </w:pPr>
            <w:r w:rsidRPr="003C4CF6">
              <w:rPr>
                <w:b/>
              </w:rPr>
              <w:t>151 175</w:t>
            </w:r>
          </w:p>
        </w:tc>
        <w:tc>
          <w:tcPr>
            <w:tcW w:w="333" w:type="pct"/>
            <w:tcBorders>
              <w:top w:val="single" w:sz="4" w:space="0" w:color="auto"/>
              <w:left w:val="nil"/>
              <w:right w:val="nil"/>
            </w:tcBorders>
            <w:noWrap/>
            <w:hideMark/>
          </w:tcPr>
          <w:p w:rsidR="00E61862" w:rsidRPr="003C4CF6" w:rsidRDefault="00E61862" w:rsidP="004849FD">
            <w:pPr>
              <w:spacing w:before="60" w:after="60"/>
              <w:ind w:firstLineChars="3" w:firstLine="7"/>
              <w:jc w:val="right"/>
              <w:rPr>
                <w:b/>
                <w:spacing w:val="-4"/>
                <w:szCs w:val="24"/>
              </w:rPr>
            </w:pPr>
            <w:r w:rsidRPr="003C4CF6">
              <w:rPr>
                <w:b/>
              </w:rPr>
              <w:t>151 175</w:t>
            </w:r>
          </w:p>
        </w:tc>
        <w:tc>
          <w:tcPr>
            <w:tcW w:w="481" w:type="pct"/>
            <w:tcBorders>
              <w:top w:val="single" w:sz="4" w:space="0" w:color="auto"/>
              <w:left w:val="nil"/>
            </w:tcBorders>
            <w:noWrap/>
            <w:hideMark/>
          </w:tcPr>
          <w:p w:rsidR="00E61862" w:rsidRPr="003C4CF6" w:rsidRDefault="00E61862" w:rsidP="004849FD">
            <w:pPr>
              <w:spacing w:before="60" w:after="60"/>
              <w:ind w:firstLineChars="3" w:firstLine="7"/>
              <w:jc w:val="right"/>
              <w:rPr>
                <w:b/>
                <w:spacing w:val="-4"/>
                <w:szCs w:val="24"/>
              </w:rPr>
            </w:pPr>
            <w:r w:rsidRPr="003C4CF6">
              <w:rPr>
                <w:b/>
              </w:rPr>
              <w:t>151 175</w:t>
            </w:r>
          </w:p>
        </w:tc>
        <w:tc>
          <w:tcPr>
            <w:tcW w:w="614" w:type="pct"/>
            <w:tcBorders>
              <w:top w:val="single" w:sz="4" w:space="0" w:color="auto"/>
            </w:tcBorders>
            <w:noWrap/>
            <w:hideMark/>
          </w:tcPr>
          <w:p w:rsidR="00E61862" w:rsidRPr="003C4CF6" w:rsidRDefault="00E61862" w:rsidP="004849FD">
            <w:pPr>
              <w:spacing w:before="60" w:after="60"/>
              <w:ind w:firstLineChars="3" w:firstLine="7"/>
              <w:jc w:val="right"/>
              <w:rPr>
                <w:b/>
                <w:bCs/>
                <w:szCs w:val="24"/>
              </w:rPr>
            </w:pPr>
            <w:r w:rsidRPr="003C4CF6">
              <w:rPr>
                <w:b/>
              </w:rPr>
              <w:t>1 065 558</w:t>
            </w:r>
          </w:p>
        </w:tc>
      </w:tr>
      <w:bookmarkEnd w:id="10"/>
    </w:tbl>
    <w:p w:rsidR="00E61862" w:rsidRPr="003C4CF6" w:rsidRDefault="00E61862" w:rsidP="00E61862">
      <w:pPr>
        <w:pStyle w:val="NormalCentered"/>
      </w:pPr>
      <w:r w:rsidRPr="003C4CF6">
        <w:br w:type="page"/>
        <w:t>PRILOG II.</w:t>
      </w:r>
      <w:r w:rsidRPr="003C4CF6">
        <w:br/>
        <w:t>PRILAGODBA ZA SPECIFIČNE PROGRAME – POPIS PROGRAMA, KLJUČ ZA RASPODJELU I UKUPNA DODATNA DODJELA ZA ODOBRENA SREDSTVA ZA PREUZIMANJE OBVEZA</w:t>
      </w:r>
    </w:p>
    <w:tbl>
      <w:tblPr>
        <w:tblW w:w="5000" w:type="pct"/>
        <w:tblLook w:val="04A0" w:firstRow="1" w:lastRow="0" w:firstColumn="1" w:lastColumn="0" w:noHBand="0" w:noVBand="1"/>
      </w:tblPr>
      <w:tblGrid>
        <w:gridCol w:w="5526"/>
        <w:gridCol w:w="2210"/>
        <w:gridCol w:w="2348"/>
        <w:gridCol w:w="4202"/>
      </w:tblGrid>
      <w:tr w:rsidR="00E61862" w:rsidRPr="003C4CF6" w:rsidTr="004849FD">
        <w:trPr>
          <w:trHeight w:val="20"/>
        </w:trPr>
        <w:tc>
          <w:tcPr>
            <w:tcW w:w="1810" w:type="pct"/>
            <w:tcBorders>
              <w:bottom w:val="single" w:sz="8" w:space="0" w:color="auto"/>
            </w:tcBorders>
            <w:noWrap/>
            <w:hideMark/>
          </w:tcPr>
          <w:p w:rsidR="00E61862" w:rsidRPr="003C4CF6" w:rsidRDefault="00E61862" w:rsidP="004849FD">
            <w:pPr>
              <w:spacing w:before="60" w:after="60"/>
            </w:pPr>
          </w:p>
        </w:tc>
        <w:tc>
          <w:tcPr>
            <w:tcW w:w="815" w:type="pct"/>
            <w:tcBorders>
              <w:bottom w:val="single" w:sz="8" w:space="0" w:color="auto"/>
            </w:tcBorders>
            <w:noWrap/>
            <w:hideMark/>
          </w:tcPr>
          <w:p w:rsidR="00E61862" w:rsidRPr="003C4CF6" w:rsidRDefault="00E61862" w:rsidP="004849FD">
            <w:pPr>
              <w:spacing w:before="60" w:after="60"/>
            </w:pPr>
          </w:p>
        </w:tc>
        <w:tc>
          <w:tcPr>
            <w:tcW w:w="863" w:type="pct"/>
            <w:tcBorders>
              <w:bottom w:val="single" w:sz="8" w:space="0" w:color="auto"/>
            </w:tcBorders>
          </w:tcPr>
          <w:p w:rsidR="00E61862" w:rsidRPr="003C4CF6" w:rsidRDefault="00E61862" w:rsidP="004849FD">
            <w:pPr>
              <w:spacing w:before="60" w:after="60"/>
              <w:jc w:val="right"/>
            </w:pPr>
          </w:p>
        </w:tc>
        <w:tc>
          <w:tcPr>
            <w:tcW w:w="1512" w:type="pct"/>
            <w:tcBorders>
              <w:bottom w:val="single" w:sz="8" w:space="0" w:color="auto"/>
            </w:tcBorders>
            <w:noWrap/>
            <w:hideMark/>
          </w:tcPr>
          <w:p w:rsidR="00E61862" w:rsidRPr="003C4CF6" w:rsidRDefault="00E61862" w:rsidP="004849FD">
            <w:pPr>
              <w:spacing w:before="60" w:after="60"/>
              <w:jc w:val="right"/>
            </w:pPr>
            <w:r w:rsidRPr="003C4CF6">
              <w:rPr>
                <w:i/>
              </w:rPr>
              <w:t>(u milijunima EUR, cijene iz 2018.)</w:t>
            </w:r>
            <w:r w:rsidRPr="003C4CF6">
              <w:t xml:space="preserve"> </w:t>
            </w:r>
          </w:p>
        </w:tc>
      </w:tr>
      <w:tr w:rsidR="00E61862" w:rsidRPr="003C4CF6" w:rsidTr="004849FD">
        <w:trPr>
          <w:trHeight w:val="20"/>
        </w:trPr>
        <w:tc>
          <w:tcPr>
            <w:tcW w:w="1810" w:type="pct"/>
            <w:tcBorders>
              <w:top w:val="single" w:sz="8" w:space="0" w:color="auto"/>
              <w:bottom w:val="single" w:sz="8" w:space="0" w:color="auto"/>
            </w:tcBorders>
            <w:noWrap/>
            <w:hideMark/>
          </w:tcPr>
          <w:p w:rsidR="00E61862" w:rsidRPr="003C4CF6" w:rsidRDefault="00E61862" w:rsidP="004849FD">
            <w:pPr>
              <w:spacing w:before="60" w:after="60"/>
              <w:jc w:val="center"/>
            </w:pPr>
          </w:p>
        </w:tc>
        <w:tc>
          <w:tcPr>
            <w:tcW w:w="1678" w:type="pct"/>
            <w:gridSpan w:val="2"/>
            <w:tcBorders>
              <w:top w:val="single" w:sz="4" w:space="0" w:color="auto"/>
              <w:bottom w:val="single" w:sz="8" w:space="0" w:color="auto"/>
            </w:tcBorders>
            <w:noWrap/>
            <w:hideMark/>
          </w:tcPr>
          <w:p w:rsidR="00E61862" w:rsidRPr="003C4CF6" w:rsidRDefault="00E61862" w:rsidP="004849FD">
            <w:pPr>
              <w:spacing w:before="60" w:after="60"/>
              <w:jc w:val="center"/>
            </w:pPr>
            <w:r w:rsidRPr="003C4CF6">
              <w:t>Ključ za raspodjelu</w:t>
            </w:r>
          </w:p>
        </w:tc>
        <w:tc>
          <w:tcPr>
            <w:tcW w:w="1512" w:type="pct"/>
            <w:tcBorders>
              <w:top w:val="single" w:sz="8" w:space="0" w:color="auto"/>
              <w:bottom w:val="single" w:sz="8" w:space="0" w:color="auto"/>
            </w:tcBorders>
            <w:hideMark/>
          </w:tcPr>
          <w:p w:rsidR="00E61862" w:rsidRPr="003C4CF6" w:rsidRDefault="00E61862" w:rsidP="004849FD">
            <w:pPr>
              <w:spacing w:before="60" w:after="60"/>
              <w:jc w:val="center"/>
            </w:pPr>
            <w:r w:rsidRPr="003C4CF6">
              <w:t>Ukupna dodatna dodjela za odobrena sredstva za preuzimanje obveza u okviru članka 5.</w:t>
            </w:r>
          </w:p>
        </w:tc>
      </w:tr>
      <w:tr w:rsidR="00E61862" w:rsidRPr="003C4CF6" w:rsidTr="004849FD">
        <w:trPr>
          <w:trHeight w:val="20"/>
        </w:trPr>
        <w:tc>
          <w:tcPr>
            <w:tcW w:w="1810" w:type="pct"/>
            <w:tcBorders>
              <w:top w:val="single" w:sz="8" w:space="0" w:color="auto"/>
            </w:tcBorders>
            <w:noWrap/>
          </w:tcPr>
          <w:p w:rsidR="00E61862" w:rsidRPr="003C4CF6" w:rsidRDefault="00E61862" w:rsidP="004849FD">
            <w:pPr>
              <w:spacing w:before="60" w:after="60"/>
              <w:jc w:val="center"/>
            </w:pPr>
          </w:p>
        </w:tc>
        <w:tc>
          <w:tcPr>
            <w:tcW w:w="815" w:type="pct"/>
            <w:tcBorders>
              <w:top w:val="single" w:sz="8" w:space="0" w:color="auto"/>
            </w:tcBorders>
            <w:noWrap/>
          </w:tcPr>
          <w:p w:rsidR="00E61862" w:rsidRPr="003C4CF6" w:rsidRDefault="00E61862" w:rsidP="004849FD">
            <w:pPr>
              <w:spacing w:before="60" w:after="60"/>
              <w:jc w:val="center"/>
              <w:rPr>
                <w:b/>
              </w:rPr>
            </w:pPr>
            <w:r w:rsidRPr="003C4CF6">
              <w:rPr>
                <w:b/>
              </w:rPr>
              <w:t>2022. – 2024.</w:t>
            </w:r>
          </w:p>
        </w:tc>
        <w:tc>
          <w:tcPr>
            <w:tcW w:w="863" w:type="pct"/>
            <w:tcBorders>
              <w:top w:val="single" w:sz="8" w:space="0" w:color="auto"/>
            </w:tcBorders>
          </w:tcPr>
          <w:p w:rsidR="00E61862" w:rsidRPr="003C4CF6" w:rsidRDefault="00E61862" w:rsidP="004849FD">
            <w:pPr>
              <w:spacing w:before="60" w:after="60"/>
              <w:jc w:val="center"/>
              <w:rPr>
                <w:b/>
              </w:rPr>
            </w:pPr>
            <w:r w:rsidRPr="003C4CF6">
              <w:rPr>
                <w:b/>
              </w:rPr>
              <w:t>2025. – 2027.</w:t>
            </w:r>
          </w:p>
        </w:tc>
        <w:tc>
          <w:tcPr>
            <w:tcW w:w="1512" w:type="pct"/>
            <w:tcBorders>
              <w:top w:val="single" w:sz="8" w:space="0" w:color="auto"/>
            </w:tcBorders>
          </w:tcPr>
          <w:p w:rsidR="00E61862" w:rsidRPr="003C4CF6" w:rsidRDefault="00E61862" w:rsidP="004849FD">
            <w:pPr>
              <w:spacing w:before="60" w:after="60"/>
              <w:jc w:val="center"/>
            </w:pPr>
          </w:p>
        </w:tc>
      </w:tr>
      <w:tr w:rsidR="00E61862" w:rsidRPr="003C4CF6" w:rsidTr="004849FD">
        <w:trPr>
          <w:trHeight w:val="20"/>
        </w:trPr>
        <w:tc>
          <w:tcPr>
            <w:tcW w:w="1810" w:type="pct"/>
            <w:noWrap/>
            <w:hideMark/>
          </w:tcPr>
          <w:p w:rsidR="00E61862" w:rsidRPr="003C4CF6" w:rsidRDefault="00E61862" w:rsidP="004849FD">
            <w:pPr>
              <w:pStyle w:val="Point0"/>
              <w:spacing w:before="60" w:after="60" w:line="240" w:lineRule="auto"/>
              <w:rPr>
                <w:b/>
                <w:bCs/>
              </w:rPr>
            </w:pPr>
            <w:r w:rsidRPr="003C4CF6">
              <w:rPr>
                <w:b/>
              </w:rPr>
              <w:t>1.</w:t>
            </w:r>
            <w:r w:rsidRPr="003C4CF6">
              <w:rPr>
                <w:b/>
              </w:rPr>
              <w:tab/>
              <w:t>Jedinstveno tržište, inovacije i digitalizacija</w:t>
            </w:r>
          </w:p>
        </w:tc>
        <w:tc>
          <w:tcPr>
            <w:tcW w:w="815" w:type="pct"/>
            <w:noWrap/>
            <w:hideMark/>
          </w:tcPr>
          <w:p w:rsidR="00E61862" w:rsidRPr="003C4CF6" w:rsidRDefault="00E61862" w:rsidP="004849FD">
            <w:pPr>
              <w:spacing w:before="60" w:after="60"/>
              <w:ind w:right="567"/>
              <w:jc w:val="right"/>
              <w:rPr>
                <w:b/>
              </w:rPr>
            </w:pPr>
            <w:r w:rsidRPr="003C4CF6">
              <w:rPr>
                <w:b/>
              </w:rPr>
              <w:t>36,36 %</w:t>
            </w:r>
          </w:p>
        </w:tc>
        <w:tc>
          <w:tcPr>
            <w:tcW w:w="863" w:type="pct"/>
          </w:tcPr>
          <w:p w:rsidR="00E61862" w:rsidRPr="003C4CF6" w:rsidRDefault="00E61862" w:rsidP="004849FD">
            <w:pPr>
              <w:spacing w:before="60" w:after="60"/>
              <w:ind w:right="567"/>
              <w:jc w:val="right"/>
              <w:rPr>
                <w:b/>
              </w:rPr>
            </w:pPr>
            <w:r w:rsidRPr="003C4CF6">
              <w:rPr>
                <w:b/>
              </w:rPr>
              <w:t>41,79 %</w:t>
            </w:r>
          </w:p>
        </w:tc>
        <w:tc>
          <w:tcPr>
            <w:tcW w:w="1512" w:type="pct"/>
            <w:noWrap/>
            <w:hideMark/>
          </w:tcPr>
          <w:p w:rsidR="00E61862" w:rsidRPr="003C4CF6" w:rsidRDefault="00E61862" w:rsidP="004849FD">
            <w:pPr>
              <w:spacing w:before="60" w:after="60"/>
              <w:ind w:right="1134"/>
              <w:jc w:val="right"/>
              <w:rPr>
                <w:b/>
              </w:rPr>
            </w:pPr>
            <w:r w:rsidRPr="003C4CF6">
              <w:rPr>
                <w:b/>
              </w:rPr>
              <w:t>4 000</w:t>
            </w:r>
          </w:p>
        </w:tc>
      </w:tr>
      <w:tr w:rsidR="00E61862" w:rsidRPr="003C4CF6" w:rsidTr="004849FD">
        <w:trPr>
          <w:trHeight w:val="20"/>
        </w:trPr>
        <w:tc>
          <w:tcPr>
            <w:tcW w:w="1810" w:type="pct"/>
            <w:noWrap/>
            <w:hideMark/>
          </w:tcPr>
          <w:p w:rsidR="00E61862" w:rsidRPr="003C4CF6" w:rsidRDefault="00E61862" w:rsidP="004849FD">
            <w:pPr>
              <w:pStyle w:val="Text1"/>
              <w:spacing w:before="60" w:after="60" w:line="240" w:lineRule="auto"/>
            </w:pPr>
            <w:r w:rsidRPr="003C4CF6">
              <w:t>Obzor Europa</w:t>
            </w:r>
          </w:p>
        </w:tc>
        <w:tc>
          <w:tcPr>
            <w:tcW w:w="815" w:type="pct"/>
            <w:noWrap/>
            <w:hideMark/>
          </w:tcPr>
          <w:p w:rsidR="00E61862" w:rsidRPr="003C4CF6" w:rsidRDefault="00E61862" w:rsidP="004849FD">
            <w:pPr>
              <w:spacing w:before="60" w:after="60"/>
              <w:ind w:left="-156" w:right="567" w:firstLine="156"/>
              <w:jc w:val="right"/>
            </w:pPr>
            <w:r w:rsidRPr="003C4CF6">
              <w:t>27,27 %</w:t>
            </w:r>
          </w:p>
        </w:tc>
        <w:tc>
          <w:tcPr>
            <w:tcW w:w="863" w:type="pct"/>
          </w:tcPr>
          <w:p w:rsidR="00E61862" w:rsidRPr="003C4CF6" w:rsidRDefault="00E61862" w:rsidP="004849FD">
            <w:pPr>
              <w:spacing w:before="60" w:after="60"/>
              <w:ind w:right="567"/>
              <w:jc w:val="right"/>
            </w:pPr>
            <w:r w:rsidRPr="003C4CF6">
              <w:t>31,34 %</w:t>
            </w:r>
          </w:p>
        </w:tc>
        <w:tc>
          <w:tcPr>
            <w:tcW w:w="1512" w:type="pct"/>
            <w:noWrap/>
            <w:hideMark/>
          </w:tcPr>
          <w:p w:rsidR="00E61862" w:rsidRPr="003C4CF6" w:rsidRDefault="00E61862" w:rsidP="004849FD">
            <w:pPr>
              <w:spacing w:before="60" w:after="60"/>
              <w:ind w:right="1134"/>
              <w:jc w:val="right"/>
            </w:pPr>
            <w:r w:rsidRPr="003C4CF6">
              <w:t>3 000</w:t>
            </w:r>
          </w:p>
        </w:tc>
      </w:tr>
      <w:tr w:rsidR="00E61862" w:rsidRPr="003C4CF6" w:rsidTr="004849FD">
        <w:trPr>
          <w:trHeight w:val="20"/>
        </w:trPr>
        <w:tc>
          <w:tcPr>
            <w:tcW w:w="1810" w:type="pct"/>
            <w:noWrap/>
            <w:hideMark/>
          </w:tcPr>
          <w:p w:rsidR="00E61862" w:rsidRPr="003C4CF6" w:rsidRDefault="00E61862" w:rsidP="004849FD">
            <w:pPr>
              <w:pStyle w:val="Text1"/>
              <w:spacing w:before="60" w:after="60" w:line="240" w:lineRule="auto"/>
            </w:pPr>
            <w:r w:rsidRPr="003C4CF6">
              <w:t xml:space="preserve">Fond </w:t>
            </w:r>
            <w:proofErr w:type="spellStart"/>
            <w:r w:rsidRPr="003C4CF6">
              <w:t>InvestEU</w:t>
            </w:r>
            <w:proofErr w:type="spellEnd"/>
          </w:p>
        </w:tc>
        <w:tc>
          <w:tcPr>
            <w:tcW w:w="815" w:type="pct"/>
            <w:noWrap/>
            <w:hideMark/>
          </w:tcPr>
          <w:p w:rsidR="00E61862" w:rsidRPr="003C4CF6" w:rsidRDefault="00E61862" w:rsidP="004849FD">
            <w:pPr>
              <w:spacing w:before="60" w:after="60"/>
              <w:ind w:right="567"/>
              <w:jc w:val="right"/>
            </w:pPr>
            <w:r w:rsidRPr="003C4CF6">
              <w:t>9,09 %</w:t>
            </w:r>
          </w:p>
        </w:tc>
        <w:tc>
          <w:tcPr>
            <w:tcW w:w="863" w:type="pct"/>
          </w:tcPr>
          <w:p w:rsidR="00E61862" w:rsidRPr="003C4CF6" w:rsidRDefault="00E61862" w:rsidP="004849FD">
            <w:pPr>
              <w:spacing w:before="60" w:after="60"/>
              <w:ind w:right="567"/>
              <w:jc w:val="right"/>
            </w:pPr>
            <w:r w:rsidRPr="003C4CF6">
              <w:t>10,45 %</w:t>
            </w:r>
          </w:p>
        </w:tc>
        <w:tc>
          <w:tcPr>
            <w:tcW w:w="1512" w:type="pct"/>
            <w:noWrap/>
            <w:hideMark/>
          </w:tcPr>
          <w:p w:rsidR="00E61862" w:rsidRPr="003C4CF6" w:rsidRDefault="00E61862" w:rsidP="004849FD">
            <w:pPr>
              <w:spacing w:before="60" w:after="60"/>
              <w:ind w:right="1134"/>
              <w:jc w:val="right"/>
            </w:pPr>
            <w:r w:rsidRPr="003C4CF6">
              <w:t>1 000</w:t>
            </w:r>
          </w:p>
        </w:tc>
      </w:tr>
      <w:tr w:rsidR="00E61862" w:rsidRPr="003C4CF6" w:rsidTr="004849FD">
        <w:trPr>
          <w:trHeight w:val="20"/>
        </w:trPr>
        <w:tc>
          <w:tcPr>
            <w:tcW w:w="1810" w:type="pct"/>
            <w:noWrap/>
            <w:hideMark/>
          </w:tcPr>
          <w:p w:rsidR="00E61862" w:rsidRPr="003C4CF6" w:rsidRDefault="00E61862" w:rsidP="004849FD">
            <w:pPr>
              <w:pStyle w:val="Point0"/>
              <w:spacing w:before="60" w:after="60" w:line="240" w:lineRule="auto"/>
              <w:rPr>
                <w:b/>
                <w:bCs/>
              </w:rPr>
            </w:pPr>
            <w:r w:rsidRPr="003C4CF6">
              <w:rPr>
                <w:b/>
              </w:rPr>
              <w:t>2b.</w:t>
            </w:r>
            <w:r w:rsidRPr="003C4CF6">
              <w:rPr>
                <w:b/>
              </w:rPr>
              <w:tab/>
              <w:t>Otpornost i vrijednosti</w:t>
            </w:r>
          </w:p>
        </w:tc>
        <w:tc>
          <w:tcPr>
            <w:tcW w:w="815" w:type="pct"/>
            <w:noWrap/>
            <w:hideMark/>
          </w:tcPr>
          <w:p w:rsidR="00E61862" w:rsidRPr="003C4CF6" w:rsidRDefault="00E61862" w:rsidP="004849FD">
            <w:pPr>
              <w:spacing w:before="60" w:after="60"/>
              <w:ind w:right="567"/>
              <w:jc w:val="right"/>
              <w:rPr>
                <w:b/>
              </w:rPr>
            </w:pPr>
            <w:r w:rsidRPr="003C4CF6">
              <w:rPr>
                <w:b/>
              </w:rPr>
              <w:t>54,55 %</w:t>
            </w:r>
          </w:p>
        </w:tc>
        <w:tc>
          <w:tcPr>
            <w:tcW w:w="863" w:type="pct"/>
          </w:tcPr>
          <w:p w:rsidR="00E61862" w:rsidRPr="003C4CF6" w:rsidRDefault="00E61862" w:rsidP="004849FD">
            <w:pPr>
              <w:spacing w:before="60" w:after="60"/>
              <w:ind w:right="567"/>
              <w:jc w:val="right"/>
              <w:rPr>
                <w:b/>
              </w:rPr>
            </w:pPr>
            <w:r w:rsidRPr="003C4CF6">
              <w:rPr>
                <w:b/>
              </w:rPr>
              <w:t>47,76 %</w:t>
            </w:r>
          </w:p>
        </w:tc>
        <w:tc>
          <w:tcPr>
            <w:tcW w:w="1512" w:type="pct"/>
            <w:noWrap/>
            <w:hideMark/>
          </w:tcPr>
          <w:p w:rsidR="00E61862" w:rsidRPr="003C4CF6" w:rsidRDefault="00E61862" w:rsidP="004849FD">
            <w:pPr>
              <w:spacing w:before="60" w:after="60"/>
              <w:ind w:right="1134"/>
              <w:jc w:val="right"/>
              <w:rPr>
                <w:b/>
                <w:strike/>
              </w:rPr>
            </w:pPr>
            <w:r w:rsidRPr="003C4CF6">
              <w:rPr>
                <w:b/>
              </w:rPr>
              <w:t>5 155</w:t>
            </w:r>
          </w:p>
        </w:tc>
      </w:tr>
      <w:tr w:rsidR="00E61862" w:rsidRPr="003C4CF6" w:rsidTr="004849FD">
        <w:trPr>
          <w:trHeight w:val="20"/>
        </w:trPr>
        <w:tc>
          <w:tcPr>
            <w:tcW w:w="1810" w:type="pct"/>
            <w:noWrap/>
            <w:hideMark/>
          </w:tcPr>
          <w:p w:rsidR="00E61862" w:rsidRPr="003C4CF6" w:rsidRDefault="00E61862" w:rsidP="004849FD">
            <w:pPr>
              <w:pStyle w:val="Text1"/>
              <w:spacing w:before="60" w:after="60" w:line="240" w:lineRule="auto"/>
            </w:pPr>
            <w:r w:rsidRPr="003C4CF6">
              <w:t>EU za zdravlje</w:t>
            </w:r>
          </w:p>
        </w:tc>
        <w:tc>
          <w:tcPr>
            <w:tcW w:w="815" w:type="pct"/>
            <w:noWrap/>
            <w:hideMark/>
          </w:tcPr>
          <w:p w:rsidR="00E61862" w:rsidRPr="003C4CF6" w:rsidRDefault="00E61862" w:rsidP="004849FD">
            <w:pPr>
              <w:spacing w:before="60" w:after="60"/>
              <w:ind w:right="567"/>
              <w:jc w:val="right"/>
            </w:pPr>
            <w:r w:rsidRPr="003C4CF6">
              <w:t>26,37 %</w:t>
            </w:r>
          </w:p>
        </w:tc>
        <w:tc>
          <w:tcPr>
            <w:tcW w:w="863" w:type="pct"/>
          </w:tcPr>
          <w:p w:rsidR="00E61862" w:rsidRPr="003C4CF6" w:rsidRDefault="00E61862" w:rsidP="004849FD">
            <w:pPr>
              <w:spacing w:before="60" w:after="60"/>
              <w:ind w:right="567"/>
              <w:jc w:val="right"/>
            </w:pPr>
            <w:r w:rsidRPr="003C4CF6">
              <w:t>15,37 %</w:t>
            </w:r>
          </w:p>
        </w:tc>
        <w:tc>
          <w:tcPr>
            <w:tcW w:w="1512" w:type="pct"/>
            <w:noWrap/>
            <w:hideMark/>
          </w:tcPr>
          <w:p w:rsidR="00E61862" w:rsidRPr="003C4CF6" w:rsidRDefault="00E61862" w:rsidP="004849FD">
            <w:pPr>
              <w:spacing w:before="60" w:after="60"/>
              <w:ind w:right="1134"/>
              <w:jc w:val="right"/>
              <w:rPr>
                <w:bCs/>
                <w:strike/>
              </w:rPr>
            </w:pPr>
            <w:r w:rsidRPr="003C4CF6">
              <w:t>2 055</w:t>
            </w:r>
          </w:p>
        </w:tc>
      </w:tr>
      <w:tr w:rsidR="00E61862" w:rsidRPr="003C4CF6" w:rsidTr="004849FD">
        <w:trPr>
          <w:trHeight w:val="20"/>
        </w:trPr>
        <w:tc>
          <w:tcPr>
            <w:tcW w:w="1810" w:type="pct"/>
            <w:noWrap/>
            <w:hideMark/>
          </w:tcPr>
          <w:p w:rsidR="00E61862" w:rsidRPr="003C4CF6" w:rsidRDefault="00E61862" w:rsidP="004849FD">
            <w:pPr>
              <w:pStyle w:val="Text1"/>
              <w:spacing w:before="60" w:after="60" w:line="240" w:lineRule="auto"/>
            </w:pPr>
            <w:proofErr w:type="spellStart"/>
            <w:r w:rsidRPr="003C4CF6">
              <w:t>Erasmus</w:t>
            </w:r>
            <w:proofErr w:type="spellEnd"/>
            <w:r w:rsidRPr="003C4CF6">
              <w:t>+</w:t>
            </w:r>
          </w:p>
        </w:tc>
        <w:tc>
          <w:tcPr>
            <w:tcW w:w="815" w:type="pct"/>
            <w:noWrap/>
            <w:hideMark/>
          </w:tcPr>
          <w:p w:rsidR="00E61862" w:rsidRPr="003C4CF6" w:rsidRDefault="00E61862" w:rsidP="004849FD">
            <w:pPr>
              <w:spacing w:before="60" w:after="60"/>
              <w:ind w:right="567"/>
              <w:jc w:val="right"/>
            </w:pPr>
            <w:r w:rsidRPr="003C4CF6">
              <w:t>15,46 %</w:t>
            </w:r>
          </w:p>
        </w:tc>
        <w:tc>
          <w:tcPr>
            <w:tcW w:w="863" w:type="pct"/>
          </w:tcPr>
          <w:p w:rsidR="00E61862" w:rsidRPr="003C4CF6" w:rsidRDefault="00E61862" w:rsidP="004849FD">
            <w:pPr>
              <w:spacing w:before="60" w:after="60"/>
              <w:ind w:right="567"/>
              <w:jc w:val="right"/>
            </w:pPr>
            <w:r w:rsidRPr="003C4CF6">
              <w:t>17,77 %</w:t>
            </w:r>
          </w:p>
        </w:tc>
        <w:tc>
          <w:tcPr>
            <w:tcW w:w="1512" w:type="pct"/>
            <w:noWrap/>
            <w:hideMark/>
          </w:tcPr>
          <w:p w:rsidR="00E61862" w:rsidRPr="003C4CF6" w:rsidRDefault="00E61862" w:rsidP="004849FD">
            <w:pPr>
              <w:spacing w:before="60" w:after="60"/>
              <w:ind w:right="1134"/>
              <w:jc w:val="right"/>
            </w:pPr>
            <w:r w:rsidRPr="003C4CF6">
              <w:t>1 700</w:t>
            </w:r>
          </w:p>
        </w:tc>
      </w:tr>
      <w:tr w:rsidR="00E61862" w:rsidRPr="003C4CF6" w:rsidTr="004849FD">
        <w:trPr>
          <w:trHeight w:val="20"/>
        </w:trPr>
        <w:tc>
          <w:tcPr>
            <w:tcW w:w="1810" w:type="pct"/>
            <w:noWrap/>
            <w:hideMark/>
          </w:tcPr>
          <w:p w:rsidR="00E61862" w:rsidRPr="003C4CF6" w:rsidRDefault="00E61862" w:rsidP="004849FD">
            <w:pPr>
              <w:pStyle w:val="Text1"/>
              <w:spacing w:before="60" w:after="60" w:line="240" w:lineRule="auto"/>
            </w:pPr>
            <w:r w:rsidRPr="003C4CF6">
              <w:t>Kreativna Europa</w:t>
            </w:r>
          </w:p>
        </w:tc>
        <w:tc>
          <w:tcPr>
            <w:tcW w:w="815" w:type="pct"/>
            <w:noWrap/>
            <w:hideMark/>
          </w:tcPr>
          <w:p w:rsidR="00E61862" w:rsidRPr="003C4CF6" w:rsidRDefault="00E61862" w:rsidP="004849FD">
            <w:pPr>
              <w:spacing w:before="60" w:after="60"/>
              <w:ind w:right="567"/>
              <w:jc w:val="right"/>
            </w:pPr>
            <w:r w:rsidRPr="003C4CF6">
              <w:t>5,45 %</w:t>
            </w:r>
          </w:p>
        </w:tc>
        <w:tc>
          <w:tcPr>
            <w:tcW w:w="863" w:type="pct"/>
          </w:tcPr>
          <w:p w:rsidR="00E61862" w:rsidRPr="003C4CF6" w:rsidRDefault="00E61862" w:rsidP="004849FD">
            <w:pPr>
              <w:spacing w:before="60" w:after="60"/>
              <w:ind w:right="567"/>
              <w:jc w:val="right"/>
            </w:pPr>
            <w:r w:rsidRPr="003C4CF6">
              <w:t>6,26 %</w:t>
            </w:r>
          </w:p>
        </w:tc>
        <w:tc>
          <w:tcPr>
            <w:tcW w:w="1512" w:type="pct"/>
            <w:noWrap/>
            <w:hideMark/>
          </w:tcPr>
          <w:p w:rsidR="00E61862" w:rsidRPr="003C4CF6" w:rsidRDefault="00E61862" w:rsidP="004849FD">
            <w:pPr>
              <w:spacing w:before="60" w:after="60"/>
              <w:ind w:right="1134"/>
              <w:jc w:val="right"/>
            </w:pPr>
            <w:r w:rsidRPr="003C4CF6">
              <w:t>600</w:t>
            </w:r>
          </w:p>
        </w:tc>
      </w:tr>
      <w:tr w:rsidR="00E61862" w:rsidRPr="003C4CF6" w:rsidTr="004849FD">
        <w:trPr>
          <w:trHeight w:val="20"/>
        </w:trPr>
        <w:tc>
          <w:tcPr>
            <w:tcW w:w="1810" w:type="pct"/>
            <w:noWrap/>
            <w:hideMark/>
          </w:tcPr>
          <w:p w:rsidR="00E61862" w:rsidRPr="003C4CF6" w:rsidRDefault="00E61862" w:rsidP="004849FD">
            <w:pPr>
              <w:pStyle w:val="Text1"/>
              <w:spacing w:before="60" w:after="60" w:line="240" w:lineRule="auto"/>
            </w:pPr>
            <w:r w:rsidRPr="003C4CF6">
              <w:t>Prava i vrijednosti</w:t>
            </w:r>
          </w:p>
        </w:tc>
        <w:tc>
          <w:tcPr>
            <w:tcW w:w="815" w:type="pct"/>
            <w:noWrap/>
            <w:hideMark/>
          </w:tcPr>
          <w:p w:rsidR="00E61862" w:rsidRPr="003C4CF6" w:rsidRDefault="00E61862" w:rsidP="004849FD">
            <w:pPr>
              <w:spacing w:before="60" w:after="60"/>
              <w:ind w:right="567"/>
              <w:jc w:val="right"/>
            </w:pPr>
            <w:r w:rsidRPr="003C4CF6">
              <w:t>7,27 %</w:t>
            </w:r>
          </w:p>
        </w:tc>
        <w:tc>
          <w:tcPr>
            <w:tcW w:w="863" w:type="pct"/>
          </w:tcPr>
          <w:p w:rsidR="00E61862" w:rsidRPr="003C4CF6" w:rsidRDefault="00E61862" w:rsidP="004849FD">
            <w:pPr>
              <w:spacing w:before="60" w:after="60"/>
              <w:ind w:right="567"/>
              <w:jc w:val="right"/>
              <w:rPr>
                <w:b/>
              </w:rPr>
            </w:pPr>
            <w:r w:rsidRPr="003C4CF6">
              <w:rPr>
                <w:b/>
              </w:rPr>
              <w:t>8,36 %</w:t>
            </w:r>
          </w:p>
        </w:tc>
        <w:tc>
          <w:tcPr>
            <w:tcW w:w="1512" w:type="pct"/>
            <w:noWrap/>
            <w:hideMark/>
          </w:tcPr>
          <w:p w:rsidR="00E61862" w:rsidRPr="003C4CF6" w:rsidRDefault="00E61862" w:rsidP="004849FD">
            <w:pPr>
              <w:spacing w:before="60" w:after="60"/>
              <w:ind w:right="1134"/>
              <w:jc w:val="right"/>
            </w:pPr>
            <w:r w:rsidRPr="003C4CF6">
              <w:t>800</w:t>
            </w:r>
          </w:p>
        </w:tc>
      </w:tr>
      <w:tr w:rsidR="00E61862" w:rsidRPr="003C4CF6" w:rsidTr="004849FD">
        <w:trPr>
          <w:trHeight w:val="20"/>
        </w:trPr>
        <w:tc>
          <w:tcPr>
            <w:tcW w:w="1810" w:type="pct"/>
            <w:noWrap/>
            <w:hideMark/>
          </w:tcPr>
          <w:p w:rsidR="00E61862" w:rsidRPr="003C4CF6" w:rsidRDefault="00E61862" w:rsidP="004849FD">
            <w:pPr>
              <w:pStyle w:val="Point0"/>
              <w:spacing w:before="60" w:after="60" w:line="240" w:lineRule="auto"/>
              <w:rPr>
                <w:b/>
                <w:bCs/>
              </w:rPr>
            </w:pPr>
            <w:r w:rsidRPr="003C4CF6">
              <w:rPr>
                <w:b/>
              </w:rPr>
              <w:t>4.</w:t>
            </w:r>
            <w:r w:rsidRPr="003C4CF6">
              <w:rPr>
                <w:b/>
              </w:rPr>
              <w:tab/>
              <w:t>Migracije i upravljanje granicama</w:t>
            </w:r>
          </w:p>
        </w:tc>
        <w:tc>
          <w:tcPr>
            <w:tcW w:w="815" w:type="pct"/>
            <w:noWrap/>
            <w:hideMark/>
          </w:tcPr>
          <w:p w:rsidR="00E61862" w:rsidRPr="003C4CF6" w:rsidRDefault="00E61862" w:rsidP="004849FD">
            <w:pPr>
              <w:spacing w:before="60" w:after="60"/>
              <w:ind w:right="567"/>
              <w:jc w:val="right"/>
              <w:rPr>
                <w:b/>
              </w:rPr>
            </w:pPr>
            <w:r w:rsidRPr="003C4CF6">
              <w:rPr>
                <w:b/>
              </w:rPr>
              <w:t>9,09 %</w:t>
            </w:r>
          </w:p>
        </w:tc>
        <w:tc>
          <w:tcPr>
            <w:tcW w:w="863" w:type="pct"/>
          </w:tcPr>
          <w:p w:rsidR="00E61862" w:rsidRPr="003C4CF6" w:rsidRDefault="00E61862" w:rsidP="004849FD">
            <w:pPr>
              <w:spacing w:before="60" w:after="60"/>
              <w:ind w:right="567"/>
              <w:jc w:val="right"/>
              <w:rPr>
                <w:b/>
              </w:rPr>
            </w:pPr>
            <w:r w:rsidRPr="003C4CF6">
              <w:rPr>
                <w:b/>
              </w:rPr>
              <w:t>10,45 %</w:t>
            </w:r>
          </w:p>
        </w:tc>
        <w:tc>
          <w:tcPr>
            <w:tcW w:w="1512" w:type="pct"/>
            <w:noWrap/>
            <w:hideMark/>
          </w:tcPr>
          <w:p w:rsidR="00E61862" w:rsidRPr="003C4CF6" w:rsidRDefault="00E61862" w:rsidP="004849FD">
            <w:pPr>
              <w:spacing w:before="60" w:after="60"/>
              <w:ind w:right="1134"/>
              <w:jc w:val="right"/>
              <w:rPr>
                <w:b/>
              </w:rPr>
            </w:pPr>
            <w:r w:rsidRPr="003C4CF6">
              <w:rPr>
                <w:b/>
              </w:rPr>
              <w:t>1 000</w:t>
            </w:r>
          </w:p>
        </w:tc>
      </w:tr>
      <w:tr w:rsidR="00E61862" w:rsidRPr="003C4CF6" w:rsidTr="004849FD">
        <w:trPr>
          <w:trHeight w:val="20"/>
        </w:trPr>
        <w:tc>
          <w:tcPr>
            <w:tcW w:w="1810" w:type="pct"/>
            <w:noWrap/>
            <w:hideMark/>
          </w:tcPr>
          <w:p w:rsidR="00E61862" w:rsidRPr="003C4CF6" w:rsidRDefault="00E61862" w:rsidP="004849FD">
            <w:pPr>
              <w:pStyle w:val="Text1"/>
              <w:spacing w:before="60" w:after="60" w:line="240" w:lineRule="auto"/>
            </w:pPr>
            <w:r w:rsidRPr="003C4CF6">
              <w:t>Fond za integrirano upravljanje granicama</w:t>
            </w:r>
          </w:p>
        </w:tc>
        <w:tc>
          <w:tcPr>
            <w:tcW w:w="815" w:type="pct"/>
            <w:noWrap/>
            <w:hideMark/>
          </w:tcPr>
          <w:p w:rsidR="00E61862" w:rsidRPr="003C4CF6" w:rsidRDefault="00E61862" w:rsidP="004849FD">
            <w:pPr>
              <w:spacing w:before="60" w:after="60"/>
              <w:ind w:right="567"/>
              <w:jc w:val="right"/>
            </w:pPr>
            <w:r w:rsidRPr="003C4CF6">
              <w:t>9,09 %</w:t>
            </w:r>
          </w:p>
        </w:tc>
        <w:tc>
          <w:tcPr>
            <w:tcW w:w="863" w:type="pct"/>
          </w:tcPr>
          <w:p w:rsidR="00E61862" w:rsidRPr="003C4CF6" w:rsidRDefault="00E61862" w:rsidP="004849FD">
            <w:pPr>
              <w:spacing w:before="60" w:after="60"/>
              <w:ind w:right="567"/>
              <w:jc w:val="right"/>
            </w:pPr>
            <w:r w:rsidRPr="003C4CF6">
              <w:t>10,45 %</w:t>
            </w:r>
          </w:p>
        </w:tc>
        <w:tc>
          <w:tcPr>
            <w:tcW w:w="1512" w:type="pct"/>
            <w:noWrap/>
            <w:hideMark/>
          </w:tcPr>
          <w:p w:rsidR="00E61862" w:rsidRPr="003C4CF6" w:rsidRDefault="00E61862" w:rsidP="004849FD">
            <w:pPr>
              <w:spacing w:before="60" w:after="60"/>
              <w:ind w:right="1134"/>
              <w:jc w:val="right"/>
            </w:pPr>
            <w:r w:rsidRPr="003C4CF6">
              <w:t>1 000</w:t>
            </w:r>
          </w:p>
        </w:tc>
      </w:tr>
      <w:tr w:rsidR="00E61862" w:rsidRPr="003C4CF6" w:rsidTr="004849FD">
        <w:trPr>
          <w:trHeight w:val="20"/>
        </w:trPr>
        <w:tc>
          <w:tcPr>
            <w:tcW w:w="1810" w:type="pct"/>
            <w:tcBorders>
              <w:bottom w:val="single" w:sz="4" w:space="0" w:color="auto"/>
            </w:tcBorders>
            <w:noWrap/>
            <w:hideMark/>
          </w:tcPr>
          <w:p w:rsidR="00E61862" w:rsidRPr="003C4CF6" w:rsidRDefault="00E61862" w:rsidP="004849FD">
            <w:pPr>
              <w:spacing w:before="60" w:after="60"/>
              <w:rPr>
                <w:b/>
              </w:rPr>
            </w:pPr>
            <w:r w:rsidRPr="003C4CF6">
              <w:rPr>
                <w:b/>
              </w:rPr>
              <w:t>UKUPNO</w:t>
            </w:r>
          </w:p>
        </w:tc>
        <w:tc>
          <w:tcPr>
            <w:tcW w:w="815" w:type="pct"/>
            <w:tcBorders>
              <w:bottom w:val="single" w:sz="4" w:space="0" w:color="auto"/>
            </w:tcBorders>
            <w:noWrap/>
            <w:hideMark/>
          </w:tcPr>
          <w:p w:rsidR="00E61862" w:rsidRPr="003C4CF6" w:rsidRDefault="00E61862" w:rsidP="004849FD">
            <w:pPr>
              <w:spacing w:before="60" w:after="60"/>
              <w:ind w:right="567"/>
              <w:jc w:val="right"/>
              <w:rPr>
                <w:b/>
              </w:rPr>
            </w:pPr>
            <w:r w:rsidRPr="003C4CF6">
              <w:rPr>
                <w:b/>
              </w:rPr>
              <w:t>100,00 %</w:t>
            </w:r>
          </w:p>
        </w:tc>
        <w:tc>
          <w:tcPr>
            <w:tcW w:w="863" w:type="pct"/>
            <w:tcBorders>
              <w:bottom w:val="single" w:sz="4" w:space="0" w:color="auto"/>
            </w:tcBorders>
          </w:tcPr>
          <w:p w:rsidR="00E61862" w:rsidRPr="003C4CF6" w:rsidRDefault="00E61862" w:rsidP="004849FD">
            <w:pPr>
              <w:spacing w:before="60" w:after="60"/>
              <w:ind w:right="567"/>
              <w:jc w:val="right"/>
              <w:rPr>
                <w:b/>
              </w:rPr>
            </w:pPr>
            <w:r w:rsidRPr="003C4CF6">
              <w:rPr>
                <w:b/>
              </w:rPr>
              <w:t>100,00 %</w:t>
            </w:r>
          </w:p>
        </w:tc>
        <w:tc>
          <w:tcPr>
            <w:tcW w:w="1512" w:type="pct"/>
            <w:tcBorders>
              <w:bottom w:val="single" w:sz="4" w:space="0" w:color="auto"/>
            </w:tcBorders>
            <w:noWrap/>
            <w:hideMark/>
          </w:tcPr>
          <w:p w:rsidR="00E61862" w:rsidRPr="003C4CF6" w:rsidRDefault="00E61862" w:rsidP="004849FD">
            <w:pPr>
              <w:spacing w:before="60" w:after="60"/>
              <w:ind w:right="1134"/>
              <w:jc w:val="right"/>
              <w:rPr>
                <w:b/>
                <w:strike/>
              </w:rPr>
            </w:pPr>
            <w:r w:rsidRPr="003C4CF6">
              <w:rPr>
                <w:b/>
              </w:rPr>
              <w:t>10 155</w:t>
            </w:r>
          </w:p>
        </w:tc>
      </w:tr>
    </w:tbl>
    <w:p w:rsidR="00E61862" w:rsidRPr="003C4CF6" w:rsidRDefault="00E61862" w:rsidP="00E61862">
      <w:pPr>
        <w:jc w:val="right"/>
      </w:pPr>
      <w:r w:rsidRPr="003C4CF6">
        <w:t>”.</w:t>
      </w:r>
    </w:p>
    <w:p w:rsidR="00E61862" w:rsidRPr="003C4CF6" w:rsidRDefault="00E61862" w:rsidP="00E61862">
      <w:pPr>
        <w:widowControl/>
        <w:sectPr w:rsidR="00E61862" w:rsidRPr="003C4CF6" w:rsidSect="009E6EE3">
          <w:headerReference w:type="even" r:id="rId15"/>
          <w:headerReference w:type="default" r:id="rId16"/>
          <w:headerReference w:type="first" r:id="rId17"/>
          <w:footerReference w:type="first" r:id="rId18"/>
          <w:footnotePr>
            <w:numRestart w:val="eachPage"/>
          </w:footnotePr>
          <w:endnotePr>
            <w:numFmt w:val="decimal"/>
          </w:endnotePr>
          <w:pgSz w:w="16838" w:h="11906" w:orient="landscape" w:code="9"/>
          <w:pgMar w:top="1418" w:right="1134" w:bottom="1418" w:left="1418" w:header="1134" w:footer="567" w:gutter="0"/>
          <w:cols w:space="720"/>
          <w:noEndnote/>
          <w:docGrid w:linePitch="326"/>
        </w:sectPr>
      </w:pPr>
      <w:bookmarkStart w:id="11" w:name="_Toc159509474"/>
      <w:r w:rsidRPr="003C4CF6">
        <w:br w:type="page"/>
      </w:r>
    </w:p>
    <w:p w:rsidR="00E61862" w:rsidRPr="003C4CF6" w:rsidRDefault="00E61862" w:rsidP="00E61862">
      <w:pPr>
        <w:widowControl/>
        <w:rPr>
          <w:rFonts w:ascii="Arial" w:hAnsi="Arial" w:cs="Arial"/>
          <w:b/>
        </w:rPr>
      </w:pPr>
    </w:p>
    <w:p w:rsidR="00E61862" w:rsidRPr="003C4CF6" w:rsidRDefault="00E61862" w:rsidP="00E61862">
      <w:pPr>
        <w:pStyle w:val="PageHeading"/>
        <w:rPr>
          <w:caps/>
        </w:rPr>
      </w:pPr>
      <w:bookmarkStart w:id="12" w:name="_Toc159565233"/>
      <w:r w:rsidRPr="003C4CF6">
        <w:t xml:space="preserve">PRILOG 2.: </w:t>
      </w:r>
      <w:r w:rsidRPr="003C4CF6">
        <w:rPr>
          <w:caps/>
        </w:rPr>
        <w:t>Zajednička izjava Europskog parlamenta, Vijeća i Komisije o ponovnoj upotrebi opozvanih sredstava u vezi s istraživačkim programom</w:t>
      </w:r>
      <w:bookmarkEnd w:id="11"/>
      <w:bookmarkEnd w:id="12"/>
    </w:p>
    <w:p w:rsidR="00E61862" w:rsidRPr="003C4CF6" w:rsidRDefault="00E61862" w:rsidP="00E61862">
      <w:pPr>
        <w:pStyle w:val="NormalWeb"/>
        <w:shd w:val="clear" w:color="auto" w:fill="FFFFFF" w:themeFill="background1"/>
        <w:spacing w:before="0" w:beforeAutospacing="0" w:after="240" w:afterAutospacing="0"/>
        <w:jc w:val="both"/>
      </w:pPr>
      <w:r w:rsidRPr="003C4CF6">
        <w:t>U Zajedničkoj izjavi od 22. prosinca 2020. o ponovnoj upotrebi opozvanih sredstava u vezi s istraživačkim programom</w:t>
      </w:r>
      <w:r w:rsidRPr="003C4CF6">
        <w:rPr>
          <w:rStyle w:val="FootnoteReference"/>
        </w:rPr>
        <w:footnoteReference w:id="12"/>
      </w:r>
      <w:r w:rsidRPr="003C4CF6">
        <w:t xml:space="preserve"> Europski parlament, Vijeće i Komisija usuglasili su se da će u korist istraživačkog programa ponovno staviti na raspolaganje odobrena sredstva za preuzimanje obveza u iznosu do 0,5 milijardi EUR (u cijenama iz 2018.) u razdoblju 2021. – 2027., što je posljedica potpunog ili djelomičnog neprovođenja projekata koji su dio tog programa ili njegova prethodnika, kako je predviđeno člankom 15. stavkom 3. Financijske uredbe.</w:t>
      </w:r>
    </w:p>
    <w:p w:rsidR="00E61862" w:rsidRPr="003C4CF6" w:rsidRDefault="00E61862" w:rsidP="00C42B06">
      <w:pPr>
        <w:pStyle w:val="NormalWeb"/>
        <w:shd w:val="clear" w:color="auto" w:fill="FFFFFF" w:themeFill="background1"/>
        <w:spacing w:before="0" w:beforeAutospacing="0" w:after="240" w:afterAutospacing="0"/>
        <w:jc w:val="both"/>
      </w:pPr>
      <w:r w:rsidRPr="003C4CF6">
        <w:t>Ne dovodeći u pitanje ovlasti proračunskog tijela u okviru godišnjeg proračunskog postupka ni ovlasti Komisije za izvršenje proračuna, Europski parlament, Vijeće i Komisija suglasni su da će se u korist istraživačkog programa u razdoblju 2025. – 2027. ponovno staviti na raspolaganje dodatan iznos od 100 milijuna EUR (u cijenama iz 2018.), što odgovara sredstvima koja su opozvana u 2019. i 2020. uslijed potpunog ili djelomičnog neprovođenja projekata koji su dio tog programa ili njegova prethodnika, a koja nisu ponovno stavljena na raspolaganje na temelju članka 15. stavka 3. Financijske uredbe slijedom Zajedničke izjave od 22. prosinca 202</w:t>
      </w:r>
      <w:r w:rsidR="00E42BC1">
        <w:t>0</w:t>
      </w:r>
      <w:bookmarkStart w:id="13" w:name="_GoBack"/>
      <w:bookmarkEnd w:id="13"/>
      <w:r w:rsidRPr="003C4CF6">
        <w:t>. To ne utječe na raspoložive iznose opozvanih sredstava za Instrument EURI iz članka 10.a Uredbe (EU, Euratom) 2020/2093.</w:t>
      </w:r>
    </w:p>
    <w:sectPr w:rsidR="00E61862" w:rsidRPr="003C4CF6" w:rsidSect="009E6EE3">
      <w:headerReference w:type="even" r:id="rId19"/>
      <w:headerReference w:type="default" r:id="rId20"/>
      <w:footerReference w:type="even" r:id="rId21"/>
      <w:footerReference w:type="default" r:id="rId22"/>
      <w:headerReference w:type="first" r:id="rId23"/>
      <w:footerReference w:type="first" r:id="rId2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6B39" w:rsidRPr="009E6EE3" w:rsidRDefault="00096B39">
      <w:r w:rsidRPr="009E6EE3">
        <w:separator/>
      </w:r>
    </w:p>
  </w:endnote>
  <w:endnote w:type="continuationSeparator" w:id="0">
    <w:p w:rsidR="00096B39" w:rsidRPr="009E6EE3" w:rsidRDefault="00096B39">
      <w:r w:rsidRPr="009E6E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1862" w:rsidRPr="009E6EE3" w:rsidRDefault="00E61862" w:rsidP="00AA2CE5">
    <w:pPr>
      <w:pStyle w:val="EPFooter"/>
    </w:pPr>
    <w:r w:rsidRPr="009E6EE3">
      <w:t>PE</w:t>
    </w:r>
    <w:r w:rsidRPr="009E6EE3">
      <w:rPr>
        <w:rStyle w:val="HideTWBExt"/>
      </w:rPr>
      <w:t>&lt;NoPE&gt;</w:t>
    </w:r>
    <w:r w:rsidRPr="009E6EE3">
      <w:t>758.992</w:t>
    </w:r>
    <w:r w:rsidRPr="009E6EE3">
      <w:rPr>
        <w:rStyle w:val="HideTWBExt"/>
      </w:rPr>
      <w:t>&lt;/NoPE&gt;&lt;Version&gt;</w:t>
    </w:r>
    <w:r w:rsidRPr="009E6EE3">
      <w:t>v02-00</w:t>
    </w:r>
    <w:r w:rsidRPr="009E6EE3">
      <w:rPr>
        <w:rStyle w:val="HideTWBExt"/>
      </w:rPr>
      <w:t>&lt;/Version&gt;</w:t>
    </w:r>
    <w:r w:rsidRPr="009E6EE3">
      <w:tab/>
    </w:r>
    <w:r w:rsidRPr="009E6EE3">
      <w:fldChar w:fldCharType="begin"/>
    </w:r>
    <w:r w:rsidRPr="009E6EE3">
      <w:instrText xml:space="preserve"> PAGE  \* MERGEFORMAT </w:instrText>
    </w:r>
    <w:r w:rsidRPr="009E6EE3">
      <w:fldChar w:fldCharType="separate"/>
    </w:r>
    <w:r w:rsidR="009E6EE3" w:rsidRPr="009E6EE3">
      <w:rPr>
        <w:noProof/>
      </w:rPr>
      <w:t>2</w:t>
    </w:r>
    <w:r w:rsidRPr="009E6EE3">
      <w:fldChar w:fldCharType="end"/>
    </w:r>
    <w:r w:rsidRPr="009E6EE3">
      <w:t>/</w:t>
    </w:r>
    <w:r w:rsidR="00E42BC1">
      <w:fldChar w:fldCharType="begin"/>
    </w:r>
    <w:r w:rsidR="00E42BC1">
      <w:instrText xml:space="preserve"> NUMPAGES  \* MERGEFORMAT </w:instrText>
    </w:r>
    <w:r w:rsidR="00E42BC1">
      <w:fldChar w:fldCharType="separate"/>
    </w:r>
    <w:r w:rsidR="009E6EE3" w:rsidRPr="009E6EE3">
      <w:rPr>
        <w:noProof/>
      </w:rPr>
      <w:t>3</w:t>
    </w:r>
    <w:r w:rsidR="00E42BC1">
      <w:rPr>
        <w:noProof/>
      </w:rPr>
      <w:fldChar w:fldCharType="end"/>
    </w:r>
    <w:r w:rsidRPr="009E6EE3">
      <w:tab/>
    </w:r>
    <w:r w:rsidRPr="009E6EE3">
      <w:rPr>
        <w:rStyle w:val="HideTWBExt"/>
      </w:rPr>
      <w:t>&lt;PathFdR&gt;</w:t>
    </w:r>
    <w:r w:rsidRPr="009E6EE3">
      <w:t>RR\1297557HR.docx</w:t>
    </w:r>
    <w:r w:rsidRPr="009E6EE3">
      <w:rPr>
        <w:rStyle w:val="HideTWBExt"/>
      </w:rPr>
      <w:t>&lt;/PathFdR&gt;</w:t>
    </w:r>
  </w:p>
  <w:p w:rsidR="00E61862" w:rsidRPr="009E6EE3" w:rsidRDefault="00E61862" w:rsidP="00AA2CE5">
    <w:pPr>
      <w:pStyle w:val="EPFooter2"/>
    </w:pPr>
    <w:r w:rsidRPr="009E6EE3">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1862" w:rsidRPr="009E6EE3" w:rsidRDefault="00E61862" w:rsidP="00AA2CE5">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1862" w:rsidRPr="009E6EE3" w:rsidRDefault="00E61862" w:rsidP="00AA2CE5">
    <w:pPr>
      <w:pStyle w:val="EPFooter"/>
    </w:pPr>
    <w:r w:rsidRPr="009E6EE3">
      <w:rPr>
        <w:rStyle w:val="HideTWBExt"/>
      </w:rPr>
      <w:t>&lt;PathFdR&gt;</w:t>
    </w:r>
    <w:r w:rsidRPr="009E6EE3">
      <w:t>RR\1297557HR.docx</w:t>
    </w:r>
    <w:r w:rsidRPr="009E6EE3">
      <w:rPr>
        <w:rStyle w:val="HideTWBExt"/>
      </w:rPr>
      <w:t>&lt;/PathFdR&gt;</w:t>
    </w:r>
    <w:r w:rsidRPr="009E6EE3">
      <w:tab/>
    </w:r>
    <w:r w:rsidRPr="009E6EE3">
      <w:tab/>
      <w:t>PE</w:t>
    </w:r>
    <w:r w:rsidRPr="009E6EE3">
      <w:rPr>
        <w:rStyle w:val="HideTWBExt"/>
      </w:rPr>
      <w:t>&lt;NoPE&gt;</w:t>
    </w:r>
    <w:r w:rsidRPr="009E6EE3">
      <w:t>758.992</w:t>
    </w:r>
    <w:r w:rsidRPr="009E6EE3">
      <w:rPr>
        <w:rStyle w:val="HideTWBExt"/>
      </w:rPr>
      <w:t>&lt;/NoPE&gt;&lt;Version&gt;</w:t>
    </w:r>
    <w:r w:rsidRPr="009E6EE3">
      <w:t>v02-00</w:t>
    </w:r>
    <w:r w:rsidRPr="009E6EE3">
      <w:rPr>
        <w:rStyle w:val="HideTWBExt"/>
      </w:rPr>
      <w:t>&lt;/Version&gt;</w:t>
    </w:r>
  </w:p>
  <w:p w:rsidR="00E61862" w:rsidRPr="009E6EE3" w:rsidRDefault="00E61862" w:rsidP="00AA2CE5">
    <w:pPr>
      <w:pStyle w:val="EPFooter2"/>
    </w:pPr>
    <w:r w:rsidRPr="009E6EE3">
      <w:t>HR</w:t>
    </w:r>
    <w:r w:rsidRPr="009E6EE3">
      <w:tab/>
    </w:r>
    <w:r w:rsidRPr="009E6EE3">
      <w:rPr>
        <w:b w:val="0"/>
        <w:i/>
        <w:color w:val="C0C0C0"/>
        <w:sz w:val="22"/>
      </w:rPr>
      <w:t>Ujedinjena u raznolikosti</w:t>
    </w:r>
    <w:r w:rsidRPr="009E6EE3">
      <w:tab/>
      <w:t>HR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1862" w:rsidRPr="009E6EE3" w:rsidRDefault="00E61862" w:rsidP="007D3F64">
    <w:pPr>
      <w:pStyle w:val="EPFooter"/>
    </w:pPr>
    <w:r w:rsidRPr="009E6EE3">
      <w:rPr>
        <w:rStyle w:val="HideTWBExt"/>
      </w:rPr>
      <w:t>&lt;PathFdR&gt;</w:t>
    </w:r>
    <w:r w:rsidRPr="009E6EE3">
      <w:t>RR\1297557HR.docx</w:t>
    </w:r>
    <w:r w:rsidRPr="009E6EE3">
      <w:rPr>
        <w:rStyle w:val="HideTWBExt"/>
      </w:rPr>
      <w:t>&lt;/PathFdR&gt;</w:t>
    </w:r>
    <w:r w:rsidRPr="009E6EE3">
      <w:tab/>
    </w:r>
    <w:r w:rsidRPr="009E6EE3">
      <w:tab/>
      <w:t>PE</w:t>
    </w:r>
    <w:r w:rsidRPr="009E6EE3">
      <w:rPr>
        <w:rStyle w:val="HideTWBExt"/>
      </w:rPr>
      <w:t>&lt;NoPE&gt;</w:t>
    </w:r>
    <w:r w:rsidRPr="009E6EE3">
      <w:t>758.992</w:t>
    </w:r>
    <w:r w:rsidRPr="009E6EE3">
      <w:rPr>
        <w:rStyle w:val="HideTWBExt"/>
      </w:rPr>
      <w:t>&lt;/NoPE&gt;&lt;Version&gt;</w:t>
    </w:r>
    <w:r w:rsidRPr="009E6EE3">
      <w:t>v02-00</w:t>
    </w:r>
    <w:r w:rsidRPr="009E6EE3">
      <w:rPr>
        <w:rStyle w:val="HideTWBExt"/>
      </w:rPr>
      <w:t>&lt;/Version&gt;</w:t>
    </w:r>
  </w:p>
  <w:p w:rsidR="00E61862" w:rsidRPr="009E6EE3" w:rsidRDefault="00E61862" w:rsidP="007D3F64">
    <w:pPr>
      <w:pStyle w:val="EPFooter2"/>
    </w:pPr>
    <w:r w:rsidRPr="009E6EE3">
      <w:t>HR</w:t>
    </w:r>
    <w:r w:rsidRPr="009E6EE3">
      <w:tab/>
    </w:r>
    <w:r w:rsidRPr="009E6EE3">
      <w:rPr>
        <w:b w:val="0"/>
        <w:i/>
        <w:color w:val="C0C0C0"/>
        <w:sz w:val="22"/>
      </w:rPr>
      <w:t>Ujedinjena u raznolikosti</w:t>
    </w:r>
    <w:r w:rsidRPr="009E6EE3">
      <w:tab/>
      <w:t>HR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6EE3"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6EE3" w:rsidRDefault="00064002"/>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6EE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6B39" w:rsidRPr="009E6EE3" w:rsidRDefault="00096B39">
      <w:r w:rsidRPr="009E6EE3">
        <w:separator/>
      </w:r>
    </w:p>
  </w:footnote>
  <w:footnote w:type="continuationSeparator" w:id="0">
    <w:p w:rsidR="00096B39" w:rsidRPr="009E6EE3" w:rsidRDefault="00096B39">
      <w:r w:rsidRPr="009E6EE3">
        <w:continuationSeparator/>
      </w:r>
    </w:p>
  </w:footnote>
  <w:footnote w:id="1">
    <w:p w:rsidR="00E61862" w:rsidRPr="009E6EE3" w:rsidRDefault="00E61862" w:rsidP="009E6EE3">
      <w:pPr>
        <w:pStyle w:val="FootnoteText"/>
        <w:ind w:left="567" w:hanging="567"/>
        <w:rPr>
          <w:sz w:val="24"/>
          <w:lang w:val="hr-HR"/>
        </w:rPr>
      </w:pPr>
      <w:r w:rsidRPr="009E6EE3">
        <w:rPr>
          <w:rStyle w:val="FootnoteReference"/>
          <w:sz w:val="24"/>
          <w:lang w:val="hr-HR"/>
        </w:rPr>
        <w:footnoteRef/>
      </w:r>
      <w:r w:rsidR="009E6EE3" w:rsidRPr="009E6EE3">
        <w:rPr>
          <w:sz w:val="24"/>
          <w:lang w:val="hr-HR"/>
        </w:rPr>
        <w:t xml:space="preserve"> </w:t>
      </w:r>
      <w:r w:rsidR="009E6EE3" w:rsidRPr="009E6EE3">
        <w:rPr>
          <w:sz w:val="24"/>
          <w:lang w:val="hr-HR"/>
        </w:rPr>
        <w:tab/>
      </w:r>
      <w:r w:rsidRPr="009E6EE3">
        <w:rPr>
          <w:sz w:val="24"/>
          <w:lang w:val="hr-HR"/>
        </w:rPr>
        <w:t>Usvojeni tekstovi, P9_TA(2023)0335.</w:t>
      </w:r>
    </w:p>
  </w:footnote>
  <w:footnote w:id="2">
    <w:p w:rsidR="00E61862" w:rsidRPr="009E6EE3" w:rsidRDefault="00E61862" w:rsidP="009E6EE3">
      <w:pPr>
        <w:pStyle w:val="FootnoteText"/>
        <w:ind w:left="567" w:hanging="567"/>
        <w:rPr>
          <w:sz w:val="24"/>
          <w:lang w:val="hr-HR"/>
        </w:rPr>
      </w:pPr>
      <w:r w:rsidRPr="009E6EE3">
        <w:rPr>
          <w:rStyle w:val="FootnoteReference"/>
          <w:sz w:val="24"/>
          <w:lang w:val="hr-HR"/>
        </w:rPr>
        <w:footnoteRef/>
      </w:r>
      <w:r w:rsidR="009E6EE3" w:rsidRPr="009E6EE3">
        <w:rPr>
          <w:sz w:val="24"/>
          <w:lang w:val="hr-HR"/>
        </w:rPr>
        <w:t xml:space="preserve"> </w:t>
      </w:r>
      <w:r w:rsidR="009E6EE3" w:rsidRPr="009E6EE3">
        <w:rPr>
          <w:sz w:val="24"/>
          <w:lang w:val="hr-HR"/>
        </w:rPr>
        <w:tab/>
      </w:r>
      <w:r w:rsidRPr="009E6EE3">
        <w:rPr>
          <w:sz w:val="24"/>
          <w:lang w:val="hr-HR"/>
        </w:rPr>
        <w:t>Suglasnost od 27. veljače 2024. (još nije objavljeno u Službenom listu).</w:t>
      </w:r>
    </w:p>
  </w:footnote>
  <w:footnote w:id="3">
    <w:p w:rsidR="00E61862" w:rsidRPr="009E6EE3" w:rsidRDefault="00E61862" w:rsidP="009E6EE3">
      <w:pPr>
        <w:pStyle w:val="FootnoteText"/>
        <w:ind w:left="567" w:hanging="567"/>
        <w:rPr>
          <w:sz w:val="24"/>
          <w:lang w:val="hr-HR"/>
        </w:rPr>
      </w:pPr>
      <w:r w:rsidRPr="009E6EE3">
        <w:rPr>
          <w:rStyle w:val="FootnoteReference"/>
          <w:sz w:val="24"/>
          <w:lang w:val="hr-HR"/>
        </w:rPr>
        <w:footnoteRef/>
      </w:r>
      <w:r w:rsidR="009E6EE3" w:rsidRPr="009E6EE3">
        <w:rPr>
          <w:sz w:val="24"/>
          <w:lang w:val="hr-HR"/>
        </w:rPr>
        <w:t xml:space="preserve"> </w:t>
      </w:r>
      <w:r w:rsidR="009E6EE3" w:rsidRPr="009E6EE3">
        <w:rPr>
          <w:sz w:val="24"/>
          <w:lang w:val="hr-HR"/>
        </w:rPr>
        <w:tab/>
      </w:r>
      <w:r w:rsidRPr="009E6EE3">
        <w:rPr>
          <w:sz w:val="24"/>
          <w:lang w:val="hr-HR"/>
        </w:rPr>
        <w:t>Uredba Vijeća (EU, Euratom) 2020/2093 od 17. prosinca 2020. kojom se utvrđuje višegodišnji financijski okvir za razdoblje 2021.–2027. (SL L 433 I, 22.12.2020., str. 11.).</w:t>
      </w:r>
    </w:p>
  </w:footnote>
  <w:footnote w:id="4">
    <w:p w:rsidR="00E61862" w:rsidRPr="009E6EE3" w:rsidRDefault="00E61862" w:rsidP="009E6EE3">
      <w:pPr>
        <w:pStyle w:val="FootnoteText"/>
        <w:ind w:left="567" w:hanging="567"/>
        <w:rPr>
          <w:sz w:val="24"/>
          <w:lang w:val="hr-HR"/>
        </w:rPr>
      </w:pPr>
      <w:r w:rsidRPr="009E6EE3">
        <w:rPr>
          <w:rStyle w:val="FootnoteReference"/>
          <w:sz w:val="24"/>
          <w:lang w:val="hr-HR"/>
        </w:rPr>
        <w:footnoteRef/>
      </w:r>
      <w:r w:rsidR="009E6EE3" w:rsidRPr="009E6EE3">
        <w:rPr>
          <w:sz w:val="24"/>
          <w:lang w:val="hr-HR"/>
        </w:rPr>
        <w:t xml:space="preserve"> </w:t>
      </w:r>
      <w:r w:rsidR="009E6EE3" w:rsidRPr="009E6EE3">
        <w:rPr>
          <w:sz w:val="24"/>
          <w:lang w:val="hr-HR"/>
        </w:rPr>
        <w:tab/>
      </w:r>
      <w:r w:rsidRPr="009E6EE3">
        <w:rPr>
          <w:sz w:val="24"/>
          <w:lang w:val="hr-HR"/>
        </w:rPr>
        <w:t>Uredba (EU) 2024/... Europskog parlamenta i Vijeća od ….. o uspostavi Instrumenta za Ukrajinu (SL L, …, ELI: …).</w:t>
      </w:r>
    </w:p>
  </w:footnote>
  <w:footnote w:id="5">
    <w:p w:rsidR="00E61862" w:rsidRPr="009E6EE3" w:rsidRDefault="00E61862" w:rsidP="009E6EE3">
      <w:pPr>
        <w:pStyle w:val="FootnoteText"/>
        <w:ind w:left="567" w:hanging="567"/>
        <w:rPr>
          <w:sz w:val="24"/>
          <w:lang w:val="hr-HR"/>
        </w:rPr>
      </w:pPr>
      <w:r w:rsidRPr="009E6EE3">
        <w:rPr>
          <w:rStyle w:val="FootnoteReference"/>
          <w:sz w:val="24"/>
          <w:lang w:val="hr-HR"/>
        </w:rPr>
        <w:t>+</w:t>
      </w:r>
      <w:r w:rsidR="009E6EE3" w:rsidRPr="009E6EE3">
        <w:rPr>
          <w:sz w:val="24"/>
          <w:lang w:val="hr-HR"/>
        </w:rPr>
        <w:t xml:space="preserve"> </w:t>
      </w:r>
      <w:r w:rsidR="009E6EE3" w:rsidRPr="009E6EE3">
        <w:rPr>
          <w:sz w:val="24"/>
          <w:lang w:val="hr-HR"/>
        </w:rPr>
        <w:tab/>
      </w:r>
      <w:r w:rsidRPr="009E6EE3">
        <w:rPr>
          <w:sz w:val="24"/>
          <w:lang w:val="hr-HR"/>
        </w:rPr>
        <w:t>SL: molimo u tekst umetnuti broj Uredbe iz dokumenta PE-CONS 10/24 (2023/0200(COD)), a u bilješku umetnuti broj, datum i upućivanje na SL za tu uredbu.</w:t>
      </w:r>
    </w:p>
  </w:footnote>
  <w:footnote w:id="6">
    <w:p w:rsidR="00E61862" w:rsidRPr="009E6EE3" w:rsidRDefault="00E61862" w:rsidP="009E6EE3">
      <w:pPr>
        <w:pStyle w:val="FootnoteText"/>
        <w:ind w:left="567" w:hanging="567"/>
        <w:rPr>
          <w:sz w:val="24"/>
          <w:lang w:val="hr-HR"/>
        </w:rPr>
      </w:pPr>
      <w:r w:rsidRPr="009E6EE3">
        <w:rPr>
          <w:rStyle w:val="FootnoteReference"/>
          <w:sz w:val="24"/>
          <w:lang w:val="hr-HR"/>
        </w:rPr>
        <w:t>+</w:t>
      </w:r>
      <w:r w:rsidR="009E6EE3" w:rsidRPr="009E6EE3">
        <w:rPr>
          <w:sz w:val="24"/>
          <w:lang w:val="hr-HR"/>
        </w:rPr>
        <w:t xml:space="preserve"> </w:t>
      </w:r>
      <w:r w:rsidR="009E6EE3" w:rsidRPr="009E6EE3">
        <w:rPr>
          <w:sz w:val="24"/>
          <w:lang w:val="hr-HR"/>
        </w:rPr>
        <w:tab/>
      </w:r>
      <w:r w:rsidRPr="009E6EE3">
        <w:rPr>
          <w:sz w:val="24"/>
          <w:lang w:val="hr-HR"/>
        </w:rPr>
        <w:t>SL: molimo u tekst umetnuti broj Uredbe iz dokumenta PE-CONS 10/24 (2023/0200(COD)).</w:t>
      </w:r>
    </w:p>
  </w:footnote>
  <w:footnote w:id="7">
    <w:p w:rsidR="00E61862" w:rsidRPr="009E6EE3" w:rsidRDefault="00E61862" w:rsidP="009E6EE3">
      <w:pPr>
        <w:pStyle w:val="FootnoteText"/>
        <w:ind w:left="567" w:hanging="567"/>
        <w:rPr>
          <w:sz w:val="24"/>
          <w:lang w:val="hr-HR"/>
        </w:rPr>
      </w:pPr>
      <w:r w:rsidRPr="009E6EE3">
        <w:rPr>
          <w:rStyle w:val="FootnoteReference"/>
          <w:sz w:val="24"/>
          <w:lang w:val="hr-HR"/>
        </w:rPr>
        <w:t>+</w:t>
      </w:r>
      <w:r w:rsidR="009E6EE3" w:rsidRPr="009E6EE3">
        <w:rPr>
          <w:sz w:val="24"/>
          <w:lang w:val="hr-HR"/>
        </w:rPr>
        <w:t xml:space="preserve"> </w:t>
      </w:r>
      <w:r w:rsidR="009E6EE3" w:rsidRPr="009E6EE3">
        <w:rPr>
          <w:sz w:val="24"/>
          <w:lang w:val="hr-HR"/>
        </w:rPr>
        <w:tab/>
      </w:r>
      <w:r w:rsidRPr="009E6EE3">
        <w:rPr>
          <w:sz w:val="24"/>
          <w:lang w:val="hr-HR"/>
        </w:rPr>
        <w:t>SL: molimo u tekst umetnuti broj Uredbe iz dokumenta PE-CONS 10/24 (2023/0200(COD)).</w:t>
      </w:r>
    </w:p>
  </w:footnote>
  <w:footnote w:id="8">
    <w:p w:rsidR="00E61862" w:rsidRPr="009E6EE3" w:rsidRDefault="00E61862" w:rsidP="009E6EE3">
      <w:pPr>
        <w:pStyle w:val="FootnoteText"/>
        <w:ind w:left="567" w:hanging="567"/>
        <w:rPr>
          <w:sz w:val="24"/>
          <w:lang w:val="hr-HR"/>
        </w:rPr>
      </w:pPr>
      <w:r w:rsidRPr="009E6EE3">
        <w:rPr>
          <w:rStyle w:val="FootnoteReference"/>
          <w:sz w:val="24"/>
          <w:lang w:val="hr-HR"/>
        </w:rPr>
        <w:footnoteRef/>
      </w:r>
      <w:r w:rsidR="009E6EE3" w:rsidRPr="009E6EE3">
        <w:rPr>
          <w:sz w:val="24"/>
          <w:lang w:val="hr-HR"/>
        </w:rPr>
        <w:t xml:space="preserve"> </w:t>
      </w:r>
      <w:r w:rsidR="009E6EE3" w:rsidRPr="009E6EE3">
        <w:rPr>
          <w:sz w:val="24"/>
          <w:lang w:val="hr-HR"/>
        </w:rPr>
        <w:tab/>
      </w:r>
      <w:r w:rsidRPr="009E6EE3">
        <w:rPr>
          <w:sz w:val="24"/>
          <w:lang w:val="hr-HR"/>
        </w:rPr>
        <w:t>Odluka Vijeća (EU, Euratom) 2020/2053 od 14. prosinca 2020. o sustavu vlastitih sredstava Europske unije te o stavljanju izvan snage Odluke 2014/335/EU, Euratom (SL L 424, 15.12.2020., str. 1.).</w:t>
      </w:r>
    </w:p>
  </w:footnote>
  <w:footnote w:id="9">
    <w:p w:rsidR="00E61862" w:rsidRPr="009E6EE3" w:rsidRDefault="00E61862" w:rsidP="009E6EE3">
      <w:pPr>
        <w:pStyle w:val="FootnoteText"/>
        <w:ind w:left="567" w:hanging="567"/>
        <w:rPr>
          <w:sz w:val="24"/>
          <w:lang w:val="hr-HR"/>
        </w:rPr>
      </w:pPr>
      <w:r w:rsidRPr="009E6EE3">
        <w:rPr>
          <w:rStyle w:val="FootnoteReference"/>
          <w:sz w:val="24"/>
          <w:lang w:val="hr-HR"/>
        </w:rPr>
        <w:footnoteRef/>
      </w:r>
      <w:r w:rsidR="009E6EE3" w:rsidRPr="009E6EE3">
        <w:rPr>
          <w:sz w:val="24"/>
          <w:lang w:val="hr-HR"/>
        </w:rPr>
        <w:t xml:space="preserve"> </w:t>
      </w:r>
      <w:r w:rsidR="009E6EE3" w:rsidRPr="009E6EE3">
        <w:rPr>
          <w:sz w:val="24"/>
          <w:lang w:val="hr-HR"/>
        </w:rPr>
        <w:tab/>
      </w:r>
      <w:r w:rsidRPr="009E6EE3">
        <w:rPr>
          <w:sz w:val="24"/>
          <w:lang w:val="hr-HR"/>
        </w:rPr>
        <w:t>Uredba Vijeća (EZ) br. 2012/2002 od 11. studenoga 2002. o osnivanju Fonda solidarnosti Europske unije (SL L 311, 14.11.2002., str. 3.).</w:t>
      </w:r>
    </w:p>
  </w:footnote>
  <w:footnote w:id="10">
    <w:p w:rsidR="00E61862" w:rsidRPr="009E6EE3" w:rsidRDefault="00E61862" w:rsidP="009E6EE3">
      <w:pPr>
        <w:pStyle w:val="FootnoteText"/>
        <w:ind w:left="567" w:hanging="567"/>
        <w:rPr>
          <w:sz w:val="24"/>
          <w:lang w:val="hr-HR"/>
        </w:rPr>
      </w:pPr>
      <w:r w:rsidRPr="009E6EE3">
        <w:rPr>
          <w:rStyle w:val="FootnoteReference"/>
          <w:sz w:val="24"/>
          <w:lang w:val="hr-HR"/>
        </w:rPr>
        <w:t>+</w:t>
      </w:r>
      <w:r w:rsidR="009E6EE3" w:rsidRPr="009E6EE3">
        <w:rPr>
          <w:sz w:val="24"/>
          <w:lang w:val="hr-HR"/>
        </w:rPr>
        <w:t xml:space="preserve"> </w:t>
      </w:r>
      <w:r w:rsidR="009E6EE3" w:rsidRPr="009E6EE3">
        <w:rPr>
          <w:sz w:val="24"/>
          <w:lang w:val="hr-HR"/>
        </w:rPr>
        <w:tab/>
      </w:r>
      <w:r w:rsidRPr="009E6EE3">
        <w:rPr>
          <w:sz w:val="24"/>
          <w:lang w:val="hr-HR"/>
        </w:rPr>
        <w:t>SL: molimo u tekst umetnuti broj Uredbe iz dokumenta PE-CONS 10/24 (2023/0200(COD)), a u bilješku umetnuti broj, datum i upućivanje na SL za tu uredbu.</w:t>
      </w:r>
    </w:p>
  </w:footnote>
  <w:footnote w:id="11">
    <w:p w:rsidR="00E61862" w:rsidRPr="009E6EE3" w:rsidRDefault="00E61862" w:rsidP="009E6EE3">
      <w:pPr>
        <w:pStyle w:val="FootnoteText"/>
        <w:ind w:left="567" w:hanging="567"/>
        <w:rPr>
          <w:sz w:val="24"/>
          <w:lang w:val="hr-HR"/>
        </w:rPr>
      </w:pPr>
      <w:r w:rsidRPr="009E6EE3">
        <w:rPr>
          <w:rStyle w:val="FootnoteReference"/>
          <w:sz w:val="24"/>
          <w:lang w:val="hr-HR"/>
        </w:rPr>
        <w:t>+</w:t>
      </w:r>
      <w:r w:rsidR="009E6EE3" w:rsidRPr="009E6EE3">
        <w:rPr>
          <w:sz w:val="24"/>
          <w:lang w:val="hr-HR"/>
        </w:rPr>
        <w:t xml:space="preserve"> </w:t>
      </w:r>
      <w:r w:rsidR="009E6EE3" w:rsidRPr="009E6EE3">
        <w:rPr>
          <w:sz w:val="24"/>
          <w:lang w:val="hr-HR"/>
        </w:rPr>
        <w:tab/>
      </w:r>
      <w:r w:rsidRPr="009E6EE3">
        <w:rPr>
          <w:sz w:val="24"/>
          <w:lang w:val="hr-HR"/>
        </w:rPr>
        <w:t>SL: molimo u tekst umetnuti broj uredbe iz dokumenta PE-CONS 10/24 (2023/0200(COD)).</w:t>
      </w:r>
    </w:p>
  </w:footnote>
  <w:footnote w:id="12">
    <w:p w:rsidR="00E61862" w:rsidRPr="009E6EE3" w:rsidRDefault="00E61862" w:rsidP="009E6EE3">
      <w:pPr>
        <w:pStyle w:val="FootnoteText"/>
        <w:ind w:left="567" w:hanging="567"/>
        <w:rPr>
          <w:sz w:val="24"/>
          <w:lang w:val="hr-HR"/>
        </w:rPr>
      </w:pPr>
      <w:r w:rsidRPr="009E6EE3">
        <w:rPr>
          <w:rStyle w:val="FootnoteReference"/>
          <w:sz w:val="24"/>
          <w:lang w:val="hr-HR"/>
        </w:rPr>
        <w:footnoteRef/>
      </w:r>
      <w:r w:rsidR="009E6EE3" w:rsidRPr="009E6EE3">
        <w:rPr>
          <w:sz w:val="24"/>
          <w:lang w:val="hr-HR"/>
        </w:rPr>
        <w:t xml:space="preserve"> </w:t>
      </w:r>
      <w:r w:rsidR="009E6EE3" w:rsidRPr="009E6EE3">
        <w:rPr>
          <w:sz w:val="24"/>
          <w:lang w:val="hr-HR"/>
        </w:rPr>
        <w:tab/>
      </w:r>
      <w:r w:rsidRPr="009E6EE3">
        <w:rPr>
          <w:sz w:val="24"/>
          <w:lang w:val="hr-HR"/>
        </w:rPr>
        <w:t xml:space="preserve">Zajednička izjava Europskog parlamenta, Vijeća i Komisije o ponovnoj upotrebi opozvanih sredstava u vezi s istraživačkim programom (2020/C 444 I/03, </w:t>
      </w:r>
      <w:r w:rsidR="007D2663">
        <w:rPr>
          <w:sz w:val="24"/>
          <w:lang w:val="hr-HR"/>
        </w:rPr>
        <w:t>(</w:t>
      </w:r>
      <w:r w:rsidRPr="009E6EE3">
        <w:rPr>
          <w:sz w:val="24"/>
          <w:lang w:val="hr-HR"/>
        </w:rPr>
        <w:t>SL C 444</w:t>
      </w:r>
      <w:r w:rsidR="007D2663">
        <w:rPr>
          <w:sz w:val="24"/>
          <w:lang w:val="hr-HR"/>
        </w:rPr>
        <w:t xml:space="preserve"> </w:t>
      </w:r>
      <w:r w:rsidRPr="009E6EE3">
        <w:rPr>
          <w:sz w:val="24"/>
          <w:lang w:val="hr-HR"/>
        </w:rPr>
        <w:t>I, 22.12.2020., str. 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1862" w:rsidRPr="009E6EE3" w:rsidRDefault="00E618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1862" w:rsidRPr="009E6EE3" w:rsidRDefault="00E618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1862" w:rsidRPr="009E6EE3" w:rsidRDefault="00E6186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1862" w:rsidRPr="009E6EE3" w:rsidRDefault="00E61862">
    <w:pPr>
      <w:pStyle w:val="Header"/>
    </w:pPr>
  </w:p>
  <w:p w:rsidR="00E61862" w:rsidRPr="009E6EE3" w:rsidRDefault="00E61862"/>
  <w:p w:rsidR="00E61862" w:rsidRPr="009E6EE3" w:rsidRDefault="00E6186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1862" w:rsidRPr="009E6EE3" w:rsidRDefault="00E61862">
    <w:pPr>
      <w:pStyle w:val="Header"/>
    </w:pPr>
  </w:p>
  <w:p w:rsidR="00E61862" w:rsidRPr="009E6EE3" w:rsidRDefault="00E61862"/>
  <w:p w:rsidR="00E61862" w:rsidRPr="009E6EE3" w:rsidRDefault="00E6186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1862" w:rsidRPr="009E6EE3" w:rsidRDefault="00E6186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6EE3" w:rsidRDefault="00064002"/>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6EE3" w:rsidRDefault="00064002"/>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6EE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lvlOverride w:ilvl="0">
      <w:startOverride w:val="1"/>
    </w:lvlOverride>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1/2024"/>
    <w:docVar w:name="dvlangue" w:val="HR"/>
    <w:docVar w:name="dvnumam" w:val="0"/>
    <w:docVar w:name="dvpe" w:val="758.992"/>
    <w:docVar w:name="dvrapporteur" w:val="Izvjestitelji: "/>
    <w:docVar w:name="dvstar" w:val="***"/>
    <w:docVar w:name="dvtitre" w:val="Zakonodavna rezolucija Europskog parlamenta od .... 2024. o Nacrtu uredbe Vijeća o izmjeni Uredbe (EU, Euratom) 2020/2093 kojom se utvrđuje višegodišnji financijski okvir za razdoblje 2021. – 2027.(05818/2024 – C9-0030/2024 – 2023/0201(APP))"/>
  </w:docVars>
  <w:rsids>
    <w:rsidRoot w:val="00096B39"/>
    <w:rsid w:val="00002272"/>
    <w:rsid w:val="00064002"/>
    <w:rsid w:val="000677B9"/>
    <w:rsid w:val="000831BA"/>
    <w:rsid w:val="00096B39"/>
    <w:rsid w:val="000A42CC"/>
    <w:rsid w:val="000E7DD9"/>
    <w:rsid w:val="0010095E"/>
    <w:rsid w:val="00125B37"/>
    <w:rsid w:val="00187494"/>
    <w:rsid w:val="001F32AE"/>
    <w:rsid w:val="002767FF"/>
    <w:rsid w:val="002B18FE"/>
    <w:rsid w:val="002B5493"/>
    <w:rsid w:val="00343214"/>
    <w:rsid w:val="00361C00"/>
    <w:rsid w:val="00395FA1"/>
    <w:rsid w:val="003C4CF6"/>
    <w:rsid w:val="003E15D4"/>
    <w:rsid w:val="00411CCE"/>
    <w:rsid w:val="0041666E"/>
    <w:rsid w:val="00421060"/>
    <w:rsid w:val="00443569"/>
    <w:rsid w:val="00471C19"/>
    <w:rsid w:val="004867E3"/>
    <w:rsid w:val="00494A28"/>
    <w:rsid w:val="004C0004"/>
    <w:rsid w:val="004C5D52"/>
    <w:rsid w:val="0050519A"/>
    <w:rsid w:val="005072A1"/>
    <w:rsid w:val="00514517"/>
    <w:rsid w:val="00545827"/>
    <w:rsid w:val="00560270"/>
    <w:rsid w:val="005C2568"/>
    <w:rsid w:val="006037C0"/>
    <w:rsid w:val="006631B6"/>
    <w:rsid w:val="00670B9E"/>
    <w:rsid w:val="00680577"/>
    <w:rsid w:val="006F74FA"/>
    <w:rsid w:val="00731ADD"/>
    <w:rsid w:val="00734777"/>
    <w:rsid w:val="00747932"/>
    <w:rsid w:val="00751A4A"/>
    <w:rsid w:val="00756632"/>
    <w:rsid w:val="00762C74"/>
    <w:rsid w:val="00786EC0"/>
    <w:rsid w:val="007D1690"/>
    <w:rsid w:val="007D2663"/>
    <w:rsid w:val="007E22AD"/>
    <w:rsid w:val="00817416"/>
    <w:rsid w:val="00842779"/>
    <w:rsid w:val="00865F67"/>
    <w:rsid w:val="00881A7B"/>
    <w:rsid w:val="008840E5"/>
    <w:rsid w:val="00887B3E"/>
    <w:rsid w:val="008C2AC6"/>
    <w:rsid w:val="00930C23"/>
    <w:rsid w:val="0093193B"/>
    <w:rsid w:val="009509D8"/>
    <w:rsid w:val="00950B64"/>
    <w:rsid w:val="00981893"/>
    <w:rsid w:val="009E6EE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2B06"/>
    <w:rsid w:val="00C61C0C"/>
    <w:rsid w:val="00C941CB"/>
    <w:rsid w:val="00CC2357"/>
    <w:rsid w:val="00CF071A"/>
    <w:rsid w:val="00D058B8"/>
    <w:rsid w:val="00D56C11"/>
    <w:rsid w:val="00D834A0"/>
    <w:rsid w:val="00D872DF"/>
    <w:rsid w:val="00D91E21"/>
    <w:rsid w:val="00DA7FCD"/>
    <w:rsid w:val="00E365E1"/>
    <w:rsid w:val="00E42BC1"/>
    <w:rsid w:val="00E61862"/>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B5E83F"/>
  <w15:chartTrackingRefBased/>
  <w15:docId w15:val="{CB566ADD-D4E9-4B6C-A8D8-7BDC63E85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FootnotesymbolCarZchn"/>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61862"/>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E61862"/>
    <w:pPr>
      <w:keepNext/>
      <w:spacing w:after="480"/>
      <w:jc w:val="center"/>
    </w:pPr>
    <w:rPr>
      <w:rFonts w:ascii="Arial" w:hAnsi="Arial" w:cs="Arial"/>
      <w:b/>
    </w:rPr>
  </w:style>
  <w:style w:type="paragraph" w:customStyle="1" w:styleId="NormalBold">
    <w:name w:val="NormalBold"/>
    <w:basedOn w:val="Normal"/>
    <w:rsid w:val="00E61862"/>
    <w:rPr>
      <w:b/>
    </w:rPr>
  </w:style>
  <w:style w:type="paragraph" w:customStyle="1" w:styleId="NormalHanging12a">
    <w:name w:val="NormalHanging12a"/>
    <w:basedOn w:val="Normal"/>
    <w:rsid w:val="00E61862"/>
    <w:pPr>
      <w:spacing w:after="240"/>
      <w:ind w:left="567" w:hanging="567"/>
    </w:pPr>
  </w:style>
  <w:style w:type="paragraph" w:customStyle="1" w:styleId="EPComma">
    <w:name w:val="EPComma"/>
    <w:basedOn w:val="Normal"/>
    <w:rsid w:val="00E61862"/>
    <w:pPr>
      <w:spacing w:before="480" w:after="240"/>
    </w:pPr>
  </w:style>
  <w:style w:type="paragraph" w:styleId="Header">
    <w:name w:val="header"/>
    <w:basedOn w:val="Normal"/>
    <w:link w:val="HeaderChar"/>
    <w:uiPriority w:val="99"/>
    <w:rsid w:val="00E61862"/>
    <w:pPr>
      <w:tabs>
        <w:tab w:val="center" w:pos="4513"/>
        <w:tab w:val="right" w:pos="9026"/>
      </w:tabs>
    </w:pPr>
  </w:style>
  <w:style w:type="character" w:customStyle="1" w:styleId="HeaderChar">
    <w:name w:val="Header Char"/>
    <w:basedOn w:val="DefaultParagraphFont"/>
    <w:link w:val="Header"/>
    <w:uiPriority w:val="99"/>
    <w:rsid w:val="00E61862"/>
    <w:rPr>
      <w:sz w:val="24"/>
      <w:lang w:val="hr-HR"/>
    </w:rPr>
  </w:style>
  <w:style w:type="paragraph" w:customStyle="1" w:styleId="EPFooter">
    <w:name w:val="EPFooter"/>
    <w:basedOn w:val="Normal"/>
    <w:rsid w:val="00E61862"/>
    <w:pPr>
      <w:tabs>
        <w:tab w:val="center" w:pos="4535"/>
        <w:tab w:val="right" w:pos="9071"/>
      </w:tabs>
      <w:spacing w:before="240" w:after="240"/>
    </w:pPr>
    <w:rPr>
      <w:color w:val="010000"/>
      <w:sz w:val="22"/>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qFormat/>
    <w:rsid w:val="00E61862"/>
    <w:pPr>
      <w:widowControl/>
      <w:spacing w:after="160" w:line="240" w:lineRule="exact"/>
      <w:jc w:val="both"/>
    </w:pPr>
    <w:rPr>
      <w:sz w:val="20"/>
      <w:vertAlign w:val="superscript"/>
      <w:lang w:val="en-GB"/>
    </w:rPr>
  </w:style>
  <w:style w:type="character" w:customStyle="1" w:styleId="Bodytext1">
    <w:name w:val="Body text|1_"/>
    <w:basedOn w:val="DefaultParagraphFont"/>
    <w:link w:val="Bodytext10"/>
    <w:rsid w:val="00E61862"/>
    <w:rPr>
      <w:color w:val="231F20"/>
      <w:sz w:val="19"/>
      <w:szCs w:val="19"/>
    </w:rPr>
  </w:style>
  <w:style w:type="paragraph" w:customStyle="1" w:styleId="Bodytext10">
    <w:name w:val="Body text|1"/>
    <w:basedOn w:val="Normal"/>
    <w:link w:val="Bodytext1"/>
    <w:rsid w:val="00E61862"/>
    <w:pPr>
      <w:spacing w:after="360"/>
    </w:pPr>
    <w:rPr>
      <w:color w:val="231F20"/>
      <w:sz w:val="19"/>
      <w:szCs w:val="19"/>
      <w:lang w:val="en-GB"/>
    </w:rPr>
  </w:style>
  <w:style w:type="paragraph" w:customStyle="1" w:styleId="Text1">
    <w:name w:val="Text 1"/>
    <w:basedOn w:val="Normal"/>
    <w:rsid w:val="00E61862"/>
    <w:pPr>
      <w:widowControl/>
      <w:spacing w:before="120" w:after="120" w:line="360" w:lineRule="auto"/>
      <w:ind w:left="850"/>
    </w:pPr>
    <w:rPr>
      <w:rFonts w:eastAsiaTheme="minorHAnsi"/>
      <w:szCs w:val="22"/>
      <w:lang w:eastAsia="en-US"/>
    </w:rPr>
  </w:style>
  <w:style w:type="paragraph" w:customStyle="1" w:styleId="Text2">
    <w:name w:val="Text 2"/>
    <w:basedOn w:val="Normal"/>
    <w:rsid w:val="00E61862"/>
    <w:pPr>
      <w:widowControl/>
      <w:spacing w:before="120" w:after="120" w:line="360" w:lineRule="auto"/>
      <w:ind w:left="1417"/>
    </w:pPr>
    <w:rPr>
      <w:rFonts w:eastAsiaTheme="minorHAnsi"/>
      <w:szCs w:val="22"/>
      <w:lang w:eastAsia="en-US"/>
    </w:rPr>
  </w:style>
  <w:style w:type="paragraph" w:customStyle="1" w:styleId="NormalCentered">
    <w:name w:val="Normal Centered"/>
    <w:basedOn w:val="Normal"/>
    <w:rsid w:val="00E61862"/>
    <w:pPr>
      <w:widowControl/>
      <w:spacing w:before="120" w:after="120" w:line="360" w:lineRule="auto"/>
      <w:jc w:val="center"/>
    </w:pPr>
    <w:rPr>
      <w:rFonts w:eastAsiaTheme="minorHAnsi"/>
      <w:szCs w:val="22"/>
      <w:lang w:eastAsia="en-US"/>
    </w:rPr>
  </w:style>
  <w:style w:type="paragraph" w:customStyle="1" w:styleId="Point0">
    <w:name w:val="Point 0"/>
    <w:basedOn w:val="Normal"/>
    <w:rsid w:val="00E61862"/>
    <w:pPr>
      <w:widowControl/>
      <w:spacing w:before="120" w:after="120" w:line="360" w:lineRule="auto"/>
      <w:ind w:left="850" w:hanging="850"/>
    </w:pPr>
    <w:rPr>
      <w:rFonts w:eastAsiaTheme="minorHAnsi"/>
      <w:szCs w:val="22"/>
      <w:lang w:eastAsia="en-US"/>
    </w:rPr>
  </w:style>
  <w:style w:type="paragraph" w:customStyle="1" w:styleId="Point1">
    <w:name w:val="Point 1"/>
    <w:basedOn w:val="Normal"/>
    <w:rsid w:val="00E61862"/>
    <w:pPr>
      <w:widowControl/>
      <w:spacing w:before="120" w:after="120" w:line="360" w:lineRule="auto"/>
      <w:ind w:left="1417" w:hanging="567"/>
    </w:pPr>
    <w:rPr>
      <w:rFonts w:eastAsiaTheme="minorHAnsi"/>
      <w:szCs w:val="22"/>
      <w:lang w:eastAsia="en-US"/>
    </w:rPr>
  </w:style>
  <w:style w:type="paragraph" w:customStyle="1" w:styleId="Point2">
    <w:name w:val="Point 2"/>
    <w:basedOn w:val="Normal"/>
    <w:rsid w:val="00E61862"/>
    <w:pPr>
      <w:widowControl/>
      <w:spacing w:before="120" w:after="120" w:line="360" w:lineRule="auto"/>
      <w:ind w:left="1984" w:hanging="567"/>
    </w:pPr>
    <w:rPr>
      <w:rFonts w:eastAsiaTheme="minorHAnsi"/>
      <w:szCs w:val="22"/>
      <w:lang w:eastAsia="en-US"/>
    </w:rPr>
  </w:style>
  <w:style w:type="paragraph" w:customStyle="1" w:styleId="Tiret2">
    <w:name w:val="Tiret 2"/>
    <w:basedOn w:val="Normal"/>
    <w:rsid w:val="00E61862"/>
    <w:pPr>
      <w:widowControl/>
      <w:numPr>
        <w:numId w:val="45"/>
      </w:numPr>
      <w:spacing w:before="120" w:after="120" w:line="360" w:lineRule="auto"/>
    </w:pPr>
    <w:rPr>
      <w:rFonts w:eastAsiaTheme="minorHAnsi"/>
      <w:szCs w:val="22"/>
      <w:lang w:eastAsia="en-US"/>
    </w:rPr>
  </w:style>
  <w:style w:type="paragraph" w:customStyle="1" w:styleId="Applicationdirecte">
    <w:name w:val="Application directe"/>
    <w:basedOn w:val="Normal"/>
    <w:next w:val="Fait"/>
    <w:rsid w:val="00E61862"/>
    <w:pPr>
      <w:widowControl/>
      <w:spacing w:before="480" w:after="120" w:line="360" w:lineRule="auto"/>
    </w:pPr>
    <w:rPr>
      <w:rFonts w:eastAsiaTheme="minorHAnsi"/>
      <w:szCs w:val="22"/>
      <w:lang w:eastAsia="en-US"/>
    </w:rPr>
  </w:style>
  <w:style w:type="paragraph" w:customStyle="1" w:styleId="Datedadoption">
    <w:name w:val="Date d'adoption"/>
    <w:basedOn w:val="Normal"/>
    <w:next w:val="Titreobjet"/>
    <w:rsid w:val="00E61862"/>
    <w:pPr>
      <w:widowControl/>
      <w:spacing w:before="360" w:line="360" w:lineRule="auto"/>
      <w:jc w:val="center"/>
    </w:pPr>
    <w:rPr>
      <w:rFonts w:eastAsiaTheme="minorHAnsi"/>
      <w:b/>
      <w:szCs w:val="22"/>
      <w:lang w:eastAsia="en-US"/>
    </w:rPr>
  </w:style>
  <w:style w:type="paragraph" w:customStyle="1" w:styleId="Fait">
    <w:name w:val="Fait à"/>
    <w:basedOn w:val="Normal"/>
    <w:next w:val="Institutionquisigne"/>
    <w:rsid w:val="00E61862"/>
    <w:pPr>
      <w:keepNext/>
      <w:widowControl/>
      <w:spacing w:before="120" w:line="360" w:lineRule="auto"/>
    </w:pPr>
    <w:rPr>
      <w:rFonts w:eastAsiaTheme="minorHAnsi"/>
      <w:szCs w:val="22"/>
      <w:lang w:eastAsia="en-US"/>
    </w:rPr>
  </w:style>
  <w:style w:type="paragraph" w:customStyle="1" w:styleId="Formuledadoption">
    <w:name w:val="Formule d'adoption"/>
    <w:basedOn w:val="Normal"/>
    <w:next w:val="Titrearticle"/>
    <w:rsid w:val="00E61862"/>
    <w:pPr>
      <w:keepNext/>
      <w:widowControl/>
      <w:spacing w:before="120" w:after="120" w:line="360" w:lineRule="auto"/>
    </w:pPr>
    <w:rPr>
      <w:rFonts w:eastAsiaTheme="minorHAnsi"/>
      <w:szCs w:val="22"/>
      <w:lang w:eastAsia="en-US"/>
    </w:rPr>
  </w:style>
  <w:style w:type="paragraph" w:customStyle="1" w:styleId="Institutionquiagit">
    <w:name w:val="Institution qui agit"/>
    <w:basedOn w:val="Normal"/>
    <w:next w:val="Normal"/>
    <w:rsid w:val="00E61862"/>
    <w:pPr>
      <w:keepNext/>
      <w:widowControl/>
      <w:spacing w:before="600" w:after="120" w:line="360" w:lineRule="auto"/>
    </w:pPr>
    <w:rPr>
      <w:rFonts w:eastAsiaTheme="minorHAnsi"/>
      <w:szCs w:val="22"/>
      <w:lang w:eastAsia="en-US"/>
    </w:rPr>
  </w:style>
  <w:style w:type="paragraph" w:customStyle="1" w:styleId="Institutionquisigne">
    <w:name w:val="Institution qui signe"/>
    <w:basedOn w:val="Normal"/>
    <w:next w:val="Personnequisigne"/>
    <w:rsid w:val="00E61862"/>
    <w:pPr>
      <w:keepNext/>
      <w:widowControl/>
      <w:tabs>
        <w:tab w:val="left" w:pos="5669"/>
      </w:tabs>
      <w:spacing w:before="720" w:line="360" w:lineRule="auto"/>
    </w:pPr>
    <w:rPr>
      <w:rFonts w:eastAsiaTheme="minorHAnsi"/>
      <w:i/>
      <w:szCs w:val="22"/>
      <w:lang w:eastAsia="en-US"/>
    </w:rPr>
  </w:style>
  <w:style w:type="paragraph" w:customStyle="1" w:styleId="ManualConsidrant">
    <w:name w:val="Manual Considérant"/>
    <w:basedOn w:val="Normal"/>
    <w:rsid w:val="00E61862"/>
    <w:pPr>
      <w:widowControl/>
      <w:spacing w:before="120" w:after="120" w:line="360" w:lineRule="auto"/>
      <w:ind w:left="850" w:hanging="850"/>
    </w:pPr>
    <w:rPr>
      <w:rFonts w:eastAsiaTheme="minorHAnsi"/>
      <w:szCs w:val="22"/>
      <w:lang w:eastAsia="en-US"/>
    </w:rPr>
  </w:style>
  <w:style w:type="paragraph" w:customStyle="1" w:styleId="Personnequisigne">
    <w:name w:val="Personne qui signe"/>
    <w:basedOn w:val="Normal"/>
    <w:next w:val="Institutionquisigne"/>
    <w:rsid w:val="00E61862"/>
    <w:pPr>
      <w:widowControl/>
      <w:tabs>
        <w:tab w:val="left" w:pos="5669"/>
      </w:tabs>
      <w:spacing w:line="360" w:lineRule="auto"/>
    </w:pPr>
    <w:rPr>
      <w:rFonts w:eastAsiaTheme="minorHAnsi"/>
      <w:i/>
      <w:szCs w:val="22"/>
      <w:lang w:eastAsia="en-US"/>
    </w:rPr>
  </w:style>
  <w:style w:type="paragraph" w:customStyle="1" w:styleId="Titrearticle">
    <w:name w:val="Titre article"/>
    <w:basedOn w:val="Normal"/>
    <w:next w:val="Normal"/>
    <w:rsid w:val="00E61862"/>
    <w:pPr>
      <w:keepNext/>
      <w:widowControl/>
      <w:spacing w:before="360" w:after="120" w:line="360" w:lineRule="auto"/>
      <w:jc w:val="center"/>
    </w:pPr>
    <w:rPr>
      <w:rFonts w:eastAsiaTheme="minorHAnsi"/>
      <w:i/>
      <w:szCs w:val="22"/>
      <w:lang w:eastAsia="en-US"/>
    </w:rPr>
  </w:style>
  <w:style w:type="paragraph" w:customStyle="1" w:styleId="Titreobjet">
    <w:name w:val="Titre objet"/>
    <w:basedOn w:val="Normal"/>
    <w:next w:val="Normal"/>
    <w:rsid w:val="00E61862"/>
    <w:pPr>
      <w:widowControl/>
      <w:spacing w:before="360" w:after="360" w:line="360" w:lineRule="auto"/>
      <w:jc w:val="center"/>
    </w:pPr>
    <w:rPr>
      <w:rFonts w:eastAsiaTheme="minorHAnsi"/>
      <w:b/>
      <w:szCs w:val="22"/>
      <w:lang w:eastAsia="en-US"/>
    </w:rPr>
  </w:style>
  <w:style w:type="paragraph" w:customStyle="1" w:styleId="Typedudocument">
    <w:name w:val="Type du document"/>
    <w:basedOn w:val="Normal"/>
    <w:next w:val="Datedadoption"/>
    <w:rsid w:val="00E61862"/>
    <w:pPr>
      <w:widowControl/>
      <w:spacing w:before="360" w:line="360" w:lineRule="auto"/>
      <w:jc w:val="center"/>
    </w:pPr>
    <w:rPr>
      <w:rFonts w:eastAsiaTheme="minorHAnsi"/>
      <w:b/>
      <w:szCs w:val="22"/>
      <w:lang w:eastAsia="en-US"/>
    </w:rPr>
  </w:style>
  <w:style w:type="paragraph" w:customStyle="1" w:styleId="Lignefinal">
    <w:name w:val="Ligne final"/>
    <w:basedOn w:val="Normal"/>
    <w:next w:val="Normal"/>
    <w:rsid w:val="00E61862"/>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LignefinalLandscape">
    <w:name w:val="Ligne final (Landscape)"/>
    <w:basedOn w:val="Normal"/>
    <w:next w:val="Normal"/>
    <w:rsid w:val="00E61862"/>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Annexetitre">
    <w:name w:val="Annexe titre"/>
    <w:basedOn w:val="Normal"/>
    <w:next w:val="Normal"/>
    <w:rsid w:val="00E61862"/>
    <w:pPr>
      <w:widowControl/>
      <w:spacing w:before="120" w:after="120" w:line="360" w:lineRule="auto"/>
      <w:jc w:val="center"/>
    </w:pPr>
    <w:rPr>
      <w:rFonts w:eastAsiaTheme="minorHAnsi"/>
      <w:b/>
      <w:szCs w:val="22"/>
      <w:u w:val="single"/>
      <w:lang w:eastAsia="en-US"/>
    </w:rPr>
  </w:style>
  <w:style w:type="paragraph" w:styleId="NormalWeb">
    <w:name w:val="Normal (Web)"/>
    <w:basedOn w:val="Normal"/>
    <w:uiPriority w:val="99"/>
    <w:unhideWhenUsed/>
    <w:rsid w:val="00E61862"/>
    <w:pPr>
      <w:widowControl/>
      <w:spacing w:before="100" w:beforeAutospacing="1" w:after="100" w:afterAutospacing="1"/>
    </w:pPr>
    <w:rPr>
      <w:szCs w:val="24"/>
      <w:lang w:eastAsia="en-IE"/>
    </w:rPr>
  </w:style>
  <w:style w:type="paragraph" w:customStyle="1" w:styleId="Normal24a">
    <w:name w:val="Normal24a"/>
    <w:basedOn w:val="Normal"/>
    <w:rsid w:val="00E61862"/>
    <w:pPr>
      <w:spacing w:after="480"/>
    </w:pPr>
  </w:style>
  <w:style w:type="paragraph" w:customStyle="1" w:styleId="NormalBoldCenter">
    <w:name w:val="NormalBoldCenter"/>
    <w:basedOn w:val="Normal"/>
    <w:rsid w:val="00E61862"/>
    <w:pPr>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1B5B1E-F65E-4800-9B86-5387E70279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4034</Words>
  <Characters>22801</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ZOVKO Jadranka</cp:lastModifiedBy>
  <cp:revision>2</cp:revision>
  <cp:lastPrinted>2004-11-19T15:42:00Z</cp:lastPrinted>
  <dcterms:created xsi:type="dcterms:W3CDTF">2024-06-04T09:17:00Z</dcterms:created>
  <dcterms:modified xsi:type="dcterms:W3CDTF">2024-06-04T09:17:00Z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P9_TA(2024)0081_</vt:lpwstr>
  </property>
  <property fmtid="{D5CDD505-2E9C-101B-9397-08002B2CF9AE}" pid="4" name="&lt;Type&gt;">
    <vt:lpwstr>RR</vt:lpwstr>
  </property>
</Properties>
</file>