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293D" w:rsidTr="0010095E">
        <w:trPr>
          <w:trHeight w:hRule="exact" w:val="1418"/>
        </w:trPr>
        <w:tc>
          <w:tcPr>
            <w:tcW w:w="6804" w:type="dxa"/>
            <w:shd w:val="clear" w:color="auto" w:fill="auto"/>
            <w:vAlign w:val="center"/>
          </w:tcPr>
          <w:p w:rsidR="00751A4A" w:rsidRPr="0059293D" w:rsidRDefault="00E32707" w:rsidP="0010095E">
            <w:pPr>
              <w:pStyle w:val="EPName"/>
            </w:pPr>
            <w:r w:rsidRPr="0059293D">
              <w:t>Európai Parlament</w:t>
            </w:r>
          </w:p>
          <w:p w:rsidR="00751A4A" w:rsidRPr="0059293D" w:rsidRDefault="00817416" w:rsidP="00756632">
            <w:pPr>
              <w:pStyle w:val="EPTerm"/>
              <w:rPr>
                <w:rStyle w:val="HideTWBExt"/>
                <w:noProof w:val="0"/>
                <w:vanish w:val="0"/>
                <w:color w:val="auto"/>
              </w:rPr>
            </w:pPr>
            <w:r w:rsidRPr="0059293D">
              <w:t>2019-2024</w:t>
            </w:r>
          </w:p>
        </w:tc>
        <w:tc>
          <w:tcPr>
            <w:tcW w:w="2268" w:type="dxa"/>
            <w:shd w:val="clear" w:color="auto" w:fill="auto"/>
          </w:tcPr>
          <w:p w:rsidR="00751A4A" w:rsidRPr="0059293D" w:rsidRDefault="00187494" w:rsidP="0010095E">
            <w:pPr>
              <w:pStyle w:val="EPLogo"/>
            </w:pPr>
            <w:r w:rsidRPr="0059293D">
              <w:rPr>
                <w:noProof/>
                <w:lang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9293D" w:rsidRDefault="00D058B8" w:rsidP="004C5D52">
      <w:pPr>
        <w:pStyle w:val="LineTop"/>
      </w:pPr>
    </w:p>
    <w:p w:rsidR="00680577" w:rsidRPr="0059293D" w:rsidRDefault="00E32707" w:rsidP="00680577">
      <w:pPr>
        <w:pStyle w:val="EPBodyTA1"/>
      </w:pPr>
      <w:r w:rsidRPr="0059293D">
        <w:t>ELFOGADOTT SZÖVEGEK</w:t>
      </w:r>
    </w:p>
    <w:p w:rsidR="00D058B8" w:rsidRPr="0059293D" w:rsidRDefault="00D058B8" w:rsidP="00D058B8">
      <w:pPr>
        <w:pStyle w:val="LineBottom"/>
      </w:pPr>
    </w:p>
    <w:p w:rsidR="00E32707" w:rsidRPr="0059293D" w:rsidRDefault="00E32707" w:rsidP="00E32707">
      <w:pPr>
        <w:pStyle w:val="ATHeading1"/>
      </w:pPr>
      <w:bookmarkStart w:id="0" w:name="TANumber"/>
      <w:r w:rsidRPr="0059293D">
        <w:t>P9_</w:t>
      </w:r>
      <w:proofErr w:type="gramStart"/>
      <w:r w:rsidRPr="0059293D">
        <w:t>TA(</w:t>
      </w:r>
      <w:proofErr w:type="gramEnd"/>
      <w:r w:rsidRPr="0059293D">
        <w:t>2024)00</w:t>
      </w:r>
      <w:r w:rsidR="00291EC2" w:rsidRPr="0059293D">
        <w:t>81</w:t>
      </w:r>
      <w:bookmarkEnd w:id="0"/>
    </w:p>
    <w:p w:rsidR="00E32707" w:rsidRPr="0059293D" w:rsidRDefault="00E32707" w:rsidP="00E32707">
      <w:pPr>
        <w:pStyle w:val="ATHeading2"/>
      </w:pPr>
      <w:bookmarkStart w:id="1" w:name="title"/>
      <w:r w:rsidRPr="0059293D">
        <w:t>A 2021–2027-es időszakra vonatkozó többéves pénzügyi keret</w:t>
      </w:r>
      <w:bookmarkEnd w:id="1"/>
    </w:p>
    <w:p w:rsidR="00E32707" w:rsidRPr="0059293D" w:rsidRDefault="00E32707" w:rsidP="00E32707">
      <w:pPr>
        <w:rPr>
          <w:i/>
          <w:vanish/>
        </w:rPr>
      </w:pPr>
      <w:r w:rsidRPr="0059293D">
        <w:rPr>
          <w:i/>
        </w:rPr>
        <w:fldChar w:fldCharType="begin"/>
      </w:r>
      <w:r w:rsidRPr="0059293D">
        <w:rPr>
          <w:i/>
        </w:rPr>
        <w:instrText xml:space="preserve"> TC"(</w:instrText>
      </w:r>
      <w:bookmarkStart w:id="2" w:name="DocNumber"/>
      <w:r w:rsidRPr="0059293D">
        <w:rPr>
          <w:i/>
        </w:rPr>
        <w:instrText>A9-0051/2024</w:instrText>
      </w:r>
      <w:bookmarkEnd w:id="2"/>
      <w:r w:rsidR="0059293D">
        <w:rPr>
          <w:i/>
        </w:rPr>
        <w:instrText xml:space="preserve"> - Társe</w:instrText>
      </w:r>
      <w:r w:rsidRPr="0059293D">
        <w:rPr>
          <w:i/>
        </w:rPr>
        <w:instrText xml:space="preserve">lőadók: Jan </w:instrText>
      </w:r>
      <w:proofErr w:type="spellStart"/>
      <w:r w:rsidRPr="0059293D">
        <w:rPr>
          <w:i/>
        </w:rPr>
        <w:instrText>Olbrycht</w:instrText>
      </w:r>
      <w:proofErr w:type="spellEnd"/>
      <w:r w:rsidRPr="0059293D">
        <w:rPr>
          <w:i/>
        </w:rPr>
        <w:instrText xml:space="preserve">, Margarida </w:instrText>
      </w:r>
      <w:proofErr w:type="spellStart"/>
      <w:r w:rsidRPr="0059293D">
        <w:rPr>
          <w:i/>
        </w:rPr>
        <w:instrText>Marques</w:instrText>
      </w:r>
      <w:proofErr w:type="spellEnd"/>
      <w:r w:rsidRPr="0059293D">
        <w:rPr>
          <w:i/>
        </w:rPr>
        <w:instrText xml:space="preserve">)"\l3 \n&gt; \* MERGEFORMAT </w:instrText>
      </w:r>
      <w:r w:rsidRPr="0059293D">
        <w:rPr>
          <w:i/>
        </w:rPr>
        <w:fldChar w:fldCharType="end"/>
      </w:r>
    </w:p>
    <w:p w:rsidR="00E32707" w:rsidRPr="0059293D" w:rsidRDefault="00E32707" w:rsidP="00E32707">
      <w:pPr>
        <w:rPr>
          <w:vanish/>
        </w:rPr>
      </w:pPr>
      <w:bookmarkStart w:id="3" w:name="Commission"/>
      <w:r w:rsidRPr="0059293D">
        <w:rPr>
          <w:vanish/>
        </w:rPr>
        <w:t>Költségvetési Bizottság</w:t>
      </w:r>
      <w:bookmarkEnd w:id="3"/>
    </w:p>
    <w:p w:rsidR="00E32707" w:rsidRPr="0059293D" w:rsidRDefault="00E32707" w:rsidP="00E32707">
      <w:pPr>
        <w:rPr>
          <w:vanish/>
        </w:rPr>
      </w:pPr>
      <w:bookmarkStart w:id="4" w:name="PE"/>
      <w:r w:rsidRPr="0059293D">
        <w:rPr>
          <w:vanish/>
        </w:rPr>
        <w:t>PE758.992</w:t>
      </w:r>
      <w:bookmarkEnd w:id="4"/>
    </w:p>
    <w:p w:rsidR="00E32707" w:rsidRPr="0059293D" w:rsidRDefault="00E32707" w:rsidP="00E32707">
      <w:pPr>
        <w:pStyle w:val="ATHeading3"/>
      </w:pPr>
      <w:bookmarkStart w:id="5" w:name="Sujet"/>
      <w:r w:rsidRPr="0059293D">
        <w:t xml:space="preserve">Az Európai Parlament 2024. </w:t>
      </w:r>
      <w:r w:rsidR="004437B1" w:rsidRPr="0059293D">
        <w:t>február 27</w:t>
      </w:r>
      <w:r w:rsidRPr="0059293D">
        <w:t>-i jogalkotási állásfoglalása a 2021–2027-es időszakra vonatkozó többéves pénzügyi keretről szóló 2020/2093/EU, Euratom rendelet módosításár</w:t>
      </w:r>
      <w:r w:rsidR="008D7960" w:rsidRPr="0059293D">
        <w:t>ól szóló</w:t>
      </w:r>
      <w:r w:rsidRPr="0059293D">
        <w:t xml:space="preserve"> tanácsi rendelet</w:t>
      </w:r>
      <w:r w:rsidR="004437B1" w:rsidRPr="0059293D">
        <w:t>re irányuló</w:t>
      </w:r>
      <w:r w:rsidRPr="0059293D">
        <w:t xml:space="preserve"> tervezetről</w:t>
      </w:r>
      <w:bookmarkEnd w:id="5"/>
      <w:r w:rsidRPr="0059293D">
        <w:t xml:space="preserve"> </w:t>
      </w:r>
      <w:bookmarkStart w:id="6" w:name="References"/>
      <w:r w:rsidRPr="0059293D">
        <w:t>(05818/2024 – C9-0030/2024 – 2023/</w:t>
      </w:r>
      <w:proofErr w:type="gramStart"/>
      <w:r w:rsidRPr="0059293D">
        <w:t>0201(</w:t>
      </w:r>
      <w:proofErr w:type="gramEnd"/>
      <w:r w:rsidRPr="0059293D">
        <w:t>APP))</w:t>
      </w:r>
      <w:bookmarkEnd w:id="6"/>
    </w:p>
    <w:p w:rsidR="00B5286B" w:rsidRPr="0059293D" w:rsidRDefault="00B5286B" w:rsidP="00B5286B">
      <w:pPr>
        <w:pStyle w:val="NormalBold"/>
      </w:pPr>
      <w:bookmarkStart w:id="7" w:name="TextBodyBegin"/>
      <w:bookmarkEnd w:id="7"/>
      <w:r w:rsidRPr="0059293D">
        <w:t>(Különleges jogalkotási eljárás – egyetértés)</w:t>
      </w:r>
    </w:p>
    <w:p w:rsidR="00B5286B" w:rsidRPr="0059293D" w:rsidRDefault="00B5286B" w:rsidP="00B5286B">
      <w:pPr>
        <w:pStyle w:val="EPComma"/>
        <w:rPr>
          <w:i/>
        </w:rPr>
      </w:pPr>
      <w:r w:rsidRPr="0059293D">
        <w:rPr>
          <w:i/>
        </w:rPr>
        <w:t>Az Európai Parlament,</w:t>
      </w:r>
    </w:p>
    <w:p w:rsidR="00B5286B" w:rsidRPr="0059293D" w:rsidRDefault="00B5286B" w:rsidP="004437B1">
      <w:pPr>
        <w:pStyle w:val="NormalHanging12a"/>
        <w:widowControl/>
      </w:pPr>
      <w:r w:rsidRPr="0059293D">
        <w:t>–</w:t>
      </w:r>
      <w:r w:rsidRPr="0059293D">
        <w:tab/>
        <w:t xml:space="preserve">tekintettel a 2021–2027-es időszakra vonatkozó többéves pénzügyi keretről szóló </w:t>
      </w:r>
      <w:r w:rsidR="00653C5D">
        <w:t xml:space="preserve">(EU, Euratom) </w:t>
      </w:r>
      <w:r w:rsidRPr="0059293D">
        <w:t>2020/2093 rendelet módosításár</w:t>
      </w:r>
      <w:r w:rsidR="008D7960" w:rsidRPr="0059293D">
        <w:t>ól szóló</w:t>
      </w:r>
      <w:r w:rsidRPr="0059293D">
        <w:t xml:space="preserve"> tanácsi rendelet tervezetére (05818/2024),</w:t>
      </w:r>
    </w:p>
    <w:p w:rsidR="00B5286B" w:rsidRPr="0059293D" w:rsidRDefault="00B5286B" w:rsidP="004437B1">
      <w:pPr>
        <w:pStyle w:val="NormalHanging12a"/>
        <w:widowControl/>
      </w:pPr>
      <w:r w:rsidRPr="0059293D">
        <w:t>–</w:t>
      </w:r>
      <w:r w:rsidRPr="0059293D">
        <w:tab/>
        <w:t>tekintettel a Tanács által az Európai Unió működéséről szóló szerződés 312. cikkének (2) bekezdésével összhangban előterjesztett, egyetértésre irányuló kérelemre (C9-0030/2024),</w:t>
      </w:r>
    </w:p>
    <w:p w:rsidR="00B5286B" w:rsidRPr="0059293D" w:rsidRDefault="00B5286B" w:rsidP="004437B1">
      <w:pPr>
        <w:pStyle w:val="NormalHanging12a"/>
        <w:widowControl/>
      </w:pPr>
      <w:r w:rsidRPr="0059293D">
        <w:t>–</w:t>
      </w:r>
      <w:r w:rsidRPr="0059293D">
        <w:tab/>
        <w:t>tekintettel a 2021–2027-es időszakra vonatkozó többéves pénzügyi keretről szóló (EU, Euratom) 2020/2093 rendelet módosításáról szóló tanácsi rendeletre irányuló, 2023. június 20-i bizottsági javaslatra (</w:t>
      </w:r>
      <w:proofErr w:type="gramStart"/>
      <w:r w:rsidRPr="0059293D">
        <w:t>COM(</w:t>
      </w:r>
      <w:proofErr w:type="gramEnd"/>
      <w:r w:rsidRPr="0059293D">
        <w:t>2023)0337),</w:t>
      </w:r>
    </w:p>
    <w:p w:rsidR="00B5286B" w:rsidRPr="0059293D" w:rsidRDefault="00B5286B" w:rsidP="004437B1">
      <w:pPr>
        <w:pStyle w:val="NormalHanging12a"/>
        <w:widowControl/>
        <w:rPr>
          <w:snapToGrid w:val="0"/>
          <w:szCs w:val="24"/>
        </w:rPr>
      </w:pPr>
      <w:r w:rsidRPr="0059293D">
        <w:t>–</w:t>
      </w:r>
      <w:r w:rsidRPr="0059293D">
        <w:tab/>
      </w:r>
      <w:r w:rsidRPr="0059293D">
        <w:rPr>
          <w:snapToGrid w:val="0"/>
        </w:rPr>
        <w:t>tekintettel a 2021–2027-es időszakra vonatkozó többéves pénzügyi keret félidős felülvizsgálatára irányuló javaslatról szóló, 2023. október 3-i állásfoglalására</w:t>
      </w:r>
      <w:r w:rsidRPr="0059293D">
        <w:rPr>
          <w:snapToGrid w:val="0"/>
          <w:szCs w:val="24"/>
          <w:vertAlign w:val="superscript"/>
        </w:rPr>
        <w:footnoteReference w:id="1"/>
      </w:r>
      <w:r w:rsidRPr="0059293D">
        <w:rPr>
          <w:snapToGrid w:val="0"/>
        </w:rPr>
        <w:t>,</w:t>
      </w:r>
    </w:p>
    <w:p w:rsidR="00B5286B" w:rsidRPr="0059293D" w:rsidRDefault="00B5286B" w:rsidP="004437B1">
      <w:pPr>
        <w:pStyle w:val="NormalHanging12a"/>
        <w:widowControl/>
      </w:pPr>
      <w:r w:rsidRPr="0059293D">
        <w:t>–</w:t>
      </w:r>
      <w:r w:rsidRPr="0059293D">
        <w:tab/>
        <w:t>tekintettel eljárási szabályzata 92. cikkére és 105. cikkének (1) és (4) bekezdésére,</w:t>
      </w:r>
    </w:p>
    <w:p w:rsidR="00B5286B" w:rsidRPr="0059293D" w:rsidRDefault="00B5286B" w:rsidP="004437B1">
      <w:pPr>
        <w:pStyle w:val="NormalHanging12a"/>
        <w:widowControl/>
      </w:pPr>
      <w:r w:rsidRPr="0059293D">
        <w:t>–</w:t>
      </w:r>
      <w:r w:rsidRPr="0059293D">
        <w:tab/>
        <w:t>tekintettel a Költségvetési Bizottság ajánlására (A9-0051/2024),</w:t>
      </w:r>
    </w:p>
    <w:p w:rsidR="00B5286B" w:rsidRPr="0059293D" w:rsidRDefault="00B5286B" w:rsidP="004437B1">
      <w:pPr>
        <w:pStyle w:val="NormalHanging12a"/>
        <w:widowControl/>
      </w:pPr>
      <w:r w:rsidRPr="0059293D">
        <w:t>1.</w:t>
      </w:r>
      <w:r w:rsidRPr="0059293D">
        <w:tab/>
        <w:t>egyetért a tanácsi rendelet ezen állásfoglalás mellékletében foglalt tervezetével;</w:t>
      </w:r>
    </w:p>
    <w:p w:rsidR="00B5286B" w:rsidRPr="0059293D" w:rsidRDefault="00B5286B" w:rsidP="004437B1">
      <w:pPr>
        <w:pStyle w:val="NormalHanging12a"/>
        <w:widowControl/>
      </w:pPr>
      <w:r w:rsidRPr="0059293D">
        <w:t>2.</w:t>
      </w:r>
      <w:r w:rsidRPr="0059293D">
        <w:tab/>
        <w:t xml:space="preserve">jóváhagyja a Parlament, a Tanács és a Bizottság ezen állásfoglaláshoz csatolt </w:t>
      </w:r>
      <w:r w:rsidR="004437B1" w:rsidRPr="0059293D">
        <w:t xml:space="preserve">együttes </w:t>
      </w:r>
      <w:r w:rsidRPr="0059293D">
        <w:t>nyilatkozatát;</w:t>
      </w:r>
    </w:p>
    <w:p w:rsidR="00B5286B" w:rsidRPr="0059293D" w:rsidRDefault="00B5286B" w:rsidP="004437B1">
      <w:pPr>
        <w:pStyle w:val="NormalHanging12a"/>
        <w:widowControl/>
      </w:pPr>
      <w:r w:rsidRPr="0059293D">
        <w:t>3.</w:t>
      </w:r>
      <w:r w:rsidRPr="0059293D">
        <w:tab/>
        <w:t>utasítja elnökét, hogy továbbítsa a Parlament álláspontját a Tanácsnak és a Bizottságnak, valamint a nemzeti parlamenteknek.</w:t>
      </w:r>
    </w:p>
    <w:p w:rsidR="00B5286B" w:rsidRPr="0059293D" w:rsidRDefault="00B5286B" w:rsidP="00B5286B">
      <w:pPr>
        <w:widowControl/>
      </w:pPr>
      <w:r w:rsidRPr="0059293D">
        <w:br w:type="page"/>
      </w:r>
    </w:p>
    <w:p w:rsidR="00B5286B" w:rsidRPr="0059293D" w:rsidRDefault="00653C5D" w:rsidP="00B5286B">
      <w:pPr>
        <w:pStyle w:val="PageHeading"/>
        <w:rPr>
          <w:caps/>
        </w:rPr>
      </w:pPr>
      <w:bookmarkStart w:id="8" w:name="_Toc159575862"/>
      <w:r>
        <w:rPr>
          <w:caps/>
        </w:rPr>
        <w:lastRenderedPageBreak/>
        <w:t>1</w:t>
      </w:r>
      <w:r w:rsidR="00B5286B" w:rsidRPr="0059293D">
        <w:rPr>
          <w:caps/>
        </w:rPr>
        <w:t xml:space="preserve">. MELLÉKLET: TERVEZET – </w:t>
      </w:r>
      <w:proofErr w:type="gramStart"/>
      <w:r w:rsidR="00B5286B" w:rsidRPr="0059293D">
        <w:rPr>
          <w:caps/>
        </w:rPr>
        <w:t>A</w:t>
      </w:r>
      <w:proofErr w:type="gramEnd"/>
      <w:r w:rsidR="00B5286B" w:rsidRPr="0059293D">
        <w:rPr>
          <w:caps/>
        </w:rPr>
        <w:t xml:space="preserve"> TANÁCS RENDELETE a 2021–2027-es időszakra vonatkozó többéves pénzügyi keretről szóló (EU, Euratom) 2020/2093 rendelet módosításáról</w:t>
      </w:r>
      <w:bookmarkEnd w:id="8"/>
    </w:p>
    <w:p w:rsidR="00B5286B" w:rsidRPr="0059293D" w:rsidRDefault="00B5286B" w:rsidP="00B5286B">
      <w:pPr>
        <w:pStyle w:val="Typedudocument"/>
      </w:pPr>
      <w:r w:rsidRPr="0059293D">
        <w:t>A TANÁCS (EU, Euratom) 2024/… RENDELETE</w:t>
      </w:r>
    </w:p>
    <w:p w:rsidR="00B5286B" w:rsidRPr="0059293D" w:rsidRDefault="00B5286B" w:rsidP="00B5286B">
      <w:pPr>
        <w:pStyle w:val="Datedadoption"/>
      </w:pPr>
      <w:r w:rsidRPr="0059293D">
        <w:t>(...)</w:t>
      </w:r>
    </w:p>
    <w:p w:rsidR="00B5286B" w:rsidRPr="0059293D" w:rsidRDefault="00B5286B" w:rsidP="00B5286B">
      <w:pPr>
        <w:pStyle w:val="Titreobjet"/>
      </w:pPr>
      <w:proofErr w:type="gramStart"/>
      <w:r w:rsidRPr="0059293D">
        <w:t>a</w:t>
      </w:r>
      <w:proofErr w:type="gramEnd"/>
      <w:r w:rsidRPr="0059293D">
        <w:t xml:space="preserve"> 2021–2027-es időszakra vonatkozó többéves pénzügyi keretről szóló (EU, Euratom) 2020/2093 rendelet módosításáról</w:t>
      </w:r>
    </w:p>
    <w:p w:rsidR="00B5286B" w:rsidRPr="0059293D" w:rsidRDefault="00B5286B" w:rsidP="004437B1">
      <w:pPr>
        <w:pStyle w:val="Institutionquiagit"/>
      </w:pPr>
      <w:r w:rsidRPr="0059293D">
        <w:t>AZ EURÓPAI UNIÓ TANÁCSA,</w:t>
      </w:r>
    </w:p>
    <w:p w:rsidR="00B5286B" w:rsidRPr="0059293D" w:rsidRDefault="00B5286B" w:rsidP="00291EC2">
      <w:pPr>
        <w:spacing w:line="360" w:lineRule="auto"/>
      </w:pPr>
      <w:proofErr w:type="gramStart"/>
      <w:r w:rsidRPr="0059293D">
        <w:t>tekintettel</w:t>
      </w:r>
      <w:proofErr w:type="gramEnd"/>
      <w:r w:rsidRPr="0059293D">
        <w:t xml:space="preserve"> az Európai Unió működéséről szóló szerződésre és különösen annak 312. cikkére,</w:t>
      </w:r>
    </w:p>
    <w:p w:rsidR="00B5286B" w:rsidRPr="0059293D" w:rsidRDefault="00B5286B" w:rsidP="00291EC2">
      <w:pPr>
        <w:spacing w:line="360" w:lineRule="auto"/>
      </w:pPr>
      <w:proofErr w:type="gramStart"/>
      <w:r w:rsidRPr="0059293D">
        <w:t>tekintettel</w:t>
      </w:r>
      <w:proofErr w:type="gramEnd"/>
      <w:r w:rsidRPr="0059293D">
        <w:t xml:space="preserve"> az Európai Atomenergia-közösséget létrehozó szerződésre és különösen annak 106a. cikkére,</w:t>
      </w:r>
    </w:p>
    <w:p w:rsidR="00B5286B" w:rsidRPr="0059293D" w:rsidRDefault="00B5286B" w:rsidP="00291EC2">
      <w:pPr>
        <w:spacing w:line="360" w:lineRule="auto"/>
      </w:pPr>
      <w:proofErr w:type="gramStart"/>
      <w:r w:rsidRPr="0059293D">
        <w:t>tekintettel</w:t>
      </w:r>
      <w:proofErr w:type="gramEnd"/>
      <w:r w:rsidRPr="0059293D">
        <w:t xml:space="preserve"> az Európai Bizottság javaslatára,</w:t>
      </w:r>
    </w:p>
    <w:p w:rsidR="00B5286B" w:rsidRPr="0059293D" w:rsidRDefault="00B5286B" w:rsidP="00291EC2">
      <w:pPr>
        <w:spacing w:line="360" w:lineRule="auto"/>
      </w:pPr>
      <w:proofErr w:type="gramStart"/>
      <w:r w:rsidRPr="0059293D">
        <w:t>tekintettel</w:t>
      </w:r>
      <w:proofErr w:type="gramEnd"/>
      <w:r w:rsidRPr="0059293D">
        <w:t xml:space="preserve"> az Európai Parlament egyetértésére</w:t>
      </w:r>
      <w:r w:rsidRPr="0059293D">
        <w:rPr>
          <w:rStyle w:val="FootnoteReference"/>
        </w:rPr>
        <w:footnoteReference w:id="2"/>
      </w:r>
      <w:r w:rsidRPr="0059293D">
        <w:t>,</w:t>
      </w:r>
    </w:p>
    <w:p w:rsidR="00B5286B" w:rsidRPr="0059293D" w:rsidRDefault="00B5286B" w:rsidP="00291EC2">
      <w:pPr>
        <w:spacing w:line="360" w:lineRule="auto"/>
      </w:pPr>
      <w:r w:rsidRPr="0059293D">
        <w:t xml:space="preserve">a jogalkotási </w:t>
      </w:r>
      <w:proofErr w:type="gramStart"/>
      <w:r w:rsidRPr="0059293D">
        <w:t>aktus</w:t>
      </w:r>
      <w:proofErr w:type="gramEnd"/>
      <w:r w:rsidRPr="0059293D">
        <w:t xml:space="preserve"> tervezete nemzeti parlamenteknek való megküldését követően,</w:t>
      </w:r>
    </w:p>
    <w:p w:rsidR="00B5286B" w:rsidRPr="0059293D" w:rsidRDefault="00B5286B" w:rsidP="00291EC2">
      <w:pPr>
        <w:spacing w:line="360" w:lineRule="auto"/>
      </w:pPr>
      <w:proofErr w:type="gramStart"/>
      <w:r w:rsidRPr="0059293D">
        <w:t>különleges</w:t>
      </w:r>
      <w:proofErr w:type="gramEnd"/>
      <w:r w:rsidRPr="0059293D">
        <w:t xml:space="preserve"> jogalkotási eljárás keretében,</w:t>
      </w:r>
    </w:p>
    <w:p w:rsidR="00B5286B" w:rsidRPr="0059293D" w:rsidRDefault="00B5286B" w:rsidP="00B5286B">
      <w:r w:rsidRPr="0059293D">
        <w:br w:type="page"/>
      </w:r>
      <w:proofErr w:type="gramStart"/>
      <w:r w:rsidRPr="0059293D">
        <w:lastRenderedPageBreak/>
        <w:t>mivel</w:t>
      </w:r>
      <w:proofErr w:type="gramEnd"/>
      <w:r w:rsidRPr="0059293D">
        <w:t>:</w:t>
      </w:r>
    </w:p>
    <w:p w:rsidR="00B5286B" w:rsidRPr="0059293D" w:rsidRDefault="00B5286B" w:rsidP="00B5286B">
      <w:pPr>
        <w:pStyle w:val="ManualConsidrant"/>
      </w:pPr>
      <w:r w:rsidRPr="0059293D">
        <w:t>(1)</w:t>
      </w:r>
      <w:r w:rsidRPr="0059293D">
        <w:tab/>
        <w:t>A Bizottság a többéves pénzügyi keret (a továbbiakban: MFF) végrehajtásának első éveit követően benyújtotta az (EU, Euratom) 2020/2093 tanácsi rendeletben</w:t>
      </w:r>
      <w:r w:rsidRPr="0059293D">
        <w:rPr>
          <w:rStyle w:val="FootnoteReference"/>
        </w:rPr>
        <w:footnoteReference w:id="3"/>
      </w:r>
      <w:r w:rsidRPr="0059293D">
        <w:t xml:space="preserve"> meghatározott, a 2021–2027-es időszakra vonatkozó MFF működésének felülvizsgálatát, amely tartalmazza a kiadási felső határok fenntarthatóságának értékelését is.</w:t>
      </w:r>
    </w:p>
    <w:p w:rsidR="00B5286B" w:rsidRPr="0059293D" w:rsidRDefault="00B5286B" w:rsidP="00B5286B">
      <w:pPr>
        <w:pStyle w:val="ManualConsidrant"/>
      </w:pPr>
      <w:r w:rsidRPr="0059293D">
        <w:t>(2)</w:t>
      </w:r>
      <w:r w:rsidRPr="0059293D">
        <w:tab/>
        <w:t>2020 decembere óta az Unió számos, példa nélküli és váratlan kihívással szembesült. Az Unió gyorsan cselekedett, és minden rendelkezésére álló eszközt felhasznált, ám a 2021–2027-es időszakra vonatkozó MFF-</w:t>
      </w:r>
      <w:proofErr w:type="spellStart"/>
      <w:r w:rsidRPr="0059293D">
        <w:t>ben</w:t>
      </w:r>
      <w:proofErr w:type="spellEnd"/>
      <w:r w:rsidRPr="0059293D">
        <w:t xml:space="preserve"> engedélyezett, korlátozott költségvetési rugalmasság szinte teljesen kimerült, így az uniós költségvetés még a legsürgősebb kihívásokra is nehezen képes </w:t>
      </w:r>
      <w:proofErr w:type="gramStart"/>
      <w:r w:rsidRPr="0059293D">
        <w:t>reagálni</w:t>
      </w:r>
      <w:proofErr w:type="gramEnd"/>
      <w:r w:rsidRPr="0059293D">
        <w:t>.</w:t>
      </w:r>
    </w:p>
    <w:p w:rsidR="00B5286B" w:rsidRPr="0059293D" w:rsidRDefault="00B5286B" w:rsidP="00B5286B">
      <w:pPr>
        <w:pStyle w:val="ManualConsidrant"/>
      </w:pPr>
      <w:r w:rsidRPr="0059293D">
        <w:t>(3)</w:t>
      </w:r>
      <w:r w:rsidRPr="0059293D">
        <w:tab/>
        <w:t xml:space="preserve">Az MFF végrehajtásának első éveiben a </w:t>
      </w:r>
      <w:proofErr w:type="gramStart"/>
      <w:r w:rsidRPr="0059293D">
        <w:t>speciális</w:t>
      </w:r>
      <w:proofErr w:type="gramEnd"/>
      <w:r w:rsidRPr="0059293D">
        <w:t xml:space="preserve"> eszközöket széles körben alkalmazták számos kihívás kezelésére. Továbbra is szükség van újabb intézkedésekre, ám az ilyen helyzetek kezelésére az MFF fennmaradó időszakában rendelkezésre álló költségvetési források korlátozottak.</w:t>
      </w:r>
    </w:p>
    <w:p w:rsidR="00B5286B" w:rsidRPr="0059293D" w:rsidRDefault="00B5286B" w:rsidP="00B5286B">
      <w:pPr>
        <w:pStyle w:val="ManualConsidrant"/>
      </w:pPr>
      <w:r w:rsidRPr="0059293D">
        <w:br w:type="page"/>
      </w:r>
      <w:r w:rsidRPr="0059293D">
        <w:lastRenderedPageBreak/>
        <w:t>(4)</w:t>
      </w:r>
      <w:r w:rsidRPr="0059293D">
        <w:tab/>
        <w:t>Az uniós költségvetésnek lehetővé kell tennie, hogy az Unió megfelelő szakpolitikai válaszokat adjon olyan felmerülő kihívásokra, és teljesítsen olyan jogi kötelezettségeket, amelyek a meglévő felső határokon belül vagy a rugalmasság kimerítésével nem oldhatók meg. Ezért az 1</w:t>
      </w:r>
      <w:proofErr w:type="gramStart"/>
      <w:r w:rsidRPr="0059293D">
        <w:t>.,</w:t>
      </w:r>
      <w:proofErr w:type="gramEnd"/>
      <w:r w:rsidRPr="0059293D">
        <w:t xml:space="preserve"> a 2., a 3., a 4., az 5. és a 6. fejezet kötelezettségvállalási előirányzatainak 2024-re, 2025-re, 2026-ra és 2027-re vonatkozó kiadási felső határait módosítani kell. Következésképpen, bár a kifizetési előirányzatok kiadási felső határai megmaradhatnak a jelenlegi szinten, a hátralék kockázatának elkerülése érdekében ki kell igazítani az egységes tartalékeszköz 2026-os kifizetési előirányzatainak a felső határait. Emellett módosítani kell az 5. cikkben előírt programspecifikus kiigazítás szerinti kiegészítő </w:t>
      </w:r>
      <w:proofErr w:type="gramStart"/>
      <w:r w:rsidRPr="0059293D">
        <w:t>allokáció</w:t>
      </w:r>
      <w:proofErr w:type="gramEnd"/>
      <w:r w:rsidRPr="0059293D">
        <w:t xml:space="preserve"> teljes összegét, valamint az (EU, Euratom) 2020/2093 rendelet II. mellékletében található kapcsolódó táblázatot.</w:t>
      </w:r>
    </w:p>
    <w:p w:rsidR="00B5286B" w:rsidRPr="0059293D" w:rsidRDefault="00B5286B" w:rsidP="00B5286B">
      <w:pPr>
        <w:pStyle w:val="ManualConsidrant"/>
      </w:pPr>
      <w:r w:rsidRPr="0059293D">
        <w:t>(5)</w:t>
      </w:r>
      <w:r w:rsidRPr="0059293D">
        <w:tab/>
        <w:t xml:space="preserve">A </w:t>
      </w:r>
      <w:proofErr w:type="spellStart"/>
      <w:r w:rsidRPr="0059293D">
        <w:t>brexit</w:t>
      </w:r>
      <w:proofErr w:type="spellEnd"/>
      <w:r w:rsidRPr="0059293D">
        <w:t xml:space="preserve"> miatti kiigazításokra képzett tartalék és az Európai Globalizációs Alkalmazkodási Alap összegét szintén módosítani kell.</w:t>
      </w:r>
    </w:p>
    <w:p w:rsidR="00B5286B" w:rsidRPr="0059293D" w:rsidRDefault="00B5286B" w:rsidP="00B5286B">
      <w:pPr>
        <w:pStyle w:val="ManualConsidrant"/>
      </w:pPr>
      <w:r w:rsidRPr="0059293D">
        <w:t>(6)</w:t>
      </w:r>
      <w:r w:rsidRPr="0059293D">
        <w:tab/>
        <w:t xml:space="preserve">Oroszország Ukrajnával szembeni, jogellenes </w:t>
      </w:r>
      <w:proofErr w:type="gramStart"/>
      <w:r w:rsidRPr="0059293D">
        <w:t>agressziós</w:t>
      </w:r>
      <w:proofErr w:type="gramEnd"/>
      <w:r w:rsidRPr="0059293D">
        <w:t xml:space="preserve"> háborúja miatt újra háború folyik Európa területén. Az Unió továbbra is támogatni fogja Ukrajnát mindaddig, amíg szükséges, és határozottan segíteni fogja az országot az európai integráció felé vezető útján. E célból az Ukrajna makroszintű pénzügyi </w:t>
      </w:r>
      <w:proofErr w:type="gramStart"/>
      <w:r w:rsidRPr="0059293D">
        <w:t>stabilitásának</w:t>
      </w:r>
      <w:proofErr w:type="gramEnd"/>
      <w:r w:rsidRPr="0059293D">
        <w:t>, újjáépítésének és korszerűsítésének támogatására irányuló uniós válaszként az Európai Parlament és a Tanács elfogadta az (EU) 2024/... európai parlamenti és tanácsi rendeletet</w:t>
      </w:r>
      <w:r w:rsidRPr="0059293D">
        <w:rPr>
          <w:rStyle w:val="FootnoteReference"/>
        </w:rPr>
        <w:footnoteReference w:id="4"/>
      </w:r>
      <w:r w:rsidRPr="0059293D">
        <w:rPr>
          <w:rStyle w:val="FootnoteReference"/>
        </w:rPr>
        <w:footnoteReference w:customMarkFollows="1" w:id="5"/>
        <w:t>+</w:t>
      </w:r>
      <w:r w:rsidRPr="0059293D">
        <w:t xml:space="preserve"> (Ukrajna-eszköz), és egyúttal támogatja Ukrajnának az uniós csatlakozást szolgáló reformtörekvéseit.</w:t>
      </w:r>
    </w:p>
    <w:p w:rsidR="00B5286B" w:rsidRPr="0059293D" w:rsidRDefault="00B5286B" w:rsidP="00B5286B">
      <w:pPr>
        <w:pStyle w:val="ManualConsidrant"/>
      </w:pPr>
      <w:r w:rsidRPr="0059293D">
        <w:br w:type="page"/>
      </w:r>
      <w:r w:rsidRPr="0059293D">
        <w:lastRenderedPageBreak/>
        <w:t>(7)</w:t>
      </w:r>
      <w:r w:rsidRPr="0059293D">
        <w:tab/>
        <w:t xml:space="preserve">Tekintettel az Oroszország által folytatott </w:t>
      </w:r>
      <w:proofErr w:type="gramStart"/>
      <w:r w:rsidRPr="0059293D">
        <w:t>agressziós</w:t>
      </w:r>
      <w:proofErr w:type="gramEnd"/>
      <w:r w:rsidRPr="0059293D">
        <w:t xml:space="preserve"> háborúval kapcsolatos bizonytalanságokra, az Ukrajna-eszköznek olyan rugalmas eszköznek kell lennie, amely 2027-ig biztosítja a megfelelő formájú és szintű támogatást. Az Ukrajna-eszköz keretében történő támogatást hitelek, vissza nem térítendő támogatások, valamint költségvetési biztosítékokra képzett tartalékok formájában kell nyújtani.</w:t>
      </w:r>
    </w:p>
    <w:p w:rsidR="00B5286B" w:rsidRPr="0059293D" w:rsidRDefault="00B5286B" w:rsidP="00B5286B">
      <w:pPr>
        <w:pStyle w:val="ManualConsidrant"/>
      </w:pPr>
      <w:r w:rsidRPr="0059293D">
        <w:t>(8)</w:t>
      </w:r>
      <w:r w:rsidRPr="0059293D">
        <w:tab/>
        <w:t xml:space="preserve">Az Ukrajna-eszköz keretében történő támogatás hitelek formájában nyújtott része tekintetében helyénvaló 2027-ig meghosszabbítani az Ukrajna rendelkezésére bocsátott pénzügyi támogatást fedező, meglévő uniós költségvetési biztosítékot. Következésképpen lehetővé kell tenni, hogy az Ukrajnának nyújtandó, 2027 végéig rendelkezésre álló pénzügyi támogatás céljából az uniós költségvetésben a szükséges előirányzatok az MFF felső határait meghaladóan legyenek igénybe vehetők. Az Ukrajnának nyújtandó, az (EU) 2022/2463 rendeletben már előírt rövid távú pénzügyi támogatás fedezésén túlmenően az uniós költségvetési </w:t>
      </w:r>
      <w:proofErr w:type="gramStart"/>
      <w:r w:rsidRPr="0059293D">
        <w:t>garanciának</w:t>
      </w:r>
      <w:proofErr w:type="gramEnd"/>
      <w:r w:rsidRPr="0059293D">
        <w:t xml:space="preserve"> az (EU) 2024/... rendeletben</w:t>
      </w:r>
      <w:r w:rsidRPr="0059293D">
        <w:rPr>
          <w:rStyle w:val="FootnoteReference"/>
        </w:rPr>
        <w:footnoteReference w:customMarkFollows="1" w:id="6"/>
        <w:t>+</w:t>
      </w:r>
      <w:r w:rsidRPr="0059293D">
        <w:t xml:space="preserve"> foglaltak szerint legfeljebb 33 milliárd EUR összegű pénzügyi támogatást kell fedeznie.</w:t>
      </w:r>
    </w:p>
    <w:p w:rsidR="00B5286B" w:rsidRPr="0059293D" w:rsidRDefault="00B5286B" w:rsidP="00B5286B">
      <w:pPr>
        <w:pStyle w:val="ManualConsidrant"/>
      </w:pPr>
      <w:r w:rsidRPr="0059293D">
        <w:br w:type="page"/>
      </w:r>
      <w:r w:rsidRPr="0059293D">
        <w:lastRenderedPageBreak/>
        <w:t>(9)</w:t>
      </w:r>
      <w:r w:rsidRPr="0059293D">
        <w:tab/>
        <w:t xml:space="preserve">Az Ukrajna-eszköz keretében történő támogatásnak a vissza nem térítendő támogatás és a költségvetési biztosítékokra képzett tartalék formájában nyújtott részéhez kapcsolódó előirányzatokat egy új tematikus </w:t>
      </w:r>
      <w:proofErr w:type="gramStart"/>
      <w:r w:rsidRPr="0059293D">
        <w:t>speciális</w:t>
      </w:r>
      <w:proofErr w:type="gramEnd"/>
      <w:r w:rsidRPr="0059293D">
        <w:t xml:space="preserve"> eszközön, az „Ukrajna-tartalékon” keresztül kell rendelkezésre bocsátani. A kötelezettségvállalási előirányzatokat és a kapcsolódó kifizetési előirányzatokat az Európai Unió működéséről szóló szerződés (EUMSZ) 314. cikkében meghatározott költségvetési eljárás keretében évente, az MFF felső határait meghaladóan kell igénybe venni. Az (EU) 2024/.</w:t>
      </w:r>
      <w:proofErr w:type="gramStart"/>
      <w:r w:rsidRPr="0059293D">
        <w:t>..</w:t>
      </w:r>
      <w:proofErr w:type="gramEnd"/>
      <w:r w:rsidRPr="0059293D">
        <w:t xml:space="preserve"> rendelet</w:t>
      </w:r>
      <w:r w:rsidRPr="0059293D">
        <w:rPr>
          <w:rStyle w:val="FootnoteReference"/>
        </w:rPr>
        <w:footnoteReference w:customMarkFollows="1" w:id="7"/>
        <w:sym w:font="Symbol" w:char="F02B"/>
      </w:r>
      <w:r w:rsidRPr="0059293D">
        <w:t xml:space="preserve"> vonatkozó rendelkezései alapján programozandó kiadások rendezett alakulása érdekében, és különösen az Ukrajna-tervben szerepeltetendő összegek fényében helyénvaló meghatározni az Ukrajna-tartalék számára a 2024–2027-es időszakban rendelkezésre bocsátható teljes és éves maximális összegeket. A teljes körű végrehajtás és az egyes évek közötti – a teljes összeget tiszteletben tartó – rugalmasság biztosítása érdekében lehetővé kell tenni, hogy az egy adott évre vonatkozó összeg fel nem használt részét a következő években – az érintett évre vonatkozó éves maximális összegen felül – 2027-ig még felhasználják.</w:t>
      </w:r>
    </w:p>
    <w:p w:rsidR="00B5286B" w:rsidRPr="0059293D" w:rsidRDefault="00B5286B" w:rsidP="00B5286B">
      <w:pPr>
        <w:pStyle w:val="ManualConsidrant"/>
      </w:pPr>
      <w:r w:rsidRPr="0059293D">
        <w:br w:type="page"/>
      </w:r>
      <w:r w:rsidRPr="0059293D">
        <w:lastRenderedPageBreak/>
        <w:t>(10)</w:t>
      </w:r>
      <w:r w:rsidRPr="0059293D">
        <w:tab/>
        <w:t xml:space="preserve">2022 óta az Unióban és a legtöbb jelentős gazdaságban valamennyi kötvénykibocsátó, köztük az Unió számára is hirtelen megemelkedtek a kamatlábak. </w:t>
      </w:r>
      <w:proofErr w:type="gramStart"/>
      <w:r w:rsidRPr="0059293D">
        <w:t>Ennek eredményeként az (EU, Euratom) 2020/2053 tanácsi határozat</w:t>
      </w:r>
      <w:r w:rsidRPr="0059293D">
        <w:rPr>
          <w:rStyle w:val="FootnoteReference"/>
        </w:rPr>
        <w:footnoteReference w:id="8"/>
      </w:r>
      <w:r w:rsidRPr="0059293D">
        <w:t xml:space="preserve"> 5. cikkének (2) bekezdése értelmében az Európai Uniós Helyreállítási Eszköz </w:t>
      </w:r>
      <w:proofErr w:type="spellStart"/>
      <w:r w:rsidRPr="0059293D">
        <w:t>Next</w:t>
      </w:r>
      <w:proofErr w:type="spellEnd"/>
      <w:r w:rsidRPr="0059293D">
        <w:t xml:space="preserve"> </w:t>
      </w:r>
      <w:proofErr w:type="spellStart"/>
      <w:r w:rsidRPr="0059293D">
        <w:t>Generation</w:t>
      </w:r>
      <w:proofErr w:type="spellEnd"/>
      <w:r w:rsidRPr="0059293D">
        <w:t xml:space="preserve"> EU(a továbbiakban: EURI) hitelfelvételének az uniós költségvetést terhelő finanszírozási költségei várhatóan meghaladják majd az MFF 2020. decemberi elfogadásakor az MFF felső határai alatt eredetileg programozott összegeket, azaz 2025-ben a 2332 millió EUR-t (2018-as árakon), 2026-ban a 3196 millió EUR-t (2018-as árakon) és 2027-ben a 4168 millió EUR-t (2018-as árakon).</w:t>
      </w:r>
      <w:proofErr w:type="gramEnd"/>
    </w:p>
    <w:p w:rsidR="00B5286B" w:rsidRPr="0059293D" w:rsidRDefault="00B5286B" w:rsidP="00B5286B">
      <w:pPr>
        <w:pStyle w:val="ManualConsidrant"/>
      </w:pPr>
      <w:r w:rsidRPr="0059293D">
        <w:t>(11)</w:t>
      </w:r>
      <w:r w:rsidRPr="0059293D">
        <w:tab/>
      </w:r>
      <w:proofErr w:type="gramStart"/>
      <w:r w:rsidRPr="0059293D">
        <w:t>Tekintettel a változó piaci körülmények között a kamatlábak jövőbeli alakulásával kapcsolatos bizonytalanságra, valamint az EURI-</w:t>
      </w:r>
      <w:proofErr w:type="spellStart"/>
      <w:r w:rsidRPr="0059293D">
        <w:t>ból</w:t>
      </w:r>
      <w:proofErr w:type="spellEnd"/>
      <w:r w:rsidRPr="0059293D">
        <w:t xml:space="preserve"> finanszírozott, folyamatban lévő uniós programok finanszírozásához szükséges teljes hitelösszegre, az éves költségvetési eljárás zökkenőmentes lefolytatásához szükséges rendelkezések részeként, és annak biztosítása érdekében, hogy az Unió jogi kötelezettségeinek teljesítéséhez szükséges pénzügyi eszközök rendelkezésre álljanak, helyénvaló kizárólag a jelenlegi MFF időtartamára egy rendkívüli és ideiglenes eszközt létrehozni az EURI-hitelek azon finanszírozási költségeinek</w:t>
      </w:r>
      <w:proofErr w:type="gramEnd"/>
      <w:r w:rsidRPr="0059293D">
        <w:t xml:space="preserve"> </w:t>
      </w:r>
      <w:proofErr w:type="gramStart"/>
      <w:r w:rsidRPr="0059293D">
        <w:t>fedezésére</w:t>
      </w:r>
      <w:proofErr w:type="gramEnd"/>
      <w:r w:rsidRPr="0059293D">
        <w:t xml:space="preserve">, amelyek meghaladják az eredetileg programozott összegeket. Létre kell tehát hozni egy új tematikus </w:t>
      </w:r>
      <w:proofErr w:type="gramStart"/>
      <w:r w:rsidRPr="0059293D">
        <w:t>speciális</w:t>
      </w:r>
      <w:proofErr w:type="gramEnd"/>
      <w:r w:rsidRPr="0059293D">
        <w:t xml:space="preserve"> eszközt, az „EURI-eszközt”, amelynek kizárólagos célja a meglévő költségtúllépések fedezése. Ennek az eszköznek kivételesnek kell lennie, és nem szolgálhat precedensként a 2027 utáni MFF-</w:t>
      </w:r>
      <w:proofErr w:type="spellStart"/>
      <w:r w:rsidRPr="0059293D">
        <w:t>ekről</w:t>
      </w:r>
      <w:proofErr w:type="spellEnd"/>
      <w:r w:rsidRPr="0059293D">
        <w:t xml:space="preserve"> szóló jövőbeli megállapodásokhoz, különösen az EURI </w:t>
      </w:r>
      <w:proofErr w:type="gramStart"/>
      <w:r w:rsidRPr="0059293D">
        <w:t>finanszírozása</w:t>
      </w:r>
      <w:proofErr w:type="gramEnd"/>
      <w:r w:rsidRPr="0059293D">
        <w:t xml:space="preserve"> céljából felvett piaci hitelek utáni kamatfizetések költségeinek fedezése tekintetében.</w:t>
      </w:r>
    </w:p>
    <w:p w:rsidR="00B5286B" w:rsidRPr="0059293D" w:rsidRDefault="00B5286B" w:rsidP="00B5286B">
      <w:pPr>
        <w:pStyle w:val="ManualConsidrant"/>
        <w:spacing w:line="360" w:lineRule="exact"/>
        <w:ind w:left="851" w:hanging="851"/>
      </w:pPr>
      <w:r w:rsidRPr="0059293D">
        <w:br w:type="page"/>
      </w:r>
      <w:r w:rsidRPr="0059293D">
        <w:lastRenderedPageBreak/>
        <w:t>(12)</w:t>
      </w:r>
      <w:r w:rsidRPr="0059293D">
        <w:tab/>
        <w:t xml:space="preserve">Az EURI-eszközt a költségvetési hatóság az éves költségvetési eljárás során csak szükség esetén veheti igénybe. </w:t>
      </w:r>
      <w:proofErr w:type="gramStart"/>
      <w:r w:rsidRPr="0059293D">
        <w:t>A költségvetési hatóság előjogainak sérelme nélkül, az eszköz csak azt követően használható fel, hogy megvizsgálták, milyen más finanszírozási forrásokból – például a programok költségvetési végrehajtása és a prioritások átrendezése révén létrejövő mozgástérből, valamint a nem tematikus speciális eszközökből – lehetne előteremteni a 2b. alfejezeten belül az EURI-</w:t>
      </w:r>
      <w:proofErr w:type="spellStart"/>
      <w:r w:rsidRPr="0059293D">
        <w:t>ra</w:t>
      </w:r>
      <w:proofErr w:type="spellEnd"/>
      <w:r w:rsidRPr="0059293D">
        <w:t xml:space="preserve"> vonatkozó meglévő költségvetési sorban eredetileg szereplő összegeken felüli összegek jelentős részét, lehetőség szerint az EURI kamatköltség-túllépésének mintegy 50 %-</w:t>
      </w:r>
      <w:proofErr w:type="spellStart"/>
      <w:r w:rsidRPr="0059293D">
        <w:t>ával</w:t>
      </w:r>
      <w:proofErr w:type="spellEnd"/>
      <w:r w:rsidRPr="0059293D">
        <w:t xml:space="preserve"> egyenlő, referenciaértéknek tekintett összeg mozgósítását célozva</w:t>
      </w:r>
      <w:proofErr w:type="gramEnd"/>
      <w:r w:rsidRPr="0059293D">
        <w:t xml:space="preserve">. Ezt a feladatot az alkalmazandó ágazati szabályokkal és egyéb jogi kötelezettségekkel összhangban, valamint a prioritások, a </w:t>
      </w:r>
      <w:proofErr w:type="spellStart"/>
      <w:r w:rsidRPr="0059293D">
        <w:t>prudens</w:t>
      </w:r>
      <w:proofErr w:type="spellEnd"/>
      <w:r w:rsidRPr="0059293D">
        <w:t xml:space="preserve"> költségvetés-tervezés és a hatékony és eredményes pénzgazdálkodás figyelembevételével kell elvégezni, amelyek különösen az előre nem látható kiadások tekintetében megfelelő biztonsági tartalékokat igényelnek. A tagállamok azon nemzeti keretösszegeit, amelyekre vonatkozóan jogi kötelezettségvállalás történt – különösen a közös agrárpolitika és a kohéziós politika keretében –, az említettek nem fogják érinteni. Az EURI-eszköz kötelezettségvállalási előirányzatait és kapcsolódó kifizetési előirányzatait az uniós költségvetésben az MFF felső határait meghaladóan kell rendelkezésre bocsátani. Az EURI-eszköz keretében elsőként a jelenlegi MFF kezdete óta visszavont előirányzatoknak megfelelő összeget – a külső címzett bevételek kivételével – kell lehívni. A visszavont, de a meglévő vonatkozó rendelkezésekkel összhangban újból rendelkezésre bocsátott kötelezettségvállalások összegét nem kell figyelembe venni. A visszavont kötelezettségvállalásokból az EURI-eszköz céljára rendelkezésre álló összeget minden évben az MFF technikai kiigazításának részeként kell kiszámítani, egyértelműen kimutatva a rendelkezésre álló összes forrást és az EURI-eszköz korábbi igénybevételei során már figyelembe vett összegeket. Abban a váratlan helyzetben, ha továbbra is túllépés állna fenn, a költségek teljes finanszírozásához szükséges kiegészítő összeg mozgósításához az EURI-eszközt legvégső </w:t>
      </w:r>
      <w:proofErr w:type="gramStart"/>
      <w:r w:rsidRPr="0059293D">
        <w:t>esetben</w:t>
      </w:r>
      <w:proofErr w:type="gramEnd"/>
      <w:r w:rsidRPr="0059293D">
        <w:t xml:space="preserve"> mint védőhálót kell felhasználni. Amennyiben – kivételes esetben – egy vagy több tagállam úgy véli, hogy súlyos aggályok merülnek fel e védőhálónak az igénybevételével kapcsolatban, kérhetik az Európai Tanács elnökét, hogy az ügyet utalja az Európai </w:t>
      </w:r>
      <w:proofErr w:type="gramStart"/>
      <w:r w:rsidRPr="0059293D">
        <w:t>Tanács következő</w:t>
      </w:r>
      <w:proofErr w:type="gramEnd"/>
      <w:r w:rsidRPr="0059293D">
        <w:t xml:space="preserve"> ülése elé. Ez a folyamat szabály szerint nem tarthat egy hónapnál tovább és annak teljes </w:t>
      </w:r>
      <w:proofErr w:type="gramStart"/>
      <w:r w:rsidRPr="0059293D">
        <w:t>mértékben tiszteletben</w:t>
      </w:r>
      <w:proofErr w:type="gramEnd"/>
      <w:r w:rsidRPr="0059293D">
        <w:t xml:space="preserve"> kell tartania az intézményeknek a Szerződésekben meghatározott előjogait.</w:t>
      </w:r>
    </w:p>
    <w:p w:rsidR="00B5286B" w:rsidRPr="0059293D" w:rsidRDefault="00B5286B" w:rsidP="00B5286B">
      <w:pPr>
        <w:pStyle w:val="ManualConsidrant"/>
      </w:pPr>
      <w:r w:rsidRPr="0059293D">
        <w:br w:type="page"/>
      </w:r>
      <w:r w:rsidRPr="0059293D">
        <w:lastRenderedPageBreak/>
        <w:t>(13)</w:t>
      </w:r>
      <w:r w:rsidRPr="0059293D">
        <w:tab/>
      </w:r>
      <w:proofErr w:type="gramStart"/>
      <w:r w:rsidRPr="0059293D">
        <w:t>A tagállamokban és az Unióval csatlakozási tárgyalásokat folytató országokban bekövetkezett természeti katasztrófák, valamint a harmadik országbeli természeti katasztrófák és humanitárius válságok fényében, annak érdekében hogy mindkét területre elegendő forrást lehessen biztosítani, a jelenlegi szolidaritási és sürgősségisegély-tartalékot meg kell erősíteni és két külön eszközre kell bontani: az „európai szolidaritási tartalék” az Európai Uniónak a 2012/2002/EK tanácsi rendelettel</w:t>
      </w:r>
      <w:r w:rsidRPr="0059293D">
        <w:rPr>
          <w:rStyle w:val="FootnoteReference"/>
        </w:rPr>
        <w:footnoteReference w:id="9"/>
      </w:r>
      <w:r w:rsidRPr="0059293D">
        <w:t xml:space="preserve"> létrehozott Szolidaritási Alapja keretében nyújtana támogatást az érintett országoknak és régióknak, a „sürgősségisegély-tartalékból”</w:t>
      </w:r>
      <w:proofErr w:type="gramEnd"/>
      <w:r w:rsidRPr="0059293D">
        <w:t xml:space="preserve"> pedig a vonatkozó uniós programok költségvetését lehetne megerősíteni az Unión belüli és kívüli válságokra és szükséghelyzetekre való </w:t>
      </w:r>
      <w:proofErr w:type="gramStart"/>
      <w:r w:rsidRPr="0059293D">
        <w:t>reagálás</w:t>
      </w:r>
      <w:proofErr w:type="gramEnd"/>
      <w:r w:rsidRPr="0059293D">
        <w:t xml:space="preserve"> érdekében.</w:t>
      </w:r>
    </w:p>
    <w:p w:rsidR="00B5286B" w:rsidRPr="0059293D" w:rsidRDefault="00B5286B" w:rsidP="00B5286B">
      <w:pPr>
        <w:pStyle w:val="ManualConsidrant"/>
      </w:pPr>
      <w:r w:rsidRPr="0059293D">
        <w:t>(14)</w:t>
      </w:r>
      <w:r w:rsidRPr="0059293D">
        <w:tab/>
        <w:t xml:space="preserve">A Rugalmassági Eszközt meg kell erősíteni annak érdekében, hogy az Unió 2027-ig elegendő </w:t>
      </w:r>
      <w:proofErr w:type="gramStart"/>
      <w:r w:rsidRPr="0059293D">
        <w:t>kapacitással</w:t>
      </w:r>
      <w:proofErr w:type="gramEnd"/>
      <w:r w:rsidRPr="0059293D">
        <w:t xml:space="preserve"> rendelkezzen az előre nem látható körülményekre való reagáláshoz. Az európai szolidaritási tartalékból és a sürgősségisegély-tartalékból származó, megszűnt összegeket 2024-től a Rugalmassági Eszköz rendelkezésére kell bocsátani.</w:t>
      </w:r>
    </w:p>
    <w:p w:rsidR="00B5286B" w:rsidRPr="0059293D" w:rsidRDefault="00B5286B" w:rsidP="00B5286B">
      <w:pPr>
        <w:pStyle w:val="ManualConsidrant"/>
      </w:pPr>
      <w:r w:rsidRPr="0059293D">
        <w:t>(15)</w:t>
      </w:r>
      <w:r w:rsidRPr="0059293D">
        <w:tab/>
        <w:t>E váratlan eseményekre és új kihívásokra tekintettel felül kell vizsgálni az MFF-et, következésképpen az (EU, Euratom) 2020/2093 rendeletet ennek megfelelően módosítani kell.</w:t>
      </w:r>
    </w:p>
    <w:p w:rsidR="00B5286B" w:rsidRPr="0059293D" w:rsidRDefault="00B5286B" w:rsidP="00B5286B">
      <w:pPr>
        <w:pStyle w:val="ManualConsidrant"/>
      </w:pPr>
      <w:r w:rsidRPr="0059293D">
        <w:br w:type="page"/>
      </w:r>
      <w:r w:rsidRPr="0059293D">
        <w:lastRenderedPageBreak/>
        <w:t>(16)</w:t>
      </w:r>
      <w:r w:rsidRPr="0059293D">
        <w:tab/>
        <w:t>Az (EU, Euratom) 2020/2093 rendelet módosításai nem érintik a saját forrásokra vonatkozóan az (EU, Euratom) 2020/2053 határozat 3. cikkének (1) bekezdésében és 6. cikkében meghatározott felső határok tiszteletben tartására vonatkozó kötelezettséget.</w:t>
      </w:r>
    </w:p>
    <w:p w:rsidR="00B5286B" w:rsidRPr="0059293D" w:rsidRDefault="00B5286B" w:rsidP="00B5286B">
      <w:pPr>
        <w:pStyle w:val="ManualConsidrant"/>
      </w:pPr>
      <w:r w:rsidRPr="0059293D">
        <w:t>(17)</w:t>
      </w:r>
      <w:r w:rsidRPr="0059293D">
        <w:tab/>
        <w:t xml:space="preserve">Az ukrajnai helyzetre tekintettel e rendeletnek sürgősen, az </w:t>
      </w:r>
      <w:r w:rsidRPr="0059293D">
        <w:rPr>
          <w:i/>
        </w:rPr>
        <w:t>Európai Unió Hivatalos Lapjában</w:t>
      </w:r>
      <w:r w:rsidRPr="0059293D">
        <w:t xml:space="preserve"> való kihirdetésének napján hatályba kell lépnie, és azt visszamenőleges hatállyal 2024. január 1-jétől kell alkalmazni,</w:t>
      </w:r>
    </w:p>
    <w:p w:rsidR="00B5286B" w:rsidRPr="0059293D" w:rsidRDefault="00B5286B" w:rsidP="00B5286B">
      <w:pPr>
        <w:pStyle w:val="Formuledadoption"/>
      </w:pPr>
      <w:r w:rsidRPr="0059293D">
        <w:t xml:space="preserve">ELFOGADTA EZT </w:t>
      </w:r>
      <w:proofErr w:type="gramStart"/>
      <w:r w:rsidRPr="0059293D">
        <w:t>A</w:t>
      </w:r>
      <w:proofErr w:type="gramEnd"/>
      <w:r w:rsidRPr="0059293D">
        <w:t xml:space="preserve"> RENDELETET:</w:t>
      </w:r>
    </w:p>
    <w:p w:rsidR="00B5286B" w:rsidRPr="0059293D" w:rsidRDefault="00B5286B" w:rsidP="00B5286B">
      <w:pPr>
        <w:pStyle w:val="Titrearticle"/>
      </w:pPr>
      <w:r w:rsidRPr="0059293D">
        <w:br w:type="page"/>
      </w:r>
      <w:r w:rsidRPr="0059293D">
        <w:lastRenderedPageBreak/>
        <w:t>1. cikk</w:t>
      </w:r>
    </w:p>
    <w:p w:rsidR="00B5286B" w:rsidRPr="0059293D" w:rsidRDefault="00B5286B" w:rsidP="00B5286B">
      <w:r w:rsidRPr="0059293D">
        <w:t>Az (EU, Euratom) 2020/2093 rendelet a következőképpen módosul:</w:t>
      </w:r>
    </w:p>
    <w:p w:rsidR="00B5286B" w:rsidRPr="0059293D" w:rsidRDefault="00B5286B" w:rsidP="00B5286B">
      <w:pPr>
        <w:pStyle w:val="Point0"/>
      </w:pPr>
      <w:r w:rsidRPr="0059293D">
        <w:t>1.</w:t>
      </w:r>
      <w:r w:rsidRPr="0059293D">
        <w:tab/>
        <w:t>A 2. cikk a következőképpen módosul:</w:t>
      </w:r>
    </w:p>
    <w:p w:rsidR="00B5286B" w:rsidRPr="0059293D" w:rsidRDefault="00B5286B" w:rsidP="00B5286B">
      <w:pPr>
        <w:pStyle w:val="Point1"/>
      </w:pPr>
      <w:proofErr w:type="gramStart"/>
      <w:r w:rsidRPr="0059293D">
        <w:t>a</w:t>
      </w:r>
      <w:proofErr w:type="gramEnd"/>
      <w:r w:rsidRPr="0059293D">
        <w:t>)</w:t>
      </w:r>
      <w:r w:rsidRPr="0059293D">
        <w:tab/>
        <w:t xml:space="preserve">a (2) bekezdés első </w:t>
      </w:r>
      <w:proofErr w:type="spellStart"/>
      <w:r w:rsidRPr="0059293D">
        <w:t>albekezdése</w:t>
      </w:r>
      <w:proofErr w:type="spellEnd"/>
      <w:r w:rsidRPr="0059293D">
        <w:t xml:space="preserve"> helyébe a következő szöveg lép:</w:t>
      </w:r>
    </w:p>
    <w:p w:rsidR="00B5286B" w:rsidRPr="0059293D" w:rsidRDefault="00B5286B" w:rsidP="00B5286B">
      <w:pPr>
        <w:pStyle w:val="Point2"/>
      </w:pPr>
      <w:r w:rsidRPr="0059293D">
        <w:t>„(2)</w:t>
      </w:r>
      <w:r w:rsidRPr="0059293D">
        <w:tab/>
        <w:t xml:space="preserve">Amennyiben szükségessé válik a 8., a 9., a 10., a 10a., a 10b. és a 12. cikkben meghatározott </w:t>
      </w:r>
      <w:proofErr w:type="gramStart"/>
      <w:r w:rsidRPr="0059293D">
        <w:t>speciális</w:t>
      </w:r>
      <w:proofErr w:type="gramEnd"/>
      <w:r w:rsidRPr="0059293D">
        <w:t xml:space="preserve"> eszközök forrásainak igénybevétele, a kötelezettségvállalási előirányzatokat és a megfelelő kifizetési előirányzatokat az MFF vonatkozó felső határait meghaladóan kell beállítani a költségvetésbe.”;</w:t>
      </w:r>
    </w:p>
    <w:p w:rsidR="00B5286B" w:rsidRPr="0059293D" w:rsidRDefault="00B5286B" w:rsidP="00B5286B">
      <w:pPr>
        <w:pStyle w:val="Point1"/>
      </w:pPr>
      <w:r w:rsidRPr="0059293D">
        <w:t>b)</w:t>
      </w:r>
      <w:r w:rsidRPr="0059293D">
        <w:tab/>
        <w:t xml:space="preserve">a (3) bekezdés a következő </w:t>
      </w:r>
      <w:proofErr w:type="spellStart"/>
      <w:r w:rsidRPr="0059293D">
        <w:t>albekezdéssel</w:t>
      </w:r>
      <w:proofErr w:type="spellEnd"/>
      <w:r w:rsidRPr="0059293D">
        <w:t xml:space="preserve"> egészül ki:</w:t>
      </w:r>
    </w:p>
    <w:p w:rsidR="00B5286B" w:rsidRPr="0059293D" w:rsidRDefault="00B5286B" w:rsidP="00B5286B">
      <w:pPr>
        <w:pStyle w:val="Text2"/>
      </w:pPr>
      <w:r w:rsidRPr="0059293D">
        <w:t>„Amennyiben igénybe kell venni az (EU) 2024/</w:t>
      </w:r>
      <w:proofErr w:type="gramStart"/>
      <w:r w:rsidRPr="0059293D">
        <w:t>...</w:t>
      </w:r>
      <w:proofErr w:type="gramEnd"/>
      <w:r w:rsidRPr="0059293D">
        <w:t xml:space="preserve"> európai parlamenti és tanácsi rendeletben</w:t>
      </w:r>
      <w:r w:rsidRPr="0059293D">
        <w:rPr>
          <w:vertAlign w:val="superscript"/>
        </w:rPr>
        <w:t>*</w:t>
      </w:r>
      <w:r w:rsidRPr="0059293D">
        <w:rPr>
          <w:rStyle w:val="FootnoteReference"/>
        </w:rPr>
        <w:footnoteReference w:customMarkFollows="1" w:id="10"/>
        <w:sym w:font="Symbol" w:char="F02B"/>
      </w:r>
      <w:r w:rsidRPr="0059293D">
        <w:t xml:space="preserve"> meghatározottak szerint folyó árakon legfeljebb összesen 33 000 millió EUR összegű hitelek formájában nyújtott, 2024-től 2027-ig rendelkezésre álló és a költségvetési rendelet 220. cikkének (1) bekezdésével összhangban engedélyezett, Ukrajnának való pénzügyi támogatásnyújtáshoz kapcsolódó biztosítékokat, a szükséges összeget az MFF-</w:t>
      </w:r>
      <w:proofErr w:type="spellStart"/>
      <w:r w:rsidRPr="0059293D">
        <w:t>ben</w:t>
      </w:r>
      <w:proofErr w:type="spellEnd"/>
      <w:r w:rsidRPr="0059293D">
        <w:t xml:space="preserve"> rögzített felső határokat meghaladóan kell biztosítani.</w:t>
      </w:r>
    </w:p>
    <w:p w:rsidR="00B5286B" w:rsidRPr="0059293D" w:rsidRDefault="00B5286B" w:rsidP="00B5286B">
      <w:pPr>
        <w:pStyle w:val="Text2"/>
      </w:pPr>
      <w:r w:rsidRPr="0059293D">
        <w:t>_______________</w:t>
      </w:r>
    </w:p>
    <w:p w:rsidR="00B5286B" w:rsidRPr="0059293D" w:rsidRDefault="00B5286B" w:rsidP="00B5286B">
      <w:pPr>
        <w:pStyle w:val="Point2"/>
        <w:spacing w:line="240" w:lineRule="auto"/>
        <w:ind w:left="1985"/>
      </w:pPr>
      <w:r w:rsidRPr="0059293D">
        <w:rPr>
          <w:vertAlign w:val="superscript"/>
        </w:rPr>
        <w:t>*</w:t>
      </w:r>
      <w:r w:rsidRPr="0059293D">
        <w:tab/>
        <w:t>Az Európai Parlament és a Tanács (EU) 2024/.</w:t>
      </w:r>
      <w:proofErr w:type="gramStart"/>
      <w:r w:rsidRPr="0059293D">
        <w:t>..</w:t>
      </w:r>
      <w:proofErr w:type="gramEnd"/>
      <w:r w:rsidRPr="0059293D">
        <w:t xml:space="preserve"> rendelete (...) az Ukrajna-eszköz létrehozásáról (HL L …, ELI ...).”</w:t>
      </w:r>
    </w:p>
    <w:p w:rsidR="00B5286B" w:rsidRPr="0059293D" w:rsidRDefault="00B5286B" w:rsidP="00B5286B">
      <w:pPr>
        <w:pStyle w:val="Point0"/>
      </w:pPr>
      <w:r w:rsidRPr="0059293D">
        <w:br w:type="page"/>
      </w:r>
      <w:r w:rsidRPr="0059293D">
        <w:lastRenderedPageBreak/>
        <w:t>2.</w:t>
      </w:r>
      <w:r w:rsidRPr="0059293D">
        <w:tab/>
        <w:t>A 4. cikk (1) bekezdése a következő pontokkal egészül ki:</w:t>
      </w:r>
    </w:p>
    <w:p w:rsidR="00B5286B" w:rsidRPr="0059293D" w:rsidRDefault="00B5286B" w:rsidP="00B5286B">
      <w:pPr>
        <w:pStyle w:val="Point1"/>
      </w:pPr>
      <w:r w:rsidRPr="0059293D">
        <w:t>„f)</w:t>
      </w:r>
      <w:r w:rsidRPr="0059293D">
        <w:tab/>
        <w:t>kiszámítja a 10a. cikk (3) bekezdésének a) pontjával összhangban az EURI-eszköz számára rendelkezésre álló összeget;</w:t>
      </w:r>
    </w:p>
    <w:p w:rsidR="00B5286B" w:rsidRPr="0059293D" w:rsidRDefault="00B5286B" w:rsidP="00B5286B">
      <w:pPr>
        <w:pStyle w:val="Point1"/>
        <w:rPr>
          <w:bCs/>
        </w:rPr>
      </w:pPr>
      <w:proofErr w:type="gramStart"/>
      <w:r w:rsidRPr="0059293D">
        <w:t>g</w:t>
      </w:r>
      <w:proofErr w:type="gramEnd"/>
      <w:r w:rsidRPr="0059293D">
        <w:t>)</w:t>
      </w:r>
      <w:r w:rsidRPr="0059293D">
        <w:tab/>
        <w:t xml:space="preserve">kiszámítja a 12. cikk (1) bekezdésének második </w:t>
      </w:r>
      <w:proofErr w:type="spellStart"/>
      <w:r w:rsidRPr="0059293D">
        <w:t>albekezdése</w:t>
      </w:r>
      <w:proofErr w:type="spellEnd"/>
      <w:r w:rsidRPr="0059293D">
        <w:t xml:space="preserve"> értelmében a Rugalmassági Eszköz rendelkezésére bocsátandó összegeket.”</w:t>
      </w:r>
    </w:p>
    <w:p w:rsidR="00B5286B" w:rsidRPr="0059293D" w:rsidRDefault="00B5286B" w:rsidP="00B5286B">
      <w:pPr>
        <w:pStyle w:val="Point0"/>
      </w:pPr>
      <w:r w:rsidRPr="0059293D">
        <w:t>3.</w:t>
      </w:r>
      <w:r w:rsidRPr="0059293D">
        <w:tab/>
        <w:t xml:space="preserve">Az 5. cikkben, az (1) bekezdés második </w:t>
      </w:r>
      <w:proofErr w:type="spellStart"/>
      <w:r w:rsidRPr="0059293D">
        <w:t>albekezdése</w:t>
      </w:r>
      <w:proofErr w:type="spellEnd"/>
      <w:r w:rsidRPr="0059293D">
        <w:t xml:space="preserve"> helyébe a következő szöveg lép:</w:t>
      </w:r>
    </w:p>
    <w:p w:rsidR="00B5286B" w:rsidRPr="0059293D" w:rsidRDefault="004437B1" w:rsidP="00B5286B">
      <w:pPr>
        <w:pStyle w:val="Text1"/>
      </w:pPr>
      <w:r w:rsidRPr="0059293D">
        <w:t>„</w:t>
      </w:r>
      <w:r w:rsidR="00B5286B" w:rsidRPr="0059293D">
        <w:t xml:space="preserve">A 2022–2027-es időszakra szóló kiegészítő </w:t>
      </w:r>
      <w:proofErr w:type="gramStart"/>
      <w:r w:rsidR="00B5286B" w:rsidRPr="0059293D">
        <w:t>allokációk</w:t>
      </w:r>
      <w:proofErr w:type="gramEnd"/>
      <w:r w:rsidR="00B5286B" w:rsidRPr="0059293D">
        <w:t xml:space="preserve"> teljes összege a kötelezettségvállalási és a kifizetési előirányzatok tekintetében egyaránt 10 155 millió EUR (2018-as árakon). A 2022 és 2026 közötti évek mindegyikére vonatkozóan a kiegészítő </w:t>
      </w:r>
      <w:proofErr w:type="gramStart"/>
      <w:r w:rsidR="00B5286B" w:rsidRPr="0059293D">
        <w:t>allokációk</w:t>
      </w:r>
      <w:proofErr w:type="gramEnd"/>
      <w:r w:rsidR="00B5286B" w:rsidRPr="0059293D">
        <w:t xml:space="preserve"> éves összege a kötelezettségvállalási és a kifizetési előirányzatok tekintetében egyaránt legalább 1</w:t>
      </w:r>
      <w:r w:rsidRPr="0059293D">
        <w:t> </w:t>
      </w:r>
      <w:r w:rsidR="00B5286B" w:rsidRPr="0059293D">
        <w:t>500 millió EUR (2018-as árakon) és legfeljebb 2</w:t>
      </w:r>
      <w:r w:rsidRPr="0059293D">
        <w:t> </w:t>
      </w:r>
      <w:r w:rsidR="00B5286B" w:rsidRPr="0059293D">
        <w:t>000 millió EUR (2018-as árakon).</w:t>
      </w:r>
      <w:r w:rsidRPr="0059293D">
        <w:t>”</w:t>
      </w:r>
    </w:p>
    <w:p w:rsidR="00B5286B" w:rsidRPr="0059293D" w:rsidRDefault="00B5286B" w:rsidP="00B5286B">
      <w:pPr>
        <w:pStyle w:val="Point0"/>
      </w:pPr>
      <w:r w:rsidRPr="0059293D">
        <w:br w:type="page"/>
      </w:r>
      <w:r w:rsidRPr="0059293D">
        <w:lastRenderedPageBreak/>
        <w:t>4.</w:t>
      </w:r>
      <w:r w:rsidRPr="0059293D">
        <w:tab/>
        <w:t>A 8. és a 9. cikk helyébe a következő szöveg lép</w:t>
      </w:r>
      <w:proofErr w:type="gramStart"/>
      <w:r w:rsidRPr="0059293D">
        <w:t>:;</w:t>
      </w:r>
      <w:proofErr w:type="gramEnd"/>
    </w:p>
    <w:p w:rsidR="00B5286B" w:rsidRPr="0059293D" w:rsidRDefault="00B5286B" w:rsidP="00B5286B">
      <w:pPr>
        <w:pStyle w:val="Text1"/>
        <w:rPr>
          <w:i/>
          <w:iCs/>
        </w:rPr>
      </w:pPr>
      <w:r w:rsidRPr="0059293D">
        <w:rPr>
          <w:i/>
        </w:rPr>
        <w:t>„8. cikk</w:t>
      </w:r>
      <w:r w:rsidRPr="0059293D">
        <w:rPr>
          <w:i/>
        </w:rPr>
        <w:br/>
        <w:t>Európai Globalizációs Alkalmazkodási Alap</w:t>
      </w:r>
    </w:p>
    <w:p w:rsidR="00B5286B" w:rsidRPr="0059293D" w:rsidRDefault="00B5286B" w:rsidP="00B5286B">
      <w:pPr>
        <w:pStyle w:val="Point1"/>
      </w:pPr>
      <w:r w:rsidRPr="0059293D">
        <w:t>(1)</w:t>
      </w:r>
      <w:r w:rsidRPr="0059293D">
        <w:tab/>
        <w:t>Az Európai Globalizációs Alkalmazkodási Alap – amelynek célkitűzéseit és hatályát az (EU) 2021/691 európai parlamenti és tanácsi rendelet</w:t>
      </w:r>
      <w:r w:rsidRPr="0059293D">
        <w:rPr>
          <w:vertAlign w:val="superscript"/>
        </w:rPr>
        <w:t>*</w:t>
      </w:r>
      <w:r w:rsidRPr="0059293D">
        <w:t xml:space="preserve"> állapítja meg – éves maximális összege (2018-as árakon számítva) nem haladhatja meg a </w:t>
      </w:r>
      <w:r w:rsidRPr="0059293D">
        <w:rPr>
          <w:bCs/>
        </w:rPr>
        <w:t>30</w:t>
      </w:r>
      <w:r w:rsidRPr="0059293D">
        <w:t> millió EUR- t.</w:t>
      </w:r>
    </w:p>
    <w:p w:rsidR="00B5286B" w:rsidRPr="0059293D" w:rsidRDefault="00B5286B" w:rsidP="00B5286B">
      <w:pPr>
        <w:pStyle w:val="Point1"/>
      </w:pPr>
      <w:r w:rsidRPr="0059293D">
        <w:t>(2)</w:t>
      </w:r>
      <w:r w:rsidRPr="0059293D">
        <w:tab/>
        <w:t>Az Európai Globalizációs Alkalmazkodási Alapra vonatkozó előirányzatokat céltartalékként kell beállítani az Unió általános költségvetésébe.</w:t>
      </w:r>
    </w:p>
    <w:p w:rsidR="00B5286B" w:rsidRPr="0059293D" w:rsidRDefault="00B5286B" w:rsidP="00B5286B">
      <w:pPr>
        <w:pStyle w:val="Text1"/>
        <w:rPr>
          <w:i/>
          <w:iCs/>
        </w:rPr>
      </w:pPr>
      <w:r w:rsidRPr="0059293D">
        <w:rPr>
          <w:i/>
        </w:rPr>
        <w:t>9. cikk</w:t>
      </w:r>
      <w:r w:rsidRPr="0059293D">
        <w:rPr>
          <w:i/>
        </w:rPr>
        <w:br/>
        <w:t>Szolidaritási és sürgősségisegély-tartalék</w:t>
      </w:r>
    </w:p>
    <w:p w:rsidR="00B5286B" w:rsidRPr="0059293D" w:rsidRDefault="00B5286B" w:rsidP="00B5286B">
      <w:pPr>
        <w:pStyle w:val="Point1"/>
      </w:pPr>
      <w:r w:rsidRPr="0059293D">
        <w:t>(1)</w:t>
      </w:r>
      <w:r w:rsidRPr="0059293D">
        <w:tab/>
        <w:t xml:space="preserve">A szolidaritási és sürgősségisegély-tartalék két eszközből áll, amelyek a következők </w:t>
      </w:r>
      <w:proofErr w:type="gramStart"/>
      <w:r w:rsidRPr="0059293D">
        <w:t>finanszírozására</w:t>
      </w:r>
      <w:proofErr w:type="gramEnd"/>
      <w:r w:rsidRPr="0059293D">
        <w:t xml:space="preserve"> használhatók fel:</w:t>
      </w:r>
    </w:p>
    <w:p w:rsidR="00B5286B" w:rsidRPr="0059293D" w:rsidRDefault="00B5286B" w:rsidP="00B5286B">
      <w:pPr>
        <w:pStyle w:val="Point2"/>
      </w:pPr>
      <w:r w:rsidRPr="0059293D">
        <w:t>a)</w:t>
      </w:r>
      <w:r w:rsidRPr="0059293D">
        <w:tab/>
        <w:t xml:space="preserve">támogatás súlyos katasztrófákból eredő szükséghelyzetekre való </w:t>
      </w:r>
      <w:proofErr w:type="gramStart"/>
      <w:r w:rsidRPr="0059293D">
        <w:t>reagálás</w:t>
      </w:r>
      <w:proofErr w:type="gramEnd"/>
      <w:r w:rsidRPr="0059293D">
        <w:t xml:space="preserve"> céljára az Európai Unió Szolidaritási Alapjának hatályán belüli esetekben, mely alap célkitűzéseit és hatályát a 2012/2002/EK tanácsi rendelet</w:t>
      </w:r>
      <w:r w:rsidRPr="0059293D">
        <w:rPr>
          <w:vertAlign w:val="superscript"/>
        </w:rPr>
        <w:t>*</w:t>
      </w:r>
      <w:r w:rsidRPr="0059293D">
        <w:rPr>
          <w:b/>
          <w:bCs/>
          <w:vertAlign w:val="superscript"/>
        </w:rPr>
        <w:t>*</w:t>
      </w:r>
      <w:r w:rsidRPr="0059293D">
        <w:t xml:space="preserve"> határozza meg (a továbbiakban: az európai szolidaritási tartalék); valamint</w:t>
      </w:r>
    </w:p>
    <w:p w:rsidR="00B5286B" w:rsidRPr="0059293D" w:rsidRDefault="00B5286B" w:rsidP="00B5286B">
      <w:pPr>
        <w:pStyle w:val="Point2"/>
      </w:pPr>
      <w:r w:rsidRPr="0059293D">
        <w:br w:type="page"/>
      </w:r>
      <w:proofErr w:type="gramStart"/>
      <w:r w:rsidRPr="0059293D">
        <w:lastRenderedPageBreak/>
        <w:t>b)</w:t>
      </w:r>
      <w:r w:rsidRPr="0059293D">
        <w:tab/>
        <w:t xml:space="preserve">gyors reagálás az Unión belül vagy harmadik országokban olyan események nyomán felmerülő konkrét sürgősségi igényekre, amelyek a költségvetés megállapításakor nem voltak </w:t>
      </w:r>
      <w:proofErr w:type="spellStart"/>
      <w:r w:rsidRPr="0059293D">
        <w:t>előreláthatóak</w:t>
      </w:r>
      <w:proofErr w:type="spellEnd"/>
      <w:r w:rsidRPr="0059293D">
        <w:t>, mindenekelőtt szükséghelyzeti reagálási és támogatási műveletek az a) pont hatályán kívüli természeti katasztrófákat, ember által okozott katasztrófákat, humanitárius válsághelyzeteket, komoly nép-, állat- és növényegészségügyi veszélyeket követően, valamint a migrációs áramlásokból adódó, az Unió külső határain keletkező jelentős nyomásnak való kitettség helyzeteiben – amennyiben a körülmények ezt megkívánják</w:t>
      </w:r>
      <w:proofErr w:type="gramEnd"/>
      <w:r w:rsidRPr="0059293D">
        <w:t xml:space="preserve"> (a továbbiakban: a sürgősségisegély-tartalék).</w:t>
      </w:r>
    </w:p>
    <w:p w:rsidR="00B5286B" w:rsidRPr="0059293D" w:rsidRDefault="00B5286B" w:rsidP="00B5286B">
      <w:pPr>
        <w:pStyle w:val="Point1"/>
      </w:pPr>
      <w:r w:rsidRPr="0059293D">
        <w:t>(2)</w:t>
      </w:r>
      <w:r w:rsidRPr="0059293D">
        <w:tab/>
        <w:t>Az európai szolidaritási tartalék éves maximális összege nem haladhatja meg a (2018-as árakon számított) 1</w:t>
      </w:r>
      <w:r w:rsidR="004437B1" w:rsidRPr="0059293D">
        <w:t> </w:t>
      </w:r>
      <w:r w:rsidRPr="0059293D">
        <w:t xml:space="preserve">016 millió EUR-t. Az éves összegnek az n. </w:t>
      </w:r>
      <w:proofErr w:type="gramStart"/>
      <w:r w:rsidRPr="0059293D">
        <w:t>évben</w:t>
      </w:r>
      <w:proofErr w:type="gramEnd"/>
      <w:r w:rsidRPr="0059293D">
        <w:t xml:space="preserve"> fel nem használt bármely része legkésőbb az n+1. évben használható fel. Az éves összegnek először az előző évből megmaradt részét kell lehívni. Az n. </w:t>
      </w:r>
      <w:proofErr w:type="gramStart"/>
      <w:r w:rsidRPr="0059293D">
        <w:t>évi</w:t>
      </w:r>
      <w:proofErr w:type="gramEnd"/>
      <w:r w:rsidRPr="0059293D">
        <w:t xml:space="preserve"> éves összeg bármely azon része, amelyet az n+1. évben nem használtak fel, megszűnik.</w:t>
      </w:r>
    </w:p>
    <w:p w:rsidR="00B5286B" w:rsidRPr="0059293D" w:rsidRDefault="00B5286B" w:rsidP="00B5286B">
      <w:pPr>
        <w:pStyle w:val="Text2"/>
      </w:pPr>
      <w:r w:rsidRPr="0059293D">
        <w:t>Minden év október 1-jén az európai szolidaritási tartalék éves összege legalább egynegyedének rendelkezésre kell még állnia az adott év végéig felmerülő igények fedezésére.</w:t>
      </w:r>
    </w:p>
    <w:p w:rsidR="00B5286B" w:rsidRPr="0059293D" w:rsidRDefault="00B5286B" w:rsidP="00B5286B">
      <w:pPr>
        <w:pStyle w:val="Text2"/>
      </w:pPr>
      <w:r w:rsidRPr="0059293D">
        <w:br w:type="page"/>
      </w:r>
      <w:r w:rsidRPr="0059293D">
        <w:lastRenderedPageBreak/>
        <w:t xml:space="preserve">Kivételes esetekben, ha a fennmaradó, rendelkezésre álló pénzügyi erőforrások nem elegendők a szükséges összegeknek az (1) bekezdés a) pontjában említett katasztrófa bekövetkezésének az évében való fedezéséhez, a Bizottság javaslatot tehet a különbözetnek az e bekezdés első </w:t>
      </w:r>
      <w:proofErr w:type="spellStart"/>
      <w:r w:rsidRPr="0059293D">
        <w:t>albekezdésében</w:t>
      </w:r>
      <w:proofErr w:type="spellEnd"/>
      <w:r w:rsidRPr="0059293D">
        <w:t xml:space="preserve"> említett, a következő évre rendelkezésre álló éves összegből való </w:t>
      </w:r>
      <w:proofErr w:type="gramStart"/>
      <w:r w:rsidRPr="0059293D">
        <w:t>finanszírozására</w:t>
      </w:r>
      <w:proofErr w:type="gramEnd"/>
      <w:r w:rsidRPr="0059293D">
        <w:t xml:space="preserve"> legfeljebb (2018-as árakon számított) 400 millió EUR összegig.</w:t>
      </w:r>
    </w:p>
    <w:p w:rsidR="00B5286B" w:rsidRPr="0059293D" w:rsidRDefault="00B5286B" w:rsidP="00B5286B">
      <w:pPr>
        <w:pStyle w:val="Point1"/>
      </w:pPr>
      <w:r w:rsidRPr="0059293D">
        <w:t>(3)</w:t>
      </w:r>
      <w:r w:rsidRPr="0059293D">
        <w:tab/>
        <w:t xml:space="preserve">A sürgősségisegély-tartalék éves maximális összege nem haladhatja meg a (2018-as árakon számított) 508 millió EUR-t. Az éves összegnek az n. </w:t>
      </w:r>
      <w:proofErr w:type="gramStart"/>
      <w:r w:rsidRPr="0059293D">
        <w:t>évben</w:t>
      </w:r>
      <w:proofErr w:type="gramEnd"/>
      <w:r w:rsidRPr="0059293D">
        <w:t xml:space="preserve"> fel nem használt bármely része legkésőbb az n+1. évben használható fel. Az éves összegnek először az előző évből megmaradt részét kell lehívni. Az n. </w:t>
      </w:r>
      <w:proofErr w:type="gramStart"/>
      <w:r w:rsidRPr="0059293D">
        <w:t>évi</w:t>
      </w:r>
      <w:proofErr w:type="gramEnd"/>
      <w:r w:rsidRPr="0059293D">
        <w:t xml:space="preserve"> éves összeg bármely azon része, amelyet az n+1. évben nem használtak fel, megszűnik.</w:t>
      </w:r>
    </w:p>
    <w:p w:rsidR="00B5286B" w:rsidRPr="0059293D" w:rsidRDefault="00B5286B" w:rsidP="00B5286B">
      <w:pPr>
        <w:pStyle w:val="Point1"/>
      </w:pPr>
      <w:r w:rsidRPr="0059293D">
        <w:t>(4)</w:t>
      </w:r>
      <w:r w:rsidRPr="0059293D">
        <w:tab/>
        <w:t>Az európai szolidaritási tartalékra és a sürgősségisegély-tartalékra vonatkozó előirányzatokat céltartalékként kell beállítani az Unió általános költségvetésébe.</w:t>
      </w:r>
    </w:p>
    <w:p w:rsidR="00B5286B" w:rsidRPr="0059293D" w:rsidRDefault="00B5286B" w:rsidP="00B5286B">
      <w:pPr>
        <w:pStyle w:val="Text1"/>
      </w:pPr>
      <w:r w:rsidRPr="0059293D">
        <w:t>________________</w:t>
      </w:r>
    </w:p>
    <w:p w:rsidR="00B5286B" w:rsidRPr="0059293D" w:rsidRDefault="00B5286B" w:rsidP="00B5286B">
      <w:pPr>
        <w:pStyle w:val="Point1"/>
        <w:spacing w:line="240" w:lineRule="auto"/>
        <w:ind w:left="1418"/>
      </w:pPr>
      <w:r w:rsidRPr="0059293D">
        <w:rPr>
          <w:vertAlign w:val="superscript"/>
        </w:rPr>
        <w:t>*</w:t>
      </w:r>
      <w:r w:rsidRPr="0059293D">
        <w:tab/>
        <w:t>Az Európai Parlament és a Tanács (EU) 2021/691 rendelete (2021. április 28.) az elbocsátott munkavállalók támogatását szolgáló Európai Globalizációs Alkalmazkodási Alapról (EGAA) és az 1309/2013/EU rendelet hatályon kívül helyezéséről (HL L 153., 2021.5.3</w:t>
      </w:r>
      <w:proofErr w:type="gramStart"/>
      <w:r w:rsidRPr="0059293D">
        <w:t>.,</w:t>
      </w:r>
      <w:proofErr w:type="gramEnd"/>
      <w:r w:rsidRPr="0059293D">
        <w:t xml:space="preserve"> 48. o.).”</w:t>
      </w:r>
    </w:p>
    <w:p w:rsidR="00B5286B" w:rsidRPr="0059293D" w:rsidRDefault="00B5286B" w:rsidP="00B5286B">
      <w:pPr>
        <w:pStyle w:val="Point1"/>
        <w:spacing w:line="240" w:lineRule="auto"/>
        <w:ind w:left="1418"/>
      </w:pPr>
      <w:r w:rsidRPr="0059293D">
        <w:rPr>
          <w:vertAlign w:val="superscript"/>
        </w:rPr>
        <w:t>**</w:t>
      </w:r>
      <w:r w:rsidRPr="0059293D">
        <w:tab/>
        <w:t>A Tanács 2012/2002/EK rendelete (2002. november 11.) az Európai Unió Szolidaritási Alapjának létrehozásáról (HL L 311., 2002.11.14</w:t>
      </w:r>
      <w:proofErr w:type="gramStart"/>
      <w:r w:rsidRPr="0059293D">
        <w:t>.,</w:t>
      </w:r>
      <w:proofErr w:type="gramEnd"/>
      <w:r w:rsidRPr="0059293D">
        <w:t xml:space="preserve"> 3. o.).”</w:t>
      </w:r>
    </w:p>
    <w:p w:rsidR="00B5286B" w:rsidRPr="0059293D" w:rsidRDefault="00B5286B" w:rsidP="00B5286B">
      <w:pPr>
        <w:pStyle w:val="Point0"/>
      </w:pPr>
      <w:r w:rsidRPr="0059293D">
        <w:t>5.</w:t>
      </w:r>
      <w:r w:rsidRPr="0059293D">
        <w:tab/>
        <w:t>A 10. cikk (2) bekezdése helyébe a következő szöveg lép:</w:t>
      </w:r>
    </w:p>
    <w:p w:rsidR="00B5286B" w:rsidRPr="0059293D" w:rsidRDefault="00B5286B" w:rsidP="00B5286B">
      <w:pPr>
        <w:pStyle w:val="Point1"/>
      </w:pPr>
      <w:r w:rsidRPr="0059293D">
        <w:t>„(2)</w:t>
      </w:r>
      <w:r w:rsidRPr="0059293D">
        <w:tab/>
        <w:t xml:space="preserve">A </w:t>
      </w:r>
      <w:proofErr w:type="spellStart"/>
      <w:r w:rsidRPr="0059293D">
        <w:t>brexit</w:t>
      </w:r>
      <w:proofErr w:type="spellEnd"/>
      <w:r w:rsidRPr="0059293D">
        <w:t xml:space="preserve"> miatti kiigazításokra képzett tartalék összege nem haladhatja meg a (2018-as árakon számított) 4</w:t>
      </w:r>
      <w:r w:rsidR="004437B1" w:rsidRPr="0059293D">
        <w:t> </w:t>
      </w:r>
      <w:r w:rsidRPr="0059293D">
        <w:t>491 millió EUR-t.”</w:t>
      </w:r>
    </w:p>
    <w:p w:rsidR="00B5286B" w:rsidRPr="0059293D" w:rsidRDefault="00B5286B" w:rsidP="00B5286B">
      <w:pPr>
        <w:pStyle w:val="Point0"/>
      </w:pPr>
      <w:r w:rsidRPr="0059293D">
        <w:br w:type="page"/>
      </w:r>
      <w:r w:rsidRPr="0059293D">
        <w:lastRenderedPageBreak/>
        <w:t>6.</w:t>
      </w:r>
      <w:r w:rsidRPr="0059293D">
        <w:tab/>
        <w:t>A szöveg a következő cikkekkel egészül ki:</w:t>
      </w:r>
    </w:p>
    <w:p w:rsidR="00B5286B" w:rsidRPr="0059293D" w:rsidRDefault="00B5286B" w:rsidP="00B5286B">
      <w:pPr>
        <w:pStyle w:val="Text1"/>
        <w:rPr>
          <w:i/>
          <w:iCs/>
        </w:rPr>
      </w:pPr>
      <w:r w:rsidRPr="0059293D">
        <w:rPr>
          <w:i/>
        </w:rPr>
        <w:t>„10a. cikk</w:t>
      </w:r>
      <w:r w:rsidRPr="0059293D">
        <w:rPr>
          <w:i/>
        </w:rPr>
        <w:br/>
        <w:t>Az EURI-eszköz</w:t>
      </w:r>
    </w:p>
    <w:p w:rsidR="00B5286B" w:rsidRPr="0059293D" w:rsidRDefault="00B5286B" w:rsidP="00B5286B">
      <w:pPr>
        <w:pStyle w:val="Point1"/>
      </w:pPr>
      <w:r w:rsidRPr="0059293D">
        <w:t>(1)</w:t>
      </w:r>
      <w:r w:rsidRPr="0059293D">
        <w:tab/>
        <w:t>2025-től kezdődően az EURI-eszköz felhasználható az (EU, Euratom) 2020/2053 tanácsi határozat</w:t>
      </w:r>
      <w:r w:rsidRPr="0059293D">
        <w:rPr>
          <w:vertAlign w:val="superscript"/>
        </w:rPr>
        <w:t>*</w:t>
      </w:r>
      <w:r w:rsidRPr="0059293D">
        <w:t xml:space="preserve"> 5. cikkének (2) bekezdésével összhangban a tőkepiacokon felvett hitelek tekintetében esedékes kamat- és kamatszelvény-kifizetések költségei egy részének egy adott évben történő </w:t>
      </w:r>
      <w:proofErr w:type="gramStart"/>
      <w:r w:rsidRPr="0059293D">
        <w:t>finanszírozására</w:t>
      </w:r>
      <w:proofErr w:type="gramEnd"/>
      <w:r w:rsidRPr="0059293D">
        <w:t xml:space="preserve">. Az EURI-eszköz kizárólag annak érdekében vehető igénybe egy adott évben, hogy – a következő bekezdésekben meghatározott mértékig – abból </w:t>
      </w:r>
      <w:proofErr w:type="gramStart"/>
      <w:r w:rsidRPr="0059293D">
        <w:t>finanszírozzák</w:t>
      </w:r>
      <w:proofErr w:type="gramEnd"/>
      <w:r w:rsidRPr="0059293D">
        <w:t xml:space="preserve"> az említett költségeknek a következő összegeket meghaladó részét (2018-as árakon):</w:t>
      </w:r>
    </w:p>
    <w:p w:rsidR="00B5286B" w:rsidRPr="0059293D" w:rsidRDefault="004437B1" w:rsidP="004437B1">
      <w:pPr>
        <w:pStyle w:val="Tiret2"/>
        <w:numPr>
          <w:ilvl w:val="0"/>
          <w:numId w:val="0"/>
        </w:numPr>
        <w:tabs>
          <w:tab w:val="left" w:pos="1984"/>
        </w:tabs>
        <w:ind w:left="1984" w:hanging="567"/>
      </w:pPr>
      <w:r w:rsidRPr="0059293D">
        <w:rPr>
          <w:bdr w:val="none" w:sz="0" w:space="0" w:color="auto" w:frame="1"/>
        </w:rPr>
        <w:t>–</w:t>
      </w:r>
      <w:r w:rsidRPr="0059293D">
        <w:rPr>
          <w:bdr w:val="none" w:sz="0" w:space="0" w:color="auto" w:frame="1"/>
        </w:rPr>
        <w:tab/>
      </w:r>
      <w:r w:rsidR="00B5286B" w:rsidRPr="0059293D">
        <w:t>2025: 2</w:t>
      </w:r>
      <w:r w:rsidRPr="0059293D">
        <w:t> </w:t>
      </w:r>
      <w:r w:rsidR="00B5286B" w:rsidRPr="0059293D">
        <w:t>332 millió EUR,</w:t>
      </w:r>
    </w:p>
    <w:p w:rsidR="00B5286B" w:rsidRPr="0059293D" w:rsidRDefault="004437B1" w:rsidP="004437B1">
      <w:pPr>
        <w:pStyle w:val="Tiret2"/>
        <w:numPr>
          <w:ilvl w:val="0"/>
          <w:numId w:val="0"/>
        </w:numPr>
        <w:tabs>
          <w:tab w:val="left" w:pos="1984"/>
        </w:tabs>
        <w:ind w:left="1984" w:hanging="567"/>
      </w:pPr>
      <w:r w:rsidRPr="0059293D">
        <w:rPr>
          <w:bdr w:val="none" w:sz="0" w:space="0" w:color="auto" w:frame="1"/>
        </w:rPr>
        <w:t>–</w:t>
      </w:r>
      <w:r w:rsidRPr="0059293D">
        <w:rPr>
          <w:bdr w:val="none" w:sz="0" w:space="0" w:color="auto" w:frame="1"/>
        </w:rPr>
        <w:tab/>
      </w:r>
      <w:r w:rsidR="00B5286B" w:rsidRPr="0059293D">
        <w:t>2026: 3</w:t>
      </w:r>
      <w:r w:rsidRPr="0059293D">
        <w:t> </w:t>
      </w:r>
      <w:r w:rsidR="00B5286B" w:rsidRPr="0059293D">
        <w:t>196 millió EUR,</w:t>
      </w:r>
    </w:p>
    <w:p w:rsidR="00B5286B" w:rsidRPr="0059293D" w:rsidRDefault="004437B1" w:rsidP="004437B1">
      <w:pPr>
        <w:pStyle w:val="Tiret2"/>
        <w:numPr>
          <w:ilvl w:val="0"/>
          <w:numId w:val="0"/>
        </w:numPr>
        <w:tabs>
          <w:tab w:val="left" w:pos="1984"/>
        </w:tabs>
        <w:ind w:left="1984" w:hanging="567"/>
      </w:pPr>
      <w:r w:rsidRPr="0059293D">
        <w:rPr>
          <w:bdr w:val="none" w:sz="0" w:space="0" w:color="auto" w:frame="1"/>
        </w:rPr>
        <w:t>–</w:t>
      </w:r>
      <w:r w:rsidRPr="0059293D">
        <w:rPr>
          <w:bdr w:val="none" w:sz="0" w:space="0" w:color="auto" w:frame="1"/>
        </w:rPr>
        <w:tab/>
      </w:r>
      <w:r w:rsidR="00B5286B" w:rsidRPr="0059293D">
        <w:t>2027: 4</w:t>
      </w:r>
      <w:r w:rsidRPr="0059293D">
        <w:t> </w:t>
      </w:r>
      <w:r w:rsidR="00B5286B" w:rsidRPr="0059293D">
        <w:t>168 millió EUR.</w:t>
      </w:r>
    </w:p>
    <w:p w:rsidR="00B5286B" w:rsidRPr="0059293D" w:rsidRDefault="00B5286B" w:rsidP="00B5286B">
      <w:pPr>
        <w:pStyle w:val="Point1"/>
      </w:pPr>
      <w:r w:rsidRPr="0059293D">
        <w:t>(2)</w:t>
      </w:r>
      <w:r w:rsidRPr="0059293D">
        <w:tab/>
        <w:t xml:space="preserve">Az EURI-eszközt az Európai Parlament és a Tanács az EUMSZ 314. cikkében előírt költségvetési eljárás keretében, kizárólag abban az esetben veheti igénybe, ha már megvizsgáltak más </w:t>
      </w:r>
      <w:proofErr w:type="gramStart"/>
      <w:r w:rsidRPr="0059293D">
        <w:t>finanszírozási</w:t>
      </w:r>
      <w:proofErr w:type="gramEnd"/>
      <w:r w:rsidRPr="0059293D">
        <w:t xml:space="preserve"> módokat az e cikk (1) bekezdésében említett összegeket meghaladó összegek jelentős részének finanszírozása céljára, az alkalmazandó ágazati szabályokkal és egyéb jogi kötelezettségekkel összhangban, figyelembe véve a prioritásokat, a </w:t>
      </w:r>
      <w:proofErr w:type="spellStart"/>
      <w:r w:rsidRPr="0059293D">
        <w:t>prudens</w:t>
      </w:r>
      <w:proofErr w:type="spellEnd"/>
      <w:r w:rsidRPr="0059293D">
        <w:t xml:space="preserve"> költségvetés-tervezést és a hatékony és eredményes pénzgazdálkodást.</w:t>
      </w:r>
    </w:p>
    <w:p w:rsidR="00B5286B" w:rsidRPr="0059293D" w:rsidRDefault="00B5286B" w:rsidP="00B5286B">
      <w:pPr>
        <w:pStyle w:val="Text2"/>
      </w:pPr>
      <w:r w:rsidRPr="0059293D">
        <w:br w:type="page"/>
      </w:r>
      <w:r w:rsidRPr="0059293D">
        <w:lastRenderedPageBreak/>
        <w:t>Az EURI-eszközre vonatkozó előirányzatokat a többéves pénzügyi keret felső határait meghaladóan kell rendelkezésre bocsátani.</w:t>
      </w:r>
    </w:p>
    <w:p w:rsidR="00B5286B" w:rsidRPr="0059293D" w:rsidRDefault="00B5286B" w:rsidP="00B5286B">
      <w:pPr>
        <w:pStyle w:val="Point1"/>
      </w:pPr>
      <w:r w:rsidRPr="0059293D">
        <w:t>(3)</w:t>
      </w:r>
      <w:r w:rsidRPr="0059293D">
        <w:tab/>
        <w:t>Az EURI-eszköz a következőket foglalja magában:</w:t>
      </w:r>
    </w:p>
    <w:p w:rsidR="00B5286B" w:rsidRPr="0059293D" w:rsidRDefault="00B5286B" w:rsidP="00B5286B">
      <w:pPr>
        <w:pStyle w:val="Point2"/>
      </w:pPr>
      <w:r w:rsidRPr="0059293D">
        <w:t>a)</w:t>
      </w:r>
      <w:r w:rsidRPr="0059293D">
        <w:tab/>
        <w:t xml:space="preserve">a 2021 óta </w:t>
      </w:r>
      <w:proofErr w:type="gramStart"/>
      <w:r w:rsidRPr="0059293D">
        <w:t>kumulatívan</w:t>
      </w:r>
      <w:proofErr w:type="gramEnd"/>
      <w:r w:rsidRPr="0059293D">
        <w:t xml:space="preserve"> számított, azon visszavont előirányzatoknak megfelelő összeg – a külső címzett bevételek kivételével –, amelyeket nem vettek igénybe ezen eszköz alapján a korábbi években, kivéve azon visszavont előirányzatok összegét, amelyeket a költségvetési rendelet 15. cikkének rendelkezéseivel, valamint a vonatkozó alap-jogiaktusokban említett, az előirányzatok újbóli rendelkezésre bocsátására vonatkozó konkrét szabályokkal összhangban újból rendelkezésre bocsátottak. Elsőként ezt az összeget kell lehívni;</w:t>
      </w:r>
    </w:p>
    <w:p w:rsidR="00B5286B" w:rsidRPr="0059293D" w:rsidRDefault="00B5286B" w:rsidP="00B5286B">
      <w:pPr>
        <w:pStyle w:val="Point2"/>
      </w:pPr>
      <w:r w:rsidRPr="0059293D">
        <w:t>b)</w:t>
      </w:r>
      <w:r w:rsidRPr="0059293D">
        <w:tab/>
        <w:t xml:space="preserve">kizárólag abban az esetben, ha az e bekezdés a) pontjában meghatározott összeg nem elegendő, az (1) bekezdésben említett költségeknek az adott évben történő teljes </w:t>
      </w:r>
      <w:proofErr w:type="gramStart"/>
      <w:r w:rsidRPr="0059293D">
        <w:t>finanszírozásához</w:t>
      </w:r>
      <w:proofErr w:type="gramEnd"/>
      <w:r w:rsidRPr="0059293D">
        <w:t xml:space="preserve"> szükséges kiegészítő összeg.</w:t>
      </w:r>
    </w:p>
    <w:p w:rsidR="00B5286B" w:rsidRPr="0059293D" w:rsidRDefault="00B5286B" w:rsidP="00B5286B">
      <w:pPr>
        <w:pStyle w:val="Text2"/>
      </w:pPr>
      <w:r w:rsidRPr="0059293D">
        <w:t xml:space="preserve">A 4. cikkben említett technikai kiigazítások részeként a Bizottság minden évben kiszámítja az e bekezdés első </w:t>
      </w:r>
      <w:proofErr w:type="spellStart"/>
      <w:r w:rsidRPr="0059293D">
        <w:t>albekezdésének</w:t>
      </w:r>
      <w:proofErr w:type="spellEnd"/>
      <w:r w:rsidRPr="0059293D">
        <w:t xml:space="preserve"> a) pontja alapján rendelkezésre álló összeget, tekintetbe véve az előző években e célra figyelembe vett összegeket.</w:t>
      </w:r>
    </w:p>
    <w:p w:rsidR="00B5286B" w:rsidRPr="0059293D" w:rsidRDefault="00B5286B" w:rsidP="00B5286B">
      <w:pPr>
        <w:pStyle w:val="Text1"/>
        <w:rPr>
          <w:i/>
          <w:iCs/>
        </w:rPr>
      </w:pPr>
      <w:r w:rsidRPr="0059293D">
        <w:br w:type="page"/>
      </w:r>
      <w:r w:rsidRPr="0059293D">
        <w:rPr>
          <w:i/>
          <w:iCs/>
        </w:rPr>
        <w:lastRenderedPageBreak/>
        <w:t>10b. cikk</w:t>
      </w:r>
      <w:r w:rsidRPr="0059293D">
        <w:rPr>
          <w:i/>
          <w:iCs/>
        </w:rPr>
        <w:br/>
        <w:t>Az Ukrajna-tartalék</w:t>
      </w:r>
    </w:p>
    <w:p w:rsidR="00B5286B" w:rsidRPr="0059293D" w:rsidRDefault="00B5286B" w:rsidP="00B5286B">
      <w:pPr>
        <w:pStyle w:val="Point1"/>
      </w:pPr>
      <w:r w:rsidRPr="0059293D">
        <w:t>(1)</w:t>
      </w:r>
      <w:r w:rsidRPr="0059293D">
        <w:tab/>
        <w:t>Az Ukrajna-tartalék kizárólag az (EU) 2024/…. rendelet</w:t>
      </w:r>
      <w:r w:rsidRPr="0059293D">
        <w:rPr>
          <w:rStyle w:val="FootnoteReference"/>
        </w:rPr>
        <w:footnoteReference w:customMarkFollows="1" w:id="11"/>
        <w:sym w:font="Symbol" w:char="F02B"/>
      </w:r>
      <w:r w:rsidRPr="0059293D">
        <w:t xml:space="preserve"> értelmében felmerült kiadások </w:t>
      </w:r>
      <w:proofErr w:type="gramStart"/>
      <w:r w:rsidRPr="0059293D">
        <w:t>finanszírozása</w:t>
      </w:r>
      <w:proofErr w:type="gramEnd"/>
      <w:r w:rsidRPr="0059293D">
        <w:t xml:space="preserve"> céljára vehető igénybe.</w:t>
      </w:r>
    </w:p>
    <w:p w:rsidR="00B5286B" w:rsidRPr="0059293D" w:rsidRDefault="00B5286B" w:rsidP="00B5286B">
      <w:pPr>
        <w:pStyle w:val="Point1"/>
      </w:pPr>
      <w:r w:rsidRPr="0059293D">
        <w:t>(2)</w:t>
      </w:r>
      <w:r w:rsidRPr="0059293D">
        <w:tab/>
        <w:t>Az Ukrajna-tartalék összege a 2024–2027-es időszakban folyó árakon nem haladhatja meg a 17 000 millió EUR-t.</w:t>
      </w:r>
    </w:p>
    <w:p w:rsidR="00B5286B" w:rsidRPr="0059293D" w:rsidRDefault="00B5286B" w:rsidP="00B5286B">
      <w:pPr>
        <w:pStyle w:val="Point1"/>
      </w:pPr>
      <w:r w:rsidRPr="0059293D">
        <w:t>(3)</w:t>
      </w:r>
      <w:r w:rsidRPr="0059293D">
        <w:tab/>
        <w:t xml:space="preserve">Az Ukrajna-tartalék keretében egy adott évben igénybe vett éves </w:t>
      </w:r>
      <w:proofErr w:type="gramStart"/>
      <w:r w:rsidRPr="0059293D">
        <w:t>összeg folyó</w:t>
      </w:r>
      <w:proofErr w:type="gramEnd"/>
      <w:r w:rsidRPr="0059293D">
        <w:t xml:space="preserve"> árakon nem haladhatja meg az 5</w:t>
      </w:r>
      <w:r w:rsidR="004437B1" w:rsidRPr="0059293D">
        <w:t> </w:t>
      </w:r>
      <w:r w:rsidRPr="0059293D">
        <w:t>000 millió EUR-t. A (2) bekezdésben meghatározott teljes összeg sérelme nélkül, az éves összeg egy adott évben fel nem használt része a következő években, 2027-ig, felhasználható.</w:t>
      </w:r>
    </w:p>
    <w:p w:rsidR="00B5286B" w:rsidRPr="0059293D" w:rsidRDefault="00B5286B" w:rsidP="00B5286B">
      <w:pPr>
        <w:pStyle w:val="Point1"/>
      </w:pPr>
      <w:r w:rsidRPr="0059293D">
        <w:t>(4)</w:t>
      </w:r>
      <w:r w:rsidRPr="0059293D">
        <w:tab/>
        <w:t>Az Ukrajna-tartalékot az Európai Parlament és a Tanács az EUMSZ 314. cikkében előírt költségvetési eljárás keretében veheti igénybe.</w:t>
      </w:r>
    </w:p>
    <w:p w:rsidR="00B5286B" w:rsidRPr="0059293D" w:rsidRDefault="00B5286B" w:rsidP="00B5286B">
      <w:pPr>
        <w:pStyle w:val="Text1"/>
      </w:pPr>
      <w:r w:rsidRPr="0059293D">
        <w:t>_________________</w:t>
      </w:r>
    </w:p>
    <w:p w:rsidR="00B5286B" w:rsidRPr="0059293D" w:rsidRDefault="00B5286B" w:rsidP="00B5286B">
      <w:pPr>
        <w:pStyle w:val="Point1"/>
        <w:spacing w:line="240" w:lineRule="auto"/>
        <w:ind w:left="1418"/>
      </w:pPr>
      <w:r w:rsidRPr="0059293D">
        <w:rPr>
          <w:vertAlign w:val="superscript"/>
        </w:rPr>
        <w:t>*</w:t>
      </w:r>
      <w:r w:rsidRPr="0059293D">
        <w:tab/>
        <w:t>A Tanács (EU, Euratom) 2020/2053 határozata (2020. december 14.) az Európai Unió saját forrásainak rendszeréről és a 2014/335/EU, Euratom határozat hatályon kívül helyezéséről (HL L 424., 2020.12.15</w:t>
      </w:r>
      <w:proofErr w:type="gramStart"/>
      <w:r w:rsidRPr="0059293D">
        <w:t>.,</w:t>
      </w:r>
      <w:proofErr w:type="gramEnd"/>
      <w:r w:rsidRPr="0059293D">
        <w:t xml:space="preserve"> 1. o.).”</w:t>
      </w:r>
    </w:p>
    <w:p w:rsidR="00B5286B" w:rsidRPr="0059293D" w:rsidRDefault="00B5286B" w:rsidP="00B5286B">
      <w:pPr>
        <w:pStyle w:val="Point0"/>
      </w:pPr>
      <w:r w:rsidRPr="0059293D">
        <w:br w:type="page"/>
      </w:r>
      <w:r w:rsidRPr="0059293D">
        <w:lastRenderedPageBreak/>
        <w:t>7.</w:t>
      </w:r>
      <w:r w:rsidRPr="0059293D">
        <w:tab/>
        <w:t>A 11. cikk a következő bekezdéssel egészül ki:</w:t>
      </w:r>
    </w:p>
    <w:p w:rsidR="00B5286B" w:rsidRPr="0059293D" w:rsidRDefault="00B5286B" w:rsidP="00B5286B">
      <w:pPr>
        <w:pStyle w:val="Point1"/>
      </w:pPr>
      <w:r w:rsidRPr="0059293D">
        <w:t>„(3a)</w:t>
      </w:r>
      <w:r w:rsidRPr="0059293D">
        <w:tab/>
        <w:t xml:space="preserve">Az e cikk (3) bekezdésében említett, a 2026. évre vonatkozó éves kiigazításnak az 5. cikk (2) bekezdésének második </w:t>
      </w:r>
      <w:proofErr w:type="spellStart"/>
      <w:r w:rsidRPr="0059293D">
        <w:t>albekezdésében</w:t>
      </w:r>
      <w:proofErr w:type="spellEnd"/>
      <w:r w:rsidRPr="0059293D">
        <w:t xml:space="preserve"> említett összeggel megnövelt maximális összegét ki kell igazítani a 2025. évre vonatkozó maximális összeg fel nem használt részének megfelelő összeggel.”</w:t>
      </w:r>
    </w:p>
    <w:p w:rsidR="00B5286B" w:rsidRPr="0059293D" w:rsidRDefault="00B5286B" w:rsidP="00B5286B">
      <w:pPr>
        <w:pStyle w:val="Point0"/>
      </w:pPr>
      <w:r w:rsidRPr="0059293D">
        <w:t>8.</w:t>
      </w:r>
      <w:r w:rsidRPr="0059293D">
        <w:tab/>
        <w:t>A 12. cikk helyébe a következő szöveg lép:</w:t>
      </w:r>
    </w:p>
    <w:p w:rsidR="00B5286B" w:rsidRPr="0059293D" w:rsidRDefault="00B5286B" w:rsidP="00B5286B">
      <w:pPr>
        <w:pStyle w:val="Text1"/>
        <w:rPr>
          <w:i/>
          <w:iCs/>
        </w:rPr>
      </w:pPr>
      <w:r w:rsidRPr="0059293D">
        <w:t>„</w:t>
      </w:r>
      <w:r w:rsidRPr="0059293D">
        <w:rPr>
          <w:i/>
        </w:rPr>
        <w:t>12. cikk</w:t>
      </w:r>
      <w:r w:rsidRPr="0059293D">
        <w:rPr>
          <w:i/>
        </w:rPr>
        <w:br/>
      </w:r>
      <w:proofErr w:type="gramStart"/>
      <w:r w:rsidRPr="0059293D">
        <w:rPr>
          <w:i/>
        </w:rPr>
        <w:t>A</w:t>
      </w:r>
      <w:proofErr w:type="gramEnd"/>
      <w:r w:rsidRPr="0059293D">
        <w:rPr>
          <w:i/>
        </w:rPr>
        <w:t xml:space="preserve"> Rugalmassági Eszköz</w:t>
      </w:r>
    </w:p>
    <w:p w:rsidR="00B5286B" w:rsidRPr="0059293D" w:rsidRDefault="00B5286B" w:rsidP="00B5286B">
      <w:pPr>
        <w:pStyle w:val="Point1"/>
      </w:pPr>
      <w:r w:rsidRPr="0059293D">
        <w:t>(1)</w:t>
      </w:r>
      <w:r w:rsidRPr="0059293D">
        <w:tab/>
        <w:t xml:space="preserve">A Rugalmassági Eszköz az adott pénzügyi </w:t>
      </w:r>
      <w:proofErr w:type="spellStart"/>
      <w:r w:rsidRPr="0059293D">
        <w:t>évbeli</w:t>
      </w:r>
      <w:proofErr w:type="spellEnd"/>
      <w:r w:rsidRPr="0059293D">
        <w:t xml:space="preserve"> olyan </w:t>
      </w:r>
      <w:proofErr w:type="gramStart"/>
      <w:r w:rsidRPr="0059293D">
        <w:t>konkrét</w:t>
      </w:r>
      <w:proofErr w:type="gramEnd"/>
      <w:r w:rsidRPr="0059293D">
        <w:t>, előre nem látott kiadások finanszírozására használható fel kötelezettségvállalási előirányzatok és megfelelő kifizetési előirányzatok formájában, amelyek egy vagy több más fejezet felső határán belül nem finanszírozhatók. A Rugalmassági Eszköz céljára rendelkezésre álló éves összeg felső határa a 2021–2023. évben (2018-as árakon) 915 millió EUR. A Rugalmassági Eszköz céljára rendelkezésre álló éves összeg felső határa a 2024–2027. évben (2018-as árakon) 1</w:t>
      </w:r>
      <w:r w:rsidR="004437B1" w:rsidRPr="0059293D">
        <w:t> </w:t>
      </w:r>
      <w:r w:rsidRPr="0059293D">
        <w:t>346 millió EUR.</w:t>
      </w:r>
    </w:p>
    <w:p w:rsidR="00B5286B" w:rsidRPr="0059293D" w:rsidRDefault="00B5286B" w:rsidP="00B5286B">
      <w:pPr>
        <w:pStyle w:val="Text2"/>
      </w:pPr>
      <w:r w:rsidRPr="0059293D">
        <w:t>A Rugalmassági Eszköz céljára rendelkezésre álló éves összeget minden évben meg kell növelni az európai szolidaritási tartalék és a sürgősségisegély-tartalék éves összegeinek azon részeivel megegyező összeggel, amelyek a 9. cikkel összhangban az előző évben megszűntek.</w:t>
      </w:r>
    </w:p>
    <w:p w:rsidR="00B5286B" w:rsidRPr="0059293D" w:rsidRDefault="00B5286B" w:rsidP="00B5286B">
      <w:pPr>
        <w:pStyle w:val="Point1"/>
      </w:pPr>
      <w:r w:rsidRPr="0059293D">
        <w:br w:type="page"/>
      </w:r>
      <w:r w:rsidRPr="0059293D">
        <w:lastRenderedPageBreak/>
        <w:t>(2)</w:t>
      </w:r>
      <w:r w:rsidRPr="0059293D">
        <w:rPr>
          <w:rStyle w:val="Bodytext1"/>
        </w:rPr>
        <w:tab/>
      </w:r>
      <w:r w:rsidRPr="0059293D">
        <w:t xml:space="preserve">A Rugalmassági Eszköz éves összegének fel nem használt része legkésőbb az n+2. évben használható fel. Az éves összegnek bármely, az előző évekből megmaradt részét kell először lehívni, időrendi sorrendben. Az n. </w:t>
      </w:r>
      <w:proofErr w:type="gramStart"/>
      <w:r w:rsidRPr="0059293D">
        <w:t>évi</w:t>
      </w:r>
      <w:proofErr w:type="gramEnd"/>
      <w:r w:rsidRPr="0059293D">
        <w:t xml:space="preserve"> éves összeg bármely azon része, amelyet az n+2. évig nem használnak fel, megszűnik.”</w:t>
      </w:r>
    </w:p>
    <w:p w:rsidR="00B5286B" w:rsidRPr="0059293D" w:rsidRDefault="00B5286B" w:rsidP="00B5286B">
      <w:pPr>
        <w:pStyle w:val="Point0"/>
      </w:pPr>
      <w:r w:rsidRPr="0059293D">
        <w:t>9.</w:t>
      </w:r>
      <w:r w:rsidRPr="0059293D">
        <w:tab/>
        <w:t>Az I. és a II. melléklet helyébe e rendelet mellékletének szövege lép.</w:t>
      </w:r>
    </w:p>
    <w:p w:rsidR="00B5286B" w:rsidRPr="0059293D" w:rsidRDefault="00B5286B" w:rsidP="00B5286B">
      <w:pPr>
        <w:pStyle w:val="Titrearticle"/>
      </w:pPr>
      <w:r w:rsidRPr="0059293D">
        <w:t>2. cikk</w:t>
      </w:r>
    </w:p>
    <w:p w:rsidR="00B5286B" w:rsidRPr="0059293D" w:rsidRDefault="00B5286B" w:rsidP="00291EC2">
      <w:pPr>
        <w:spacing w:line="360" w:lineRule="auto"/>
      </w:pPr>
      <w:r w:rsidRPr="0059293D">
        <w:t xml:space="preserve">Ez a rendelet az </w:t>
      </w:r>
      <w:r w:rsidRPr="0059293D">
        <w:rPr>
          <w:i/>
        </w:rPr>
        <w:t>Európai Unió Hivatalos Lapjában</w:t>
      </w:r>
      <w:r w:rsidRPr="0059293D">
        <w:t xml:space="preserve"> való kihirdetésének napján lép hatályba.</w:t>
      </w:r>
    </w:p>
    <w:p w:rsidR="00B5286B" w:rsidRPr="0059293D" w:rsidRDefault="00B5286B" w:rsidP="00291EC2">
      <w:pPr>
        <w:spacing w:line="360" w:lineRule="auto"/>
      </w:pPr>
      <w:r w:rsidRPr="0059293D">
        <w:t>Ezt a rendeletet 2024. január 1-jétől kell alkalmazni.</w:t>
      </w:r>
    </w:p>
    <w:p w:rsidR="00B5286B" w:rsidRPr="0059293D" w:rsidRDefault="00B5286B" w:rsidP="00B5286B">
      <w:pPr>
        <w:pStyle w:val="Applicationdirecte"/>
      </w:pPr>
      <w:r w:rsidRPr="0059293D">
        <w:t>Ez a rendelet teljes egészében kötelező és közvetlenül alkalmazandó valamennyi tagállamban.</w:t>
      </w:r>
    </w:p>
    <w:p w:rsidR="00B5286B" w:rsidRPr="0059293D" w:rsidRDefault="00B5286B" w:rsidP="00B5286B">
      <w:pPr>
        <w:pStyle w:val="Fait"/>
      </w:pPr>
      <w:proofErr w:type="gramStart"/>
      <w:r w:rsidRPr="0059293D">
        <w:t>Kelt …</w:t>
      </w:r>
      <w:proofErr w:type="gramEnd"/>
      <w:r w:rsidRPr="0059293D">
        <w:t>,</w:t>
      </w:r>
    </w:p>
    <w:p w:rsidR="00B5286B" w:rsidRPr="0059293D" w:rsidRDefault="00B5286B" w:rsidP="00B5286B">
      <w:pPr>
        <w:pStyle w:val="Institutionquisigne"/>
      </w:pPr>
      <w:r w:rsidRPr="0059293D">
        <w:tab/>
      </w:r>
      <w:proofErr w:type="gramStart"/>
      <w:r w:rsidRPr="0059293D">
        <w:t>a</w:t>
      </w:r>
      <w:proofErr w:type="gramEnd"/>
      <w:r w:rsidRPr="0059293D">
        <w:t xml:space="preserve"> Tanács részéről</w:t>
      </w:r>
    </w:p>
    <w:p w:rsidR="00B5286B" w:rsidRPr="0059293D" w:rsidRDefault="00B5286B" w:rsidP="00B5286B">
      <w:pPr>
        <w:pStyle w:val="Personnequisigne"/>
      </w:pPr>
      <w:r w:rsidRPr="0059293D">
        <w:tab/>
      </w:r>
      <w:proofErr w:type="gramStart"/>
      <w:r w:rsidRPr="0059293D">
        <w:t>az</w:t>
      </w:r>
      <w:proofErr w:type="gramEnd"/>
      <w:r w:rsidRPr="0059293D">
        <w:t xml:space="preserve"> elnök</w:t>
      </w:r>
    </w:p>
    <w:p w:rsidR="00B5286B" w:rsidRPr="0059293D" w:rsidRDefault="00B5286B" w:rsidP="00B5286B">
      <w:pPr>
        <w:pStyle w:val="Lignefinal"/>
      </w:pPr>
    </w:p>
    <w:p w:rsidR="00B5286B" w:rsidRPr="0059293D" w:rsidRDefault="00B5286B" w:rsidP="00B5286B">
      <w:pPr>
        <w:sectPr w:rsidR="00B5286B" w:rsidRPr="0059293D" w:rsidSect="00087735">
          <w:footerReference w:type="even" r:id="rId9"/>
          <w:footerReference w:type="first" r:id="rId10"/>
          <w:footnotePr>
            <w:numRestart w:val="eachPage"/>
          </w:footnotePr>
          <w:pgSz w:w="11907" w:h="16839"/>
          <w:pgMar w:top="1134" w:right="1134" w:bottom="1134" w:left="1134" w:header="567" w:footer="567" w:gutter="0"/>
          <w:cols w:space="720"/>
          <w:docGrid w:linePitch="360"/>
        </w:sectPr>
      </w:pPr>
    </w:p>
    <w:p w:rsidR="00B5286B" w:rsidRPr="0059293D" w:rsidRDefault="00B5286B" w:rsidP="00B5286B">
      <w:pPr>
        <w:pStyle w:val="Annexetitre"/>
        <w:rPr>
          <w:b w:val="0"/>
          <w:u w:val="none"/>
        </w:rPr>
      </w:pPr>
      <w:r w:rsidRPr="0059293D">
        <w:rPr>
          <w:b w:val="0"/>
          <w:u w:val="none"/>
        </w:rPr>
        <w:lastRenderedPageBreak/>
        <w:t>MELLÉKLET</w:t>
      </w:r>
    </w:p>
    <w:p w:rsidR="004437B1" w:rsidRPr="0059293D" w:rsidRDefault="00B5286B" w:rsidP="00B5286B">
      <w:pPr>
        <w:pStyle w:val="NormalCentered"/>
      </w:pPr>
      <w:r w:rsidRPr="0059293D">
        <w:t>„I. MELLÉKLET</w:t>
      </w:r>
    </w:p>
    <w:p w:rsidR="00B5286B" w:rsidRPr="0059293D" w:rsidRDefault="00B5286B" w:rsidP="00B5286B">
      <w:pPr>
        <w:pStyle w:val="NormalCentered"/>
      </w:pPr>
      <w:r w:rsidRPr="0059293D">
        <w:t>TÖBBÉVES PÉNZÜGYI KERET (EU-27)</w:t>
      </w:r>
    </w:p>
    <w:tbl>
      <w:tblPr>
        <w:tblW w:w="5073" w:type="pct"/>
        <w:tblLayout w:type="fixed"/>
        <w:tblLook w:val="04A0" w:firstRow="1" w:lastRow="0" w:firstColumn="1" w:lastColumn="0" w:noHBand="0" w:noVBand="1"/>
      </w:tblPr>
      <w:tblGrid>
        <w:gridCol w:w="5585"/>
        <w:gridCol w:w="1006"/>
        <w:gridCol w:w="1015"/>
        <w:gridCol w:w="1015"/>
        <w:gridCol w:w="1015"/>
        <w:gridCol w:w="1012"/>
        <w:gridCol w:w="1009"/>
        <w:gridCol w:w="986"/>
        <w:gridCol w:w="1852"/>
      </w:tblGrid>
      <w:tr w:rsidR="00B5286B" w:rsidRPr="0059293D" w:rsidTr="00E14669">
        <w:trPr>
          <w:trHeight w:val="315"/>
          <w:tblHeader/>
        </w:trPr>
        <w:tc>
          <w:tcPr>
            <w:tcW w:w="1927" w:type="pct"/>
            <w:tcBorders>
              <w:top w:val="nil"/>
              <w:left w:val="nil"/>
              <w:bottom w:val="nil"/>
              <w:right w:val="nil"/>
            </w:tcBorders>
            <w:shd w:val="clear" w:color="auto" w:fill="auto"/>
            <w:noWrap/>
            <w:vAlign w:val="bottom"/>
            <w:hideMark/>
          </w:tcPr>
          <w:p w:rsidR="00B5286B" w:rsidRPr="0059293D" w:rsidRDefault="00B5286B" w:rsidP="00E14669">
            <w:pPr>
              <w:spacing w:before="60" w:after="60"/>
              <w:rPr>
                <w:szCs w:val="24"/>
              </w:rPr>
            </w:pPr>
          </w:p>
        </w:tc>
        <w:tc>
          <w:tcPr>
            <w:tcW w:w="347" w:type="pct"/>
            <w:tcBorders>
              <w:top w:val="nil"/>
              <w:left w:val="nil"/>
              <w:bottom w:val="nil"/>
              <w:right w:val="nil"/>
            </w:tcBorders>
            <w:shd w:val="clear" w:color="auto" w:fill="auto"/>
            <w:noWrap/>
            <w:vAlign w:val="bottom"/>
            <w:hideMark/>
          </w:tcPr>
          <w:p w:rsidR="00B5286B" w:rsidRPr="0059293D" w:rsidRDefault="00B5286B" w:rsidP="00E14669">
            <w:pPr>
              <w:spacing w:before="60" w:after="60"/>
              <w:rPr>
                <w:szCs w:val="24"/>
              </w:rPr>
            </w:pPr>
          </w:p>
        </w:tc>
        <w:tc>
          <w:tcPr>
            <w:tcW w:w="350" w:type="pct"/>
            <w:tcBorders>
              <w:top w:val="nil"/>
              <w:left w:val="nil"/>
              <w:bottom w:val="nil"/>
              <w:right w:val="nil"/>
            </w:tcBorders>
            <w:shd w:val="clear" w:color="auto" w:fill="auto"/>
            <w:noWrap/>
            <w:vAlign w:val="bottom"/>
            <w:hideMark/>
          </w:tcPr>
          <w:p w:rsidR="00B5286B" w:rsidRPr="0059293D" w:rsidRDefault="00B5286B" w:rsidP="00E14669">
            <w:pPr>
              <w:spacing w:before="60" w:after="60"/>
              <w:rPr>
                <w:szCs w:val="24"/>
              </w:rPr>
            </w:pPr>
          </w:p>
        </w:tc>
        <w:tc>
          <w:tcPr>
            <w:tcW w:w="350" w:type="pct"/>
            <w:tcBorders>
              <w:top w:val="nil"/>
              <w:left w:val="nil"/>
              <w:bottom w:val="nil"/>
              <w:right w:val="nil"/>
            </w:tcBorders>
            <w:shd w:val="clear" w:color="auto" w:fill="auto"/>
            <w:noWrap/>
            <w:vAlign w:val="bottom"/>
            <w:hideMark/>
          </w:tcPr>
          <w:p w:rsidR="00B5286B" w:rsidRPr="0059293D" w:rsidRDefault="00B5286B" w:rsidP="00E14669">
            <w:pPr>
              <w:spacing w:before="60" w:after="60"/>
              <w:rPr>
                <w:szCs w:val="24"/>
              </w:rPr>
            </w:pPr>
          </w:p>
        </w:tc>
        <w:tc>
          <w:tcPr>
            <w:tcW w:w="350" w:type="pct"/>
            <w:tcBorders>
              <w:top w:val="nil"/>
              <w:left w:val="nil"/>
              <w:bottom w:val="nil"/>
              <w:right w:val="nil"/>
            </w:tcBorders>
            <w:shd w:val="clear" w:color="auto" w:fill="auto"/>
            <w:noWrap/>
            <w:vAlign w:val="bottom"/>
            <w:hideMark/>
          </w:tcPr>
          <w:p w:rsidR="00B5286B" w:rsidRPr="0059293D" w:rsidRDefault="00B5286B" w:rsidP="00E14669">
            <w:pPr>
              <w:spacing w:before="60" w:after="60"/>
              <w:rPr>
                <w:szCs w:val="24"/>
              </w:rPr>
            </w:pPr>
          </w:p>
        </w:tc>
        <w:tc>
          <w:tcPr>
            <w:tcW w:w="349" w:type="pct"/>
            <w:tcBorders>
              <w:top w:val="nil"/>
              <w:left w:val="nil"/>
              <w:bottom w:val="nil"/>
              <w:right w:val="nil"/>
            </w:tcBorders>
            <w:shd w:val="clear" w:color="auto" w:fill="auto"/>
            <w:noWrap/>
            <w:vAlign w:val="bottom"/>
            <w:hideMark/>
          </w:tcPr>
          <w:p w:rsidR="00B5286B" w:rsidRPr="0059293D" w:rsidRDefault="00B5286B" w:rsidP="00E14669">
            <w:pPr>
              <w:spacing w:before="60" w:after="60"/>
              <w:rPr>
                <w:szCs w:val="24"/>
              </w:rPr>
            </w:pPr>
          </w:p>
        </w:tc>
        <w:tc>
          <w:tcPr>
            <w:tcW w:w="1327" w:type="pct"/>
            <w:gridSpan w:val="3"/>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szCs w:val="24"/>
              </w:rPr>
            </w:pPr>
            <w:r w:rsidRPr="0059293D">
              <w:rPr>
                <w:i/>
                <w:szCs w:val="24"/>
              </w:rPr>
              <w:t>(millió EUR – 2018-as árakon)</w:t>
            </w:r>
          </w:p>
        </w:tc>
      </w:tr>
      <w:tr w:rsidR="00B5286B" w:rsidRPr="0059293D" w:rsidTr="00E14669">
        <w:trPr>
          <w:trHeight w:val="645"/>
          <w:tblHeader/>
        </w:trPr>
        <w:tc>
          <w:tcPr>
            <w:tcW w:w="1927"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B5286B" w:rsidRPr="0059293D" w:rsidRDefault="00B5286B" w:rsidP="00E14669">
            <w:pPr>
              <w:spacing w:before="60" w:after="60"/>
              <w:jc w:val="center"/>
              <w:rPr>
                <w:b/>
                <w:bCs/>
                <w:szCs w:val="24"/>
              </w:rPr>
            </w:pPr>
            <w:r w:rsidRPr="0059293D">
              <w:rPr>
                <w:b/>
                <w:szCs w:val="24"/>
              </w:rPr>
              <w:t>KÖTELEZETTSÉGVÁLLALÁSI ELŐIRÁNYZATOK</w:t>
            </w:r>
          </w:p>
        </w:tc>
        <w:tc>
          <w:tcPr>
            <w:tcW w:w="347" w:type="pct"/>
            <w:tcBorders>
              <w:top w:val="single" w:sz="8" w:space="0" w:color="auto"/>
              <w:left w:val="nil"/>
              <w:bottom w:val="single" w:sz="8" w:space="0" w:color="auto"/>
              <w:right w:val="nil"/>
            </w:tcBorders>
            <w:shd w:val="clear" w:color="auto" w:fill="auto"/>
            <w:noWrap/>
            <w:vAlign w:val="center"/>
            <w:hideMark/>
          </w:tcPr>
          <w:p w:rsidR="00B5286B" w:rsidRPr="0059293D" w:rsidRDefault="00B5286B" w:rsidP="00E14669">
            <w:pPr>
              <w:spacing w:before="60" w:after="60"/>
              <w:jc w:val="center"/>
              <w:rPr>
                <w:b/>
                <w:bCs/>
                <w:szCs w:val="24"/>
              </w:rPr>
            </w:pPr>
            <w:r w:rsidRPr="0059293D">
              <w:rPr>
                <w:b/>
                <w:bCs/>
                <w:szCs w:val="24"/>
              </w:rPr>
              <w:t>2021</w:t>
            </w:r>
          </w:p>
        </w:tc>
        <w:tc>
          <w:tcPr>
            <w:tcW w:w="350" w:type="pct"/>
            <w:tcBorders>
              <w:top w:val="single" w:sz="8" w:space="0" w:color="auto"/>
              <w:left w:val="nil"/>
              <w:bottom w:val="single" w:sz="8" w:space="0" w:color="auto"/>
              <w:right w:val="nil"/>
            </w:tcBorders>
            <w:shd w:val="clear" w:color="auto" w:fill="auto"/>
            <w:noWrap/>
            <w:vAlign w:val="center"/>
            <w:hideMark/>
          </w:tcPr>
          <w:p w:rsidR="00B5286B" w:rsidRPr="0059293D" w:rsidRDefault="00B5286B" w:rsidP="00E14669">
            <w:pPr>
              <w:spacing w:before="60" w:after="60"/>
              <w:jc w:val="center"/>
              <w:rPr>
                <w:b/>
                <w:bCs/>
                <w:szCs w:val="24"/>
              </w:rPr>
            </w:pPr>
            <w:r w:rsidRPr="0059293D">
              <w:rPr>
                <w:b/>
                <w:bCs/>
                <w:szCs w:val="24"/>
              </w:rPr>
              <w:t>2022</w:t>
            </w:r>
          </w:p>
        </w:tc>
        <w:tc>
          <w:tcPr>
            <w:tcW w:w="350" w:type="pct"/>
            <w:tcBorders>
              <w:top w:val="single" w:sz="8" w:space="0" w:color="auto"/>
              <w:left w:val="nil"/>
              <w:bottom w:val="single" w:sz="8" w:space="0" w:color="auto"/>
              <w:right w:val="nil"/>
            </w:tcBorders>
            <w:shd w:val="clear" w:color="auto" w:fill="auto"/>
            <w:noWrap/>
            <w:vAlign w:val="center"/>
            <w:hideMark/>
          </w:tcPr>
          <w:p w:rsidR="00B5286B" w:rsidRPr="0059293D" w:rsidRDefault="00B5286B" w:rsidP="00E14669">
            <w:pPr>
              <w:spacing w:before="60" w:after="60"/>
              <w:jc w:val="center"/>
              <w:rPr>
                <w:b/>
                <w:bCs/>
                <w:szCs w:val="24"/>
              </w:rPr>
            </w:pPr>
            <w:r w:rsidRPr="0059293D">
              <w:rPr>
                <w:b/>
                <w:bCs/>
                <w:szCs w:val="24"/>
              </w:rPr>
              <w:t>2023</w:t>
            </w:r>
          </w:p>
        </w:tc>
        <w:tc>
          <w:tcPr>
            <w:tcW w:w="350" w:type="pct"/>
            <w:tcBorders>
              <w:top w:val="single" w:sz="8" w:space="0" w:color="auto"/>
              <w:left w:val="nil"/>
              <w:bottom w:val="single" w:sz="8" w:space="0" w:color="auto"/>
              <w:right w:val="nil"/>
            </w:tcBorders>
            <w:shd w:val="clear" w:color="auto" w:fill="auto"/>
            <w:noWrap/>
            <w:vAlign w:val="center"/>
            <w:hideMark/>
          </w:tcPr>
          <w:p w:rsidR="00B5286B" w:rsidRPr="0059293D" w:rsidRDefault="00B5286B" w:rsidP="00E14669">
            <w:pPr>
              <w:spacing w:before="60" w:after="60"/>
              <w:jc w:val="center"/>
              <w:rPr>
                <w:b/>
                <w:bCs/>
                <w:szCs w:val="24"/>
              </w:rPr>
            </w:pPr>
            <w:r w:rsidRPr="0059293D">
              <w:rPr>
                <w:b/>
                <w:bCs/>
                <w:szCs w:val="24"/>
              </w:rPr>
              <w:t>2024</w:t>
            </w:r>
          </w:p>
        </w:tc>
        <w:tc>
          <w:tcPr>
            <w:tcW w:w="349" w:type="pct"/>
            <w:tcBorders>
              <w:top w:val="single" w:sz="8" w:space="0" w:color="auto"/>
              <w:left w:val="nil"/>
              <w:bottom w:val="single" w:sz="8" w:space="0" w:color="auto"/>
              <w:right w:val="nil"/>
            </w:tcBorders>
            <w:shd w:val="clear" w:color="auto" w:fill="auto"/>
            <w:noWrap/>
            <w:vAlign w:val="center"/>
            <w:hideMark/>
          </w:tcPr>
          <w:p w:rsidR="00B5286B" w:rsidRPr="0059293D" w:rsidRDefault="00B5286B" w:rsidP="00E14669">
            <w:pPr>
              <w:spacing w:before="60" w:after="60"/>
              <w:jc w:val="center"/>
              <w:rPr>
                <w:b/>
                <w:bCs/>
                <w:szCs w:val="24"/>
              </w:rPr>
            </w:pPr>
            <w:r w:rsidRPr="0059293D">
              <w:rPr>
                <w:b/>
                <w:bCs/>
                <w:szCs w:val="24"/>
              </w:rPr>
              <w:t>2025</w:t>
            </w:r>
          </w:p>
        </w:tc>
        <w:tc>
          <w:tcPr>
            <w:tcW w:w="348" w:type="pct"/>
            <w:tcBorders>
              <w:top w:val="single" w:sz="8" w:space="0" w:color="auto"/>
              <w:left w:val="nil"/>
              <w:bottom w:val="single" w:sz="8" w:space="0" w:color="auto"/>
              <w:right w:val="nil"/>
            </w:tcBorders>
            <w:shd w:val="clear" w:color="auto" w:fill="auto"/>
            <w:noWrap/>
            <w:vAlign w:val="center"/>
            <w:hideMark/>
          </w:tcPr>
          <w:p w:rsidR="00B5286B" w:rsidRPr="0059293D" w:rsidRDefault="00B5286B" w:rsidP="00E14669">
            <w:pPr>
              <w:spacing w:before="60" w:after="60"/>
              <w:jc w:val="center"/>
              <w:rPr>
                <w:b/>
                <w:bCs/>
                <w:szCs w:val="24"/>
              </w:rPr>
            </w:pPr>
            <w:r w:rsidRPr="0059293D">
              <w:rPr>
                <w:b/>
                <w:bCs/>
                <w:szCs w:val="24"/>
              </w:rPr>
              <w:t>2026</w:t>
            </w:r>
          </w:p>
        </w:tc>
        <w:tc>
          <w:tcPr>
            <w:tcW w:w="340" w:type="pct"/>
            <w:tcBorders>
              <w:top w:val="single" w:sz="8" w:space="0" w:color="auto"/>
              <w:left w:val="nil"/>
              <w:bottom w:val="single" w:sz="8" w:space="0" w:color="auto"/>
              <w:right w:val="nil"/>
            </w:tcBorders>
            <w:shd w:val="clear" w:color="auto" w:fill="auto"/>
            <w:noWrap/>
            <w:vAlign w:val="center"/>
            <w:hideMark/>
          </w:tcPr>
          <w:p w:rsidR="00B5286B" w:rsidRPr="0059293D" w:rsidRDefault="00B5286B" w:rsidP="00E14669">
            <w:pPr>
              <w:spacing w:before="60" w:after="60"/>
              <w:jc w:val="center"/>
              <w:rPr>
                <w:b/>
                <w:bCs/>
                <w:szCs w:val="24"/>
              </w:rPr>
            </w:pPr>
            <w:r w:rsidRPr="0059293D">
              <w:rPr>
                <w:b/>
                <w:bCs/>
                <w:szCs w:val="24"/>
              </w:rPr>
              <w:t>2027</w:t>
            </w:r>
          </w:p>
        </w:tc>
        <w:tc>
          <w:tcPr>
            <w:tcW w:w="639" w:type="pct"/>
            <w:tcBorders>
              <w:top w:val="single" w:sz="8" w:space="0" w:color="auto"/>
              <w:left w:val="single" w:sz="4" w:space="0" w:color="auto"/>
              <w:bottom w:val="single" w:sz="8" w:space="0" w:color="auto"/>
              <w:right w:val="single" w:sz="8" w:space="0" w:color="auto"/>
            </w:tcBorders>
            <w:shd w:val="clear" w:color="auto" w:fill="auto"/>
            <w:vAlign w:val="center"/>
            <w:hideMark/>
          </w:tcPr>
          <w:p w:rsidR="00B5286B" w:rsidRPr="0059293D" w:rsidRDefault="00B5286B" w:rsidP="00E14669">
            <w:pPr>
              <w:spacing w:before="60" w:after="60"/>
              <w:jc w:val="center"/>
              <w:rPr>
                <w:b/>
                <w:bCs/>
                <w:szCs w:val="24"/>
              </w:rPr>
            </w:pPr>
            <w:r w:rsidRPr="0059293D">
              <w:rPr>
                <w:b/>
                <w:szCs w:val="24"/>
              </w:rPr>
              <w:t>Összesen</w:t>
            </w:r>
            <w:r w:rsidRPr="0059293D">
              <w:rPr>
                <w:b/>
                <w:bCs/>
                <w:szCs w:val="24"/>
              </w:rPr>
              <w:br/>
              <w:t>2021-2027</w:t>
            </w:r>
          </w:p>
        </w:tc>
      </w:tr>
      <w:tr w:rsidR="00B5286B" w:rsidRPr="0059293D" w:rsidTr="00E14669">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B5286B" w:rsidRPr="0059293D" w:rsidRDefault="00B5286B" w:rsidP="00E14669">
            <w:pPr>
              <w:spacing w:before="60" w:after="60"/>
              <w:rPr>
                <w:b/>
                <w:bCs/>
              </w:rPr>
            </w:pPr>
            <w:r w:rsidRPr="0059293D">
              <w:rPr>
                <w:b/>
                <w:bCs/>
              </w:rPr>
              <w:t>1.</w:t>
            </w:r>
            <w:r w:rsidRPr="0059293D">
              <w:rPr>
                <w:b/>
                <w:bCs/>
              </w:rPr>
              <w:tab/>
              <w:t>Egységes piac, innováció és digitális gazdaság</w:t>
            </w:r>
          </w:p>
        </w:tc>
        <w:tc>
          <w:tcPr>
            <w:tcW w:w="347"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19 712</w:t>
            </w:r>
          </w:p>
        </w:tc>
        <w:tc>
          <w:tcPr>
            <w:tcW w:w="35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20 211</w:t>
            </w:r>
          </w:p>
        </w:tc>
        <w:tc>
          <w:tcPr>
            <w:tcW w:w="35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19 678</w:t>
            </w:r>
          </w:p>
        </w:tc>
        <w:tc>
          <w:tcPr>
            <w:tcW w:w="35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19 178</w:t>
            </w:r>
          </w:p>
        </w:tc>
        <w:tc>
          <w:tcPr>
            <w:tcW w:w="349"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18 173</w:t>
            </w:r>
          </w:p>
        </w:tc>
        <w:tc>
          <w:tcPr>
            <w:tcW w:w="348"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18 120</w:t>
            </w:r>
          </w:p>
        </w:tc>
        <w:tc>
          <w:tcPr>
            <w:tcW w:w="34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17 565</w:t>
            </w:r>
          </w:p>
        </w:tc>
        <w:tc>
          <w:tcPr>
            <w:tcW w:w="639" w:type="pct"/>
            <w:tcBorders>
              <w:top w:val="nil"/>
              <w:left w:val="single" w:sz="4" w:space="0" w:color="auto"/>
              <w:bottom w:val="nil"/>
              <w:right w:val="single" w:sz="8" w:space="0" w:color="auto"/>
            </w:tcBorders>
            <w:shd w:val="clear" w:color="auto" w:fill="auto"/>
            <w:noWrap/>
            <w:vAlign w:val="center"/>
            <w:hideMark/>
          </w:tcPr>
          <w:p w:rsidR="00B5286B" w:rsidRPr="0059293D" w:rsidRDefault="00B5286B" w:rsidP="00E14669">
            <w:pPr>
              <w:spacing w:before="60" w:after="60"/>
              <w:jc w:val="right"/>
              <w:rPr>
                <w:b/>
                <w:bCs/>
              </w:rPr>
            </w:pPr>
            <w:r w:rsidRPr="0059293D">
              <w:rPr>
                <w:b/>
                <w:bCs/>
              </w:rPr>
              <w:t>132 637</w:t>
            </w:r>
          </w:p>
        </w:tc>
      </w:tr>
      <w:tr w:rsidR="00B5286B" w:rsidRPr="0059293D" w:rsidTr="00E14669">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B5286B" w:rsidRPr="0059293D" w:rsidRDefault="00B5286B" w:rsidP="00E14669">
            <w:pPr>
              <w:spacing w:before="60" w:after="60"/>
              <w:rPr>
                <w:b/>
                <w:bCs/>
              </w:rPr>
            </w:pPr>
            <w:r w:rsidRPr="0059293D">
              <w:rPr>
                <w:b/>
                <w:bCs/>
              </w:rPr>
              <w:t>2.</w:t>
            </w:r>
            <w:r w:rsidRPr="0059293D">
              <w:rPr>
                <w:b/>
                <w:bCs/>
              </w:rPr>
              <w:tab/>
            </w:r>
            <w:proofErr w:type="gramStart"/>
            <w:r w:rsidRPr="0059293D">
              <w:rPr>
                <w:b/>
                <w:bCs/>
              </w:rPr>
              <w:t>Kohézió</w:t>
            </w:r>
            <w:proofErr w:type="gramEnd"/>
            <w:r w:rsidRPr="0059293D">
              <w:rPr>
                <w:b/>
                <w:bCs/>
              </w:rPr>
              <w:t xml:space="preserve">, </w:t>
            </w:r>
            <w:proofErr w:type="spellStart"/>
            <w:r w:rsidRPr="0059293D">
              <w:rPr>
                <w:b/>
                <w:bCs/>
              </w:rPr>
              <w:t>reziliencia</w:t>
            </w:r>
            <w:proofErr w:type="spellEnd"/>
            <w:r w:rsidRPr="0059293D">
              <w:rPr>
                <w:b/>
                <w:bCs/>
              </w:rPr>
              <w:t xml:space="preserve"> és értékek</w:t>
            </w:r>
          </w:p>
        </w:tc>
        <w:tc>
          <w:tcPr>
            <w:tcW w:w="347"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5 996</w:t>
            </w:r>
          </w:p>
        </w:tc>
        <w:tc>
          <w:tcPr>
            <w:tcW w:w="35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62 642</w:t>
            </w:r>
          </w:p>
        </w:tc>
        <w:tc>
          <w:tcPr>
            <w:tcW w:w="35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63 525</w:t>
            </w:r>
          </w:p>
        </w:tc>
        <w:tc>
          <w:tcPr>
            <w:tcW w:w="35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65 079</w:t>
            </w:r>
          </w:p>
        </w:tc>
        <w:tc>
          <w:tcPr>
            <w:tcW w:w="349"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65 184</w:t>
            </w:r>
          </w:p>
        </w:tc>
        <w:tc>
          <w:tcPr>
            <w:tcW w:w="348"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56 675</w:t>
            </w:r>
          </w:p>
        </w:tc>
        <w:tc>
          <w:tcPr>
            <w:tcW w:w="34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58 680</w:t>
            </w:r>
          </w:p>
        </w:tc>
        <w:tc>
          <w:tcPr>
            <w:tcW w:w="639" w:type="pct"/>
            <w:tcBorders>
              <w:top w:val="nil"/>
              <w:left w:val="single" w:sz="4" w:space="0" w:color="auto"/>
              <w:bottom w:val="nil"/>
              <w:right w:val="single" w:sz="8" w:space="0" w:color="auto"/>
            </w:tcBorders>
            <w:shd w:val="clear" w:color="auto" w:fill="auto"/>
            <w:noWrap/>
            <w:vAlign w:val="center"/>
            <w:hideMark/>
          </w:tcPr>
          <w:p w:rsidR="00B5286B" w:rsidRPr="0059293D" w:rsidRDefault="00B5286B" w:rsidP="00E14669">
            <w:pPr>
              <w:spacing w:before="60" w:after="60"/>
              <w:jc w:val="right"/>
              <w:rPr>
                <w:b/>
                <w:bCs/>
              </w:rPr>
            </w:pPr>
            <w:r w:rsidRPr="0059293D">
              <w:rPr>
                <w:b/>
                <w:bCs/>
              </w:rPr>
              <w:t>377 781</w:t>
            </w:r>
          </w:p>
        </w:tc>
      </w:tr>
      <w:tr w:rsidR="00B5286B" w:rsidRPr="0059293D" w:rsidTr="00E14669">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B5286B" w:rsidRPr="0059293D" w:rsidRDefault="00B5286B" w:rsidP="00E14669">
            <w:pPr>
              <w:spacing w:before="60" w:after="60"/>
              <w:ind w:left="720"/>
            </w:pPr>
            <w:r w:rsidRPr="0059293D">
              <w:t>2a.</w:t>
            </w:r>
            <w:r w:rsidRPr="0059293D">
              <w:tab/>
              <w:t xml:space="preserve">Gazdasági, társadalmi és területi </w:t>
            </w:r>
            <w:proofErr w:type="gramStart"/>
            <w:r w:rsidRPr="0059293D">
              <w:t>kohézió</w:t>
            </w:r>
            <w:proofErr w:type="gramEnd"/>
          </w:p>
        </w:tc>
        <w:tc>
          <w:tcPr>
            <w:tcW w:w="347"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pPr>
            <w:r w:rsidRPr="0059293D">
              <w:t>1 666</w:t>
            </w:r>
          </w:p>
        </w:tc>
        <w:tc>
          <w:tcPr>
            <w:tcW w:w="35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pPr>
            <w:r w:rsidRPr="0059293D">
              <w:t>56 673</w:t>
            </w:r>
          </w:p>
        </w:tc>
        <w:tc>
          <w:tcPr>
            <w:tcW w:w="35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pPr>
            <w:r w:rsidRPr="0059293D">
              <w:t>57 005</w:t>
            </w:r>
          </w:p>
        </w:tc>
        <w:tc>
          <w:tcPr>
            <w:tcW w:w="35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pPr>
            <w:r w:rsidRPr="0059293D">
              <w:t>57 436</w:t>
            </w:r>
          </w:p>
        </w:tc>
        <w:tc>
          <w:tcPr>
            <w:tcW w:w="349"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pPr>
            <w:r w:rsidRPr="0059293D">
              <w:t>57 772</w:t>
            </w:r>
          </w:p>
        </w:tc>
        <w:tc>
          <w:tcPr>
            <w:tcW w:w="348"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pPr>
            <w:r w:rsidRPr="0059293D">
              <w:t>48 302</w:t>
            </w:r>
          </w:p>
        </w:tc>
        <w:tc>
          <w:tcPr>
            <w:tcW w:w="34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pPr>
            <w:r w:rsidRPr="0059293D">
              <w:t>48 937</w:t>
            </w:r>
          </w:p>
        </w:tc>
        <w:tc>
          <w:tcPr>
            <w:tcW w:w="639" w:type="pct"/>
            <w:tcBorders>
              <w:top w:val="nil"/>
              <w:left w:val="single" w:sz="4" w:space="0" w:color="auto"/>
              <w:bottom w:val="nil"/>
              <w:right w:val="single" w:sz="8" w:space="0" w:color="auto"/>
            </w:tcBorders>
            <w:shd w:val="clear" w:color="auto" w:fill="auto"/>
            <w:noWrap/>
            <w:vAlign w:val="center"/>
            <w:hideMark/>
          </w:tcPr>
          <w:p w:rsidR="00B5286B" w:rsidRPr="0059293D" w:rsidRDefault="00B5286B" w:rsidP="00E14669">
            <w:pPr>
              <w:spacing w:before="60" w:after="60"/>
              <w:jc w:val="right"/>
            </w:pPr>
            <w:r w:rsidRPr="0059293D">
              <w:t>327 791</w:t>
            </w:r>
          </w:p>
        </w:tc>
      </w:tr>
      <w:tr w:rsidR="00B5286B" w:rsidRPr="0059293D" w:rsidTr="00E14669">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B5286B" w:rsidRPr="0059293D" w:rsidRDefault="00B5286B" w:rsidP="00E14669">
            <w:pPr>
              <w:spacing w:before="60" w:after="60"/>
              <w:ind w:left="720"/>
            </w:pPr>
            <w:r w:rsidRPr="0059293D">
              <w:t>2b.</w:t>
            </w:r>
            <w:r w:rsidRPr="0059293D">
              <w:tab/>
            </w:r>
            <w:proofErr w:type="spellStart"/>
            <w:r w:rsidRPr="0059293D">
              <w:t>Reziliencia</w:t>
            </w:r>
            <w:proofErr w:type="spellEnd"/>
            <w:r w:rsidRPr="0059293D">
              <w:t xml:space="preserve"> és értékek</w:t>
            </w:r>
          </w:p>
        </w:tc>
        <w:tc>
          <w:tcPr>
            <w:tcW w:w="347"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pPr>
            <w:r w:rsidRPr="0059293D">
              <w:t>4 330</w:t>
            </w:r>
          </w:p>
        </w:tc>
        <w:tc>
          <w:tcPr>
            <w:tcW w:w="35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pPr>
            <w:r w:rsidRPr="0059293D">
              <w:t>5 969</w:t>
            </w:r>
          </w:p>
        </w:tc>
        <w:tc>
          <w:tcPr>
            <w:tcW w:w="35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pPr>
            <w:r w:rsidRPr="0059293D">
              <w:t>6 520</w:t>
            </w:r>
          </w:p>
        </w:tc>
        <w:tc>
          <w:tcPr>
            <w:tcW w:w="35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pPr>
            <w:r w:rsidRPr="0059293D">
              <w:t>7 643</w:t>
            </w:r>
          </w:p>
        </w:tc>
        <w:tc>
          <w:tcPr>
            <w:tcW w:w="349"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pPr>
            <w:r w:rsidRPr="0059293D">
              <w:t>7 412</w:t>
            </w:r>
          </w:p>
        </w:tc>
        <w:tc>
          <w:tcPr>
            <w:tcW w:w="348"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pPr>
            <w:r w:rsidRPr="0059293D">
              <w:t>8 373</w:t>
            </w:r>
          </w:p>
        </w:tc>
        <w:tc>
          <w:tcPr>
            <w:tcW w:w="34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pPr>
            <w:r w:rsidRPr="0059293D">
              <w:t>9 743</w:t>
            </w:r>
          </w:p>
        </w:tc>
        <w:tc>
          <w:tcPr>
            <w:tcW w:w="639" w:type="pct"/>
            <w:tcBorders>
              <w:top w:val="nil"/>
              <w:left w:val="single" w:sz="4" w:space="0" w:color="auto"/>
              <w:bottom w:val="nil"/>
              <w:right w:val="single" w:sz="8" w:space="0" w:color="auto"/>
            </w:tcBorders>
            <w:shd w:val="clear" w:color="auto" w:fill="auto"/>
            <w:noWrap/>
            <w:vAlign w:val="center"/>
            <w:hideMark/>
          </w:tcPr>
          <w:p w:rsidR="00B5286B" w:rsidRPr="0059293D" w:rsidRDefault="00B5286B" w:rsidP="00E14669">
            <w:pPr>
              <w:spacing w:before="60" w:after="60"/>
              <w:jc w:val="right"/>
            </w:pPr>
            <w:r w:rsidRPr="0059293D">
              <w:t>49 990</w:t>
            </w:r>
          </w:p>
        </w:tc>
      </w:tr>
      <w:tr w:rsidR="00B5286B" w:rsidRPr="0059293D" w:rsidTr="00E14669">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B5286B" w:rsidRPr="0059293D" w:rsidRDefault="00B5286B" w:rsidP="00E14669">
            <w:pPr>
              <w:spacing w:before="60" w:after="60"/>
              <w:rPr>
                <w:b/>
                <w:bCs/>
              </w:rPr>
            </w:pPr>
            <w:r w:rsidRPr="0059293D">
              <w:rPr>
                <w:b/>
                <w:bCs/>
              </w:rPr>
              <w:t>3.</w:t>
            </w:r>
            <w:r w:rsidRPr="0059293D">
              <w:rPr>
                <w:b/>
                <w:bCs/>
              </w:rPr>
              <w:tab/>
              <w:t>Természeti erőforrások és környezet</w:t>
            </w:r>
          </w:p>
        </w:tc>
        <w:tc>
          <w:tcPr>
            <w:tcW w:w="347"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53 562</w:t>
            </w:r>
          </w:p>
        </w:tc>
        <w:tc>
          <w:tcPr>
            <w:tcW w:w="35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52 626</w:t>
            </w:r>
          </w:p>
        </w:tc>
        <w:tc>
          <w:tcPr>
            <w:tcW w:w="35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51 893</w:t>
            </w:r>
          </w:p>
        </w:tc>
        <w:tc>
          <w:tcPr>
            <w:tcW w:w="35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51 013</w:t>
            </w:r>
          </w:p>
        </w:tc>
        <w:tc>
          <w:tcPr>
            <w:tcW w:w="349"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49 914</w:t>
            </w:r>
          </w:p>
        </w:tc>
        <w:tc>
          <w:tcPr>
            <w:tcW w:w="348"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48 734</w:t>
            </w:r>
          </w:p>
        </w:tc>
        <w:tc>
          <w:tcPr>
            <w:tcW w:w="34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47 960</w:t>
            </w:r>
          </w:p>
        </w:tc>
        <w:tc>
          <w:tcPr>
            <w:tcW w:w="639" w:type="pct"/>
            <w:tcBorders>
              <w:top w:val="nil"/>
              <w:left w:val="single" w:sz="4" w:space="0" w:color="auto"/>
              <w:bottom w:val="nil"/>
              <w:right w:val="single" w:sz="8" w:space="0" w:color="auto"/>
            </w:tcBorders>
            <w:shd w:val="clear" w:color="auto" w:fill="auto"/>
            <w:noWrap/>
            <w:vAlign w:val="center"/>
            <w:hideMark/>
          </w:tcPr>
          <w:p w:rsidR="00B5286B" w:rsidRPr="0059293D" w:rsidRDefault="00B5286B" w:rsidP="00E14669">
            <w:pPr>
              <w:spacing w:before="60" w:after="60"/>
              <w:jc w:val="right"/>
              <w:rPr>
                <w:b/>
                <w:bCs/>
              </w:rPr>
            </w:pPr>
            <w:r w:rsidRPr="0059293D">
              <w:rPr>
                <w:b/>
                <w:bCs/>
              </w:rPr>
              <w:t>355 702</w:t>
            </w:r>
          </w:p>
        </w:tc>
      </w:tr>
      <w:tr w:rsidR="00B5286B" w:rsidRPr="0059293D" w:rsidTr="00E14669">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B5286B" w:rsidRPr="0059293D" w:rsidRDefault="00B5286B" w:rsidP="00E14669">
            <w:pPr>
              <w:spacing w:before="60" w:after="60"/>
              <w:ind w:left="720"/>
            </w:pPr>
            <w:r w:rsidRPr="0059293D">
              <w:t>ebből: Piachoz kapcsolódó kiadások és közvetlen kifizetések</w:t>
            </w:r>
          </w:p>
        </w:tc>
        <w:tc>
          <w:tcPr>
            <w:tcW w:w="347"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pPr>
            <w:r w:rsidRPr="0059293D">
              <w:t>38 040</w:t>
            </w:r>
          </w:p>
        </w:tc>
        <w:tc>
          <w:tcPr>
            <w:tcW w:w="35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pPr>
            <w:r w:rsidRPr="0059293D">
              <w:t>37 544</w:t>
            </w:r>
          </w:p>
        </w:tc>
        <w:tc>
          <w:tcPr>
            <w:tcW w:w="35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pPr>
            <w:r w:rsidRPr="0059293D">
              <w:t>36 857</w:t>
            </w:r>
          </w:p>
        </w:tc>
        <w:tc>
          <w:tcPr>
            <w:tcW w:w="35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pPr>
            <w:r w:rsidRPr="0059293D">
              <w:t>36 054</w:t>
            </w:r>
          </w:p>
        </w:tc>
        <w:tc>
          <w:tcPr>
            <w:tcW w:w="349"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pPr>
            <w:r w:rsidRPr="0059293D">
              <w:t>35 283</w:t>
            </w:r>
          </w:p>
        </w:tc>
        <w:tc>
          <w:tcPr>
            <w:tcW w:w="348"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pPr>
            <w:r w:rsidRPr="0059293D">
              <w:t>34 602</w:t>
            </w:r>
          </w:p>
        </w:tc>
        <w:tc>
          <w:tcPr>
            <w:tcW w:w="34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pPr>
            <w:r w:rsidRPr="0059293D">
              <w:t>33 886</w:t>
            </w:r>
          </w:p>
        </w:tc>
        <w:tc>
          <w:tcPr>
            <w:tcW w:w="639" w:type="pct"/>
            <w:tcBorders>
              <w:top w:val="nil"/>
              <w:left w:val="single" w:sz="4" w:space="0" w:color="auto"/>
              <w:bottom w:val="nil"/>
              <w:right w:val="single" w:sz="8" w:space="0" w:color="auto"/>
            </w:tcBorders>
            <w:shd w:val="clear" w:color="auto" w:fill="auto"/>
            <w:noWrap/>
            <w:vAlign w:val="center"/>
            <w:hideMark/>
          </w:tcPr>
          <w:p w:rsidR="00B5286B" w:rsidRPr="0059293D" w:rsidRDefault="00B5286B" w:rsidP="00E14669">
            <w:pPr>
              <w:spacing w:before="60" w:after="60"/>
              <w:jc w:val="right"/>
            </w:pPr>
            <w:r w:rsidRPr="0059293D">
              <w:t>252 266</w:t>
            </w:r>
          </w:p>
        </w:tc>
      </w:tr>
      <w:tr w:rsidR="00B5286B" w:rsidRPr="0059293D" w:rsidTr="00E14669">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B5286B" w:rsidRPr="0059293D" w:rsidRDefault="00B5286B" w:rsidP="00E14669">
            <w:pPr>
              <w:pageBreakBefore/>
              <w:spacing w:before="60" w:after="60"/>
              <w:rPr>
                <w:b/>
                <w:bCs/>
              </w:rPr>
            </w:pPr>
            <w:r w:rsidRPr="0059293D">
              <w:rPr>
                <w:b/>
                <w:bCs/>
              </w:rPr>
              <w:lastRenderedPageBreak/>
              <w:t>4.</w:t>
            </w:r>
            <w:r w:rsidRPr="0059293D">
              <w:rPr>
                <w:b/>
                <w:bCs/>
              </w:rPr>
              <w:tab/>
            </w:r>
            <w:proofErr w:type="gramStart"/>
            <w:r w:rsidRPr="0059293D">
              <w:rPr>
                <w:b/>
                <w:bCs/>
              </w:rPr>
              <w:t>Migráció</w:t>
            </w:r>
            <w:proofErr w:type="gramEnd"/>
            <w:r w:rsidRPr="0059293D">
              <w:rPr>
                <w:b/>
                <w:bCs/>
              </w:rPr>
              <w:t xml:space="preserve"> és határigazgatás</w:t>
            </w:r>
          </w:p>
        </w:tc>
        <w:tc>
          <w:tcPr>
            <w:tcW w:w="347"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1 687</w:t>
            </w:r>
          </w:p>
        </w:tc>
        <w:tc>
          <w:tcPr>
            <w:tcW w:w="35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3 104</w:t>
            </w:r>
          </w:p>
        </w:tc>
        <w:tc>
          <w:tcPr>
            <w:tcW w:w="35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3 454</w:t>
            </w:r>
          </w:p>
        </w:tc>
        <w:tc>
          <w:tcPr>
            <w:tcW w:w="35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3 569</w:t>
            </w:r>
          </w:p>
        </w:tc>
        <w:tc>
          <w:tcPr>
            <w:tcW w:w="349"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4 083</w:t>
            </w:r>
          </w:p>
        </w:tc>
        <w:tc>
          <w:tcPr>
            <w:tcW w:w="348"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4 145</w:t>
            </w:r>
          </w:p>
        </w:tc>
        <w:tc>
          <w:tcPr>
            <w:tcW w:w="34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4 701</w:t>
            </w:r>
          </w:p>
        </w:tc>
        <w:tc>
          <w:tcPr>
            <w:tcW w:w="639" w:type="pct"/>
            <w:tcBorders>
              <w:top w:val="nil"/>
              <w:left w:val="single" w:sz="4" w:space="0" w:color="auto"/>
              <w:bottom w:val="nil"/>
              <w:right w:val="single" w:sz="8" w:space="0" w:color="auto"/>
            </w:tcBorders>
            <w:shd w:val="clear" w:color="auto" w:fill="auto"/>
            <w:noWrap/>
            <w:vAlign w:val="center"/>
            <w:hideMark/>
          </w:tcPr>
          <w:p w:rsidR="00B5286B" w:rsidRPr="0059293D" w:rsidRDefault="00B5286B" w:rsidP="00E14669">
            <w:pPr>
              <w:spacing w:before="60" w:after="60"/>
              <w:jc w:val="right"/>
              <w:rPr>
                <w:b/>
                <w:bCs/>
              </w:rPr>
            </w:pPr>
            <w:r w:rsidRPr="0059293D">
              <w:rPr>
                <w:b/>
                <w:bCs/>
              </w:rPr>
              <w:t>24 743</w:t>
            </w:r>
          </w:p>
        </w:tc>
      </w:tr>
      <w:tr w:rsidR="00B5286B" w:rsidRPr="0059293D" w:rsidTr="00E14669">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B5286B" w:rsidRPr="0059293D" w:rsidRDefault="00B5286B" w:rsidP="00E14669">
            <w:pPr>
              <w:spacing w:before="60" w:after="60"/>
              <w:rPr>
                <w:b/>
                <w:bCs/>
              </w:rPr>
            </w:pPr>
            <w:r w:rsidRPr="0059293D">
              <w:rPr>
                <w:b/>
                <w:bCs/>
              </w:rPr>
              <w:t>5.</w:t>
            </w:r>
            <w:r w:rsidRPr="0059293D">
              <w:rPr>
                <w:b/>
                <w:bCs/>
              </w:rPr>
              <w:tab/>
              <w:t>Biztonság és védelem</w:t>
            </w:r>
          </w:p>
        </w:tc>
        <w:tc>
          <w:tcPr>
            <w:tcW w:w="347"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1 598</w:t>
            </w:r>
          </w:p>
        </w:tc>
        <w:tc>
          <w:tcPr>
            <w:tcW w:w="35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1 750</w:t>
            </w:r>
          </w:p>
        </w:tc>
        <w:tc>
          <w:tcPr>
            <w:tcW w:w="35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1 762</w:t>
            </w:r>
          </w:p>
        </w:tc>
        <w:tc>
          <w:tcPr>
            <w:tcW w:w="35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2 112</w:t>
            </w:r>
          </w:p>
        </w:tc>
        <w:tc>
          <w:tcPr>
            <w:tcW w:w="349"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2 277</w:t>
            </w:r>
          </w:p>
        </w:tc>
        <w:tc>
          <w:tcPr>
            <w:tcW w:w="348"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2 398</w:t>
            </w:r>
          </w:p>
        </w:tc>
        <w:tc>
          <w:tcPr>
            <w:tcW w:w="34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2 576</w:t>
            </w:r>
          </w:p>
        </w:tc>
        <w:tc>
          <w:tcPr>
            <w:tcW w:w="639" w:type="pct"/>
            <w:tcBorders>
              <w:top w:val="nil"/>
              <w:left w:val="single" w:sz="4" w:space="0" w:color="auto"/>
              <w:bottom w:val="nil"/>
              <w:right w:val="single" w:sz="8" w:space="0" w:color="auto"/>
            </w:tcBorders>
            <w:shd w:val="clear" w:color="auto" w:fill="auto"/>
            <w:noWrap/>
            <w:vAlign w:val="center"/>
            <w:hideMark/>
          </w:tcPr>
          <w:p w:rsidR="00B5286B" w:rsidRPr="0059293D" w:rsidRDefault="00B5286B" w:rsidP="00E14669">
            <w:pPr>
              <w:spacing w:before="60" w:after="60"/>
              <w:jc w:val="right"/>
              <w:rPr>
                <w:b/>
                <w:bCs/>
              </w:rPr>
            </w:pPr>
            <w:r w:rsidRPr="0059293D">
              <w:rPr>
                <w:b/>
                <w:bCs/>
              </w:rPr>
              <w:t>14 473</w:t>
            </w:r>
          </w:p>
        </w:tc>
      </w:tr>
      <w:tr w:rsidR="00B5286B" w:rsidRPr="0059293D" w:rsidTr="00E14669">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B5286B" w:rsidRPr="0059293D" w:rsidRDefault="00B5286B" w:rsidP="00E14669">
            <w:pPr>
              <w:spacing w:before="60" w:after="60"/>
              <w:rPr>
                <w:b/>
                <w:bCs/>
              </w:rPr>
            </w:pPr>
            <w:r w:rsidRPr="0059293D">
              <w:rPr>
                <w:b/>
                <w:bCs/>
              </w:rPr>
              <w:t>6.</w:t>
            </w:r>
            <w:r w:rsidRPr="0059293D">
              <w:rPr>
                <w:b/>
                <w:bCs/>
              </w:rPr>
              <w:tab/>
              <w:t>Szomszédság és a világ</w:t>
            </w:r>
          </w:p>
        </w:tc>
        <w:tc>
          <w:tcPr>
            <w:tcW w:w="347"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15 309</w:t>
            </w:r>
          </w:p>
        </w:tc>
        <w:tc>
          <w:tcPr>
            <w:tcW w:w="35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15 522</w:t>
            </w:r>
          </w:p>
        </w:tc>
        <w:tc>
          <w:tcPr>
            <w:tcW w:w="35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14 789</w:t>
            </w:r>
          </w:p>
        </w:tc>
        <w:tc>
          <w:tcPr>
            <w:tcW w:w="35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14 500</w:t>
            </w:r>
          </w:p>
        </w:tc>
        <w:tc>
          <w:tcPr>
            <w:tcW w:w="349"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14 192</w:t>
            </w:r>
          </w:p>
        </w:tc>
        <w:tc>
          <w:tcPr>
            <w:tcW w:w="348"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13 326</w:t>
            </w:r>
          </w:p>
        </w:tc>
        <w:tc>
          <w:tcPr>
            <w:tcW w:w="34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13 447</w:t>
            </w:r>
          </w:p>
        </w:tc>
        <w:tc>
          <w:tcPr>
            <w:tcW w:w="639" w:type="pct"/>
            <w:tcBorders>
              <w:top w:val="nil"/>
              <w:left w:val="single" w:sz="4" w:space="0" w:color="auto"/>
              <w:bottom w:val="nil"/>
              <w:right w:val="single" w:sz="8" w:space="0" w:color="auto"/>
            </w:tcBorders>
            <w:shd w:val="clear" w:color="auto" w:fill="auto"/>
            <w:noWrap/>
            <w:vAlign w:val="center"/>
            <w:hideMark/>
          </w:tcPr>
          <w:p w:rsidR="00B5286B" w:rsidRPr="0059293D" w:rsidRDefault="00B5286B" w:rsidP="00E14669">
            <w:pPr>
              <w:spacing w:before="60" w:after="60"/>
              <w:jc w:val="right"/>
              <w:rPr>
                <w:b/>
                <w:bCs/>
              </w:rPr>
            </w:pPr>
            <w:r w:rsidRPr="0059293D">
              <w:rPr>
                <w:b/>
                <w:bCs/>
              </w:rPr>
              <w:t>101 085</w:t>
            </w:r>
          </w:p>
        </w:tc>
      </w:tr>
      <w:tr w:rsidR="00B5286B" w:rsidRPr="0059293D" w:rsidTr="00E14669">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B5286B" w:rsidRPr="0059293D" w:rsidRDefault="00B5286B" w:rsidP="00E14669">
            <w:pPr>
              <w:spacing w:before="60" w:after="60"/>
              <w:rPr>
                <w:b/>
                <w:bCs/>
              </w:rPr>
            </w:pPr>
            <w:r w:rsidRPr="0059293D">
              <w:rPr>
                <w:b/>
                <w:bCs/>
              </w:rPr>
              <w:t>7.</w:t>
            </w:r>
            <w:r w:rsidRPr="0059293D">
              <w:rPr>
                <w:b/>
                <w:bCs/>
              </w:rPr>
              <w:tab/>
              <w:t>Európai közigazgatás</w:t>
            </w:r>
          </w:p>
        </w:tc>
        <w:tc>
          <w:tcPr>
            <w:tcW w:w="347"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10 021</w:t>
            </w:r>
          </w:p>
        </w:tc>
        <w:tc>
          <w:tcPr>
            <w:tcW w:w="35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10 215</w:t>
            </w:r>
          </w:p>
        </w:tc>
        <w:tc>
          <w:tcPr>
            <w:tcW w:w="35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10 342</w:t>
            </w:r>
          </w:p>
        </w:tc>
        <w:tc>
          <w:tcPr>
            <w:tcW w:w="35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10 454</w:t>
            </w:r>
          </w:p>
        </w:tc>
        <w:tc>
          <w:tcPr>
            <w:tcW w:w="349"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10 554</w:t>
            </w:r>
          </w:p>
        </w:tc>
        <w:tc>
          <w:tcPr>
            <w:tcW w:w="348"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10 673</w:t>
            </w:r>
          </w:p>
        </w:tc>
        <w:tc>
          <w:tcPr>
            <w:tcW w:w="340" w:type="pct"/>
            <w:tcBorders>
              <w:top w:val="nil"/>
              <w:left w:val="nil"/>
              <w:bottom w:val="nil"/>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10 843</w:t>
            </w:r>
          </w:p>
        </w:tc>
        <w:tc>
          <w:tcPr>
            <w:tcW w:w="639" w:type="pct"/>
            <w:tcBorders>
              <w:top w:val="nil"/>
              <w:left w:val="single" w:sz="4" w:space="0" w:color="auto"/>
              <w:bottom w:val="nil"/>
              <w:right w:val="single" w:sz="8" w:space="0" w:color="auto"/>
            </w:tcBorders>
            <w:shd w:val="clear" w:color="auto" w:fill="auto"/>
            <w:noWrap/>
            <w:vAlign w:val="center"/>
            <w:hideMark/>
          </w:tcPr>
          <w:p w:rsidR="00B5286B" w:rsidRPr="0059293D" w:rsidRDefault="00B5286B" w:rsidP="00E14669">
            <w:pPr>
              <w:spacing w:before="60" w:after="60"/>
              <w:jc w:val="right"/>
              <w:rPr>
                <w:b/>
                <w:bCs/>
              </w:rPr>
            </w:pPr>
            <w:r w:rsidRPr="0059293D">
              <w:rPr>
                <w:b/>
                <w:bCs/>
              </w:rPr>
              <w:t>73 102</w:t>
            </w:r>
          </w:p>
        </w:tc>
      </w:tr>
      <w:tr w:rsidR="00B5286B" w:rsidRPr="0059293D" w:rsidTr="00E14669">
        <w:trPr>
          <w:trHeight w:val="315"/>
        </w:trPr>
        <w:tc>
          <w:tcPr>
            <w:tcW w:w="1927" w:type="pct"/>
            <w:tcBorders>
              <w:top w:val="nil"/>
              <w:left w:val="single" w:sz="8" w:space="0" w:color="auto"/>
              <w:bottom w:val="single" w:sz="8" w:space="0" w:color="auto"/>
              <w:right w:val="single" w:sz="4" w:space="0" w:color="auto"/>
            </w:tcBorders>
            <w:shd w:val="clear" w:color="auto" w:fill="auto"/>
            <w:noWrap/>
            <w:vAlign w:val="center"/>
            <w:hideMark/>
          </w:tcPr>
          <w:p w:rsidR="00B5286B" w:rsidRPr="0059293D" w:rsidRDefault="00B5286B" w:rsidP="00E14669">
            <w:pPr>
              <w:spacing w:before="60" w:after="60"/>
              <w:ind w:left="720"/>
            </w:pPr>
            <w:r w:rsidRPr="0059293D">
              <w:t>ebből: Az intézmények igazgatási kiadásai</w:t>
            </w:r>
          </w:p>
        </w:tc>
        <w:tc>
          <w:tcPr>
            <w:tcW w:w="347" w:type="pct"/>
            <w:tcBorders>
              <w:top w:val="nil"/>
              <w:left w:val="nil"/>
              <w:bottom w:val="single" w:sz="8" w:space="0" w:color="auto"/>
              <w:right w:val="nil"/>
            </w:tcBorders>
            <w:shd w:val="clear" w:color="auto" w:fill="auto"/>
            <w:noWrap/>
            <w:vAlign w:val="center"/>
            <w:hideMark/>
          </w:tcPr>
          <w:p w:rsidR="00B5286B" w:rsidRPr="0059293D" w:rsidRDefault="00B5286B" w:rsidP="00E14669">
            <w:pPr>
              <w:spacing w:before="60" w:after="60"/>
              <w:jc w:val="right"/>
            </w:pPr>
            <w:r w:rsidRPr="0059293D">
              <w:t>7 742</w:t>
            </w:r>
          </w:p>
        </w:tc>
        <w:tc>
          <w:tcPr>
            <w:tcW w:w="350" w:type="pct"/>
            <w:tcBorders>
              <w:top w:val="nil"/>
              <w:left w:val="nil"/>
              <w:bottom w:val="single" w:sz="8" w:space="0" w:color="auto"/>
              <w:right w:val="nil"/>
            </w:tcBorders>
            <w:shd w:val="clear" w:color="auto" w:fill="auto"/>
            <w:noWrap/>
            <w:vAlign w:val="center"/>
            <w:hideMark/>
          </w:tcPr>
          <w:p w:rsidR="00B5286B" w:rsidRPr="0059293D" w:rsidRDefault="00B5286B" w:rsidP="00E14669">
            <w:pPr>
              <w:spacing w:before="60" w:after="60"/>
              <w:jc w:val="right"/>
            </w:pPr>
            <w:r w:rsidRPr="0059293D">
              <w:t>7 878</w:t>
            </w:r>
          </w:p>
        </w:tc>
        <w:tc>
          <w:tcPr>
            <w:tcW w:w="350" w:type="pct"/>
            <w:tcBorders>
              <w:top w:val="nil"/>
              <w:left w:val="nil"/>
              <w:bottom w:val="single" w:sz="8" w:space="0" w:color="auto"/>
              <w:right w:val="nil"/>
            </w:tcBorders>
            <w:shd w:val="clear" w:color="auto" w:fill="auto"/>
            <w:noWrap/>
            <w:vAlign w:val="center"/>
            <w:hideMark/>
          </w:tcPr>
          <w:p w:rsidR="00B5286B" w:rsidRPr="0059293D" w:rsidRDefault="00B5286B" w:rsidP="00E14669">
            <w:pPr>
              <w:spacing w:before="60" w:after="60"/>
              <w:jc w:val="right"/>
            </w:pPr>
            <w:r w:rsidRPr="0059293D">
              <w:t>7 945</w:t>
            </w:r>
          </w:p>
        </w:tc>
        <w:tc>
          <w:tcPr>
            <w:tcW w:w="350" w:type="pct"/>
            <w:tcBorders>
              <w:top w:val="nil"/>
              <w:left w:val="nil"/>
              <w:bottom w:val="single" w:sz="8" w:space="0" w:color="auto"/>
              <w:right w:val="nil"/>
            </w:tcBorders>
            <w:shd w:val="clear" w:color="auto" w:fill="auto"/>
            <w:noWrap/>
            <w:vAlign w:val="center"/>
            <w:hideMark/>
          </w:tcPr>
          <w:p w:rsidR="00B5286B" w:rsidRPr="0059293D" w:rsidRDefault="00B5286B" w:rsidP="00E14669">
            <w:pPr>
              <w:spacing w:before="60" w:after="60"/>
              <w:jc w:val="right"/>
            </w:pPr>
            <w:r w:rsidRPr="0059293D">
              <w:t>7 997</w:t>
            </w:r>
          </w:p>
        </w:tc>
        <w:tc>
          <w:tcPr>
            <w:tcW w:w="349" w:type="pct"/>
            <w:tcBorders>
              <w:top w:val="nil"/>
              <w:left w:val="nil"/>
              <w:bottom w:val="single" w:sz="8" w:space="0" w:color="auto"/>
              <w:right w:val="nil"/>
            </w:tcBorders>
            <w:shd w:val="clear" w:color="auto" w:fill="auto"/>
            <w:noWrap/>
            <w:vAlign w:val="center"/>
            <w:hideMark/>
          </w:tcPr>
          <w:p w:rsidR="00B5286B" w:rsidRPr="0059293D" w:rsidRDefault="00B5286B" w:rsidP="00E14669">
            <w:pPr>
              <w:spacing w:before="60" w:after="60"/>
              <w:jc w:val="right"/>
            </w:pPr>
            <w:r w:rsidRPr="0059293D">
              <w:t>8 025</w:t>
            </w:r>
          </w:p>
        </w:tc>
        <w:tc>
          <w:tcPr>
            <w:tcW w:w="348" w:type="pct"/>
            <w:tcBorders>
              <w:top w:val="nil"/>
              <w:left w:val="nil"/>
              <w:bottom w:val="single" w:sz="8" w:space="0" w:color="auto"/>
              <w:right w:val="nil"/>
            </w:tcBorders>
            <w:shd w:val="clear" w:color="auto" w:fill="auto"/>
            <w:noWrap/>
            <w:vAlign w:val="center"/>
            <w:hideMark/>
          </w:tcPr>
          <w:p w:rsidR="00B5286B" w:rsidRPr="0059293D" w:rsidRDefault="00B5286B" w:rsidP="00E14669">
            <w:pPr>
              <w:spacing w:before="60" w:after="60"/>
              <w:jc w:val="right"/>
            </w:pPr>
            <w:r w:rsidRPr="0059293D">
              <w:t>8 077</w:t>
            </w:r>
          </w:p>
        </w:tc>
        <w:tc>
          <w:tcPr>
            <w:tcW w:w="340" w:type="pct"/>
            <w:tcBorders>
              <w:top w:val="nil"/>
              <w:left w:val="nil"/>
              <w:bottom w:val="single" w:sz="8" w:space="0" w:color="auto"/>
              <w:right w:val="nil"/>
            </w:tcBorders>
            <w:shd w:val="clear" w:color="auto" w:fill="auto"/>
            <w:noWrap/>
            <w:vAlign w:val="center"/>
            <w:hideMark/>
          </w:tcPr>
          <w:p w:rsidR="00B5286B" w:rsidRPr="0059293D" w:rsidRDefault="00B5286B" w:rsidP="00E14669">
            <w:pPr>
              <w:spacing w:before="60" w:after="60"/>
              <w:jc w:val="right"/>
            </w:pPr>
            <w:r w:rsidRPr="0059293D">
              <w:t>8 188</w:t>
            </w:r>
          </w:p>
        </w:tc>
        <w:tc>
          <w:tcPr>
            <w:tcW w:w="639" w:type="pct"/>
            <w:tcBorders>
              <w:top w:val="nil"/>
              <w:left w:val="single" w:sz="4" w:space="0" w:color="auto"/>
              <w:bottom w:val="single" w:sz="8" w:space="0" w:color="auto"/>
              <w:right w:val="single" w:sz="8" w:space="0" w:color="auto"/>
            </w:tcBorders>
            <w:shd w:val="clear" w:color="auto" w:fill="auto"/>
            <w:noWrap/>
            <w:vAlign w:val="center"/>
            <w:hideMark/>
          </w:tcPr>
          <w:p w:rsidR="00B5286B" w:rsidRPr="0059293D" w:rsidRDefault="00B5286B" w:rsidP="00E14669">
            <w:pPr>
              <w:spacing w:before="60" w:after="60"/>
              <w:jc w:val="right"/>
            </w:pPr>
            <w:r w:rsidRPr="0059293D">
              <w:t>55 852</w:t>
            </w:r>
          </w:p>
        </w:tc>
      </w:tr>
      <w:tr w:rsidR="00B5286B" w:rsidRPr="0059293D" w:rsidTr="00E14669">
        <w:trPr>
          <w:trHeight w:val="315"/>
        </w:trPr>
        <w:tc>
          <w:tcPr>
            <w:tcW w:w="1927" w:type="pct"/>
            <w:tcBorders>
              <w:top w:val="nil"/>
              <w:left w:val="single" w:sz="8" w:space="0" w:color="auto"/>
              <w:bottom w:val="single" w:sz="8" w:space="0" w:color="auto"/>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KÖTELEZETTSÉGVÁLLALÁSI ELŐIRÁNYZATOK ÖSSZESEN</w:t>
            </w:r>
          </w:p>
        </w:tc>
        <w:tc>
          <w:tcPr>
            <w:tcW w:w="347" w:type="pct"/>
            <w:tcBorders>
              <w:top w:val="nil"/>
              <w:left w:val="single" w:sz="4" w:space="0" w:color="auto"/>
              <w:bottom w:val="single" w:sz="8" w:space="0" w:color="auto"/>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107 885</w:t>
            </w:r>
          </w:p>
        </w:tc>
        <w:tc>
          <w:tcPr>
            <w:tcW w:w="350" w:type="pct"/>
            <w:tcBorders>
              <w:top w:val="nil"/>
              <w:left w:val="nil"/>
              <w:bottom w:val="single" w:sz="8" w:space="0" w:color="auto"/>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166 070</w:t>
            </w:r>
          </w:p>
        </w:tc>
        <w:tc>
          <w:tcPr>
            <w:tcW w:w="350" w:type="pct"/>
            <w:tcBorders>
              <w:top w:val="nil"/>
              <w:left w:val="nil"/>
              <w:bottom w:val="single" w:sz="8" w:space="0" w:color="auto"/>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165 443</w:t>
            </w:r>
          </w:p>
        </w:tc>
        <w:tc>
          <w:tcPr>
            <w:tcW w:w="350" w:type="pct"/>
            <w:tcBorders>
              <w:top w:val="nil"/>
              <w:left w:val="nil"/>
              <w:bottom w:val="single" w:sz="8" w:space="0" w:color="auto"/>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165 905</w:t>
            </w:r>
          </w:p>
        </w:tc>
        <w:tc>
          <w:tcPr>
            <w:tcW w:w="349" w:type="pct"/>
            <w:tcBorders>
              <w:top w:val="nil"/>
              <w:left w:val="nil"/>
              <w:bottom w:val="single" w:sz="8" w:space="0" w:color="auto"/>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164 377</w:t>
            </w:r>
          </w:p>
        </w:tc>
        <w:tc>
          <w:tcPr>
            <w:tcW w:w="348" w:type="pct"/>
            <w:tcBorders>
              <w:top w:val="nil"/>
              <w:left w:val="nil"/>
              <w:bottom w:val="single" w:sz="8" w:space="0" w:color="auto"/>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154 071</w:t>
            </w:r>
          </w:p>
        </w:tc>
        <w:tc>
          <w:tcPr>
            <w:tcW w:w="340" w:type="pct"/>
            <w:tcBorders>
              <w:top w:val="nil"/>
              <w:left w:val="nil"/>
              <w:bottom w:val="single" w:sz="8" w:space="0" w:color="auto"/>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155 772</w:t>
            </w:r>
          </w:p>
        </w:tc>
        <w:tc>
          <w:tcPr>
            <w:tcW w:w="639" w:type="pct"/>
            <w:tcBorders>
              <w:top w:val="nil"/>
              <w:left w:val="single" w:sz="4" w:space="0" w:color="auto"/>
              <w:bottom w:val="single" w:sz="8" w:space="0" w:color="auto"/>
              <w:right w:val="single" w:sz="8" w:space="0" w:color="auto"/>
            </w:tcBorders>
            <w:shd w:val="clear" w:color="auto" w:fill="auto"/>
            <w:noWrap/>
            <w:vAlign w:val="center"/>
            <w:hideMark/>
          </w:tcPr>
          <w:p w:rsidR="00B5286B" w:rsidRPr="0059293D" w:rsidRDefault="00B5286B" w:rsidP="00E14669">
            <w:pPr>
              <w:spacing w:before="60" w:after="60"/>
              <w:jc w:val="right"/>
              <w:rPr>
                <w:b/>
                <w:bCs/>
              </w:rPr>
            </w:pPr>
            <w:r w:rsidRPr="0059293D">
              <w:rPr>
                <w:b/>
                <w:bCs/>
              </w:rPr>
              <w:t>1 079 523</w:t>
            </w:r>
          </w:p>
        </w:tc>
      </w:tr>
      <w:tr w:rsidR="00B5286B" w:rsidRPr="0059293D" w:rsidTr="00E14669">
        <w:trPr>
          <w:trHeight w:val="315"/>
        </w:trPr>
        <w:tc>
          <w:tcPr>
            <w:tcW w:w="1927" w:type="pct"/>
            <w:tcBorders>
              <w:top w:val="single" w:sz="8" w:space="0" w:color="auto"/>
              <w:bottom w:val="single" w:sz="8" w:space="0" w:color="auto"/>
            </w:tcBorders>
            <w:shd w:val="clear" w:color="auto" w:fill="auto"/>
            <w:noWrap/>
            <w:vAlign w:val="center"/>
          </w:tcPr>
          <w:p w:rsidR="00B5286B" w:rsidRPr="0059293D" w:rsidRDefault="00B5286B" w:rsidP="00E14669">
            <w:pPr>
              <w:spacing w:before="60" w:after="60"/>
            </w:pPr>
          </w:p>
        </w:tc>
        <w:tc>
          <w:tcPr>
            <w:tcW w:w="347" w:type="pct"/>
            <w:tcBorders>
              <w:top w:val="single" w:sz="8" w:space="0" w:color="auto"/>
              <w:bottom w:val="single" w:sz="8" w:space="0" w:color="auto"/>
            </w:tcBorders>
            <w:shd w:val="clear" w:color="auto" w:fill="auto"/>
            <w:noWrap/>
            <w:vAlign w:val="center"/>
          </w:tcPr>
          <w:p w:rsidR="00B5286B" w:rsidRPr="0059293D" w:rsidRDefault="00B5286B" w:rsidP="00E14669">
            <w:pPr>
              <w:spacing w:before="60" w:after="60"/>
              <w:jc w:val="right"/>
            </w:pPr>
          </w:p>
        </w:tc>
        <w:tc>
          <w:tcPr>
            <w:tcW w:w="350" w:type="pct"/>
            <w:tcBorders>
              <w:top w:val="single" w:sz="8" w:space="0" w:color="auto"/>
              <w:bottom w:val="single" w:sz="8" w:space="0" w:color="auto"/>
            </w:tcBorders>
            <w:shd w:val="clear" w:color="auto" w:fill="auto"/>
            <w:noWrap/>
            <w:vAlign w:val="center"/>
          </w:tcPr>
          <w:p w:rsidR="00B5286B" w:rsidRPr="0059293D" w:rsidRDefault="00B5286B" w:rsidP="00E14669">
            <w:pPr>
              <w:spacing w:before="60" w:after="60"/>
              <w:jc w:val="right"/>
            </w:pPr>
          </w:p>
        </w:tc>
        <w:tc>
          <w:tcPr>
            <w:tcW w:w="350" w:type="pct"/>
            <w:tcBorders>
              <w:top w:val="single" w:sz="8" w:space="0" w:color="auto"/>
              <w:bottom w:val="single" w:sz="8" w:space="0" w:color="auto"/>
            </w:tcBorders>
            <w:shd w:val="clear" w:color="auto" w:fill="auto"/>
            <w:noWrap/>
            <w:vAlign w:val="center"/>
          </w:tcPr>
          <w:p w:rsidR="00B5286B" w:rsidRPr="0059293D" w:rsidRDefault="00B5286B" w:rsidP="00E14669">
            <w:pPr>
              <w:spacing w:before="60" w:after="60"/>
              <w:jc w:val="right"/>
            </w:pPr>
          </w:p>
        </w:tc>
        <w:tc>
          <w:tcPr>
            <w:tcW w:w="350" w:type="pct"/>
            <w:tcBorders>
              <w:top w:val="single" w:sz="8" w:space="0" w:color="auto"/>
              <w:bottom w:val="single" w:sz="8" w:space="0" w:color="auto"/>
            </w:tcBorders>
            <w:shd w:val="clear" w:color="auto" w:fill="auto"/>
            <w:noWrap/>
            <w:vAlign w:val="center"/>
          </w:tcPr>
          <w:p w:rsidR="00B5286B" w:rsidRPr="0059293D" w:rsidRDefault="00B5286B" w:rsidP="00E14669">
            <w:pPr>
              <w:spacing w:before="60" w:after="60"/>
              <w:jc w:val="right"/>
            </w:pPr>
          </w:p>
        </w:tc>
        <w:tc>
          <w:tcPr>
            <w:tcW w:w="349" w:type="pct"/>
            <w:tcBorders>
              <w:top w:val="single" w:sz="8" w:space="0" w:color="auto"/>
              <w:bottom w:val="single" w:sz="8" w:space="0" w:color="auto"/>
            </w:tcBorders>
            <w:shd w:val="clear" w:color="auto" w:fill="auto"/>
            <w:noWrap/>
            <w:vAlign w:val="center"/>
          </w:tcPr>
          <w:p w:rsidR="00B5286B" w:rsidRPr="0059293D" w:rsidRDefault="00B5286B" w:rsidP="00E14669">
            <w:pPr>
              <w:spacing w:before="60" w:after="60"/>
              <w:jc w:val="right"/>
            </w:pPr>
          </w:p>
        </w:tc>
        <w:tc>
          <w:tcPr>
            <w:tcW w:w="348" w:type="pct"/>
            <w:tcBorders>
              <w:top w:val="single" w:sz="8" w:space="0" w:color="auto"/>
              <w:bottom w:val="single" w:sz="8" w:space="0" w:color="auto"/>
            </w:tcBorders>
            <w:shd w:val="clear" w:color="auto" w:fill="auto"/>
            <w:noWrap/>
            <w:vAlign w:val="center"/>
          </w:tcPr>
          <w:p w:rsidR="00B5286B" w:rsidRPr="0059293D" w:rsidRDefault="00B5286B" w:rsidP="00E14669">
            <w:pPr>
              <w:spacing w:before="60" w:after="60"/>
              <w:jc w:val="right"/>
            </w:pPr>
          </w:p>
        </w:tc>
        <w:tc>
          <w:tcPr>
            <w:tcW w:w="340" w:type="pct"/>
            <w:tcBorders>
              <w:top w:val="single" w:sz="8" w:space="0" w:color="auto"/>
              <w:bottom w:val="single" w:sz="8" w:space="0" w:color="auto"/>
            </w:tcBorders>
            <w:shd w:val="clear" w:color="auto" w:fill="auto"/>
            <w:noWrap/>
            <w:vAlign w:val="center"/>
          </w:tcPr>
          <w:p w:rsidR="00B5286B" w:rsidRPr="0059293D" w:rsidRDefault="00B5286B" w:rsidP="00E14669">
            <w:pPr>
              <w:spacing w:before="60" w:after="60"/>
              <w:jc w:val="right"/>
            </w:pPr>
          </w:p>
        </w:tc>
        <w:tc>
          <w:tcPr>
            <w:tcW w:w="639" w:type="pct"/>
            <w:tcBorders>
              <w:top w:val="single" w:sz="8" w:space="0" w:color="auto"/>
              <w:bottom w:val="single" w:sz="8" w:space="0" w:color="auto"/>
            </w:tcBorders>
            <w:shd w:val="clear" w:color="auto" w:fill="auto"/>
            <w:noWrap/>
            <w:vAlign w:val="center"/>
          </w:tcPr>
          <w:p w:rsidR="00B5286B" w:rsidRPr="0059293D" w:rsidRDefault="00B5286B" w:rsidP="00E14669">
            <w:pPr>
              <w:spacing w:before="60" w:after="60"/>
              <w:jc w:val="right"/>
            </w:pPr>
          </w:p>
        </w:tc>
      </w:tr>
      <w:tr w:rsidR="00B5286B" w:rsidRPr="0059293D" w:rsidTr="00E14669">
        <w:trPr>
          <w:trHeight w:val="315"/>
        </w:trPr>
        <w:tc>
          <w:tcPr>
            <w:tcW w:w="1927" w:type="pct"/>
            <w:tcBorders>
              <w:top w:val="single" w:sz="8" w:space="0" w:color="auto"/>
              <w:left w:val="single" w:sz="8" w:space="0" w:color="auto"/>
              <w:bottom w:val="single" w:sz="8" w:space="0" w:color="auto"/>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KIFIZETÉSI ELŐIRÁNYZATOK ÖSSZESEN</w:t>
            </w:r>
          </w:p>
        </w:tc>
        <w:tc>
          <w:tcPr>
            <w:tcW w:w="347" w:type="pct"/>
            <w:tcBorders>
              <w:top w:val="single" w:sz="8" w:space="0" w:color="auto"/>
              <w:left w:val="single" w:sz="4" w:space="0" w:color="auto"/>
              <w:bottom w:val="single" w:sz="8" w:space="0" w:color="auto"/>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154 065</w:t>
            </w:r>
          </w:p>
        </w:tc>
        <w:tc>
          <w:tcPr>
            <w:tcW w:w="350" w:type="pct"/>
            <w:tcBorders>
              <w:top w:val="single" w:sz="8" w:space="0" w:color="auto"/>
              <w:left w:val="nil"/>
              <w:bottom w:val="single" w:sz="8" w:space="0" w:color="auto"/>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153 850</w:t>
            </w:r>
          </w:p>
        </w:tc>
        <w:tc>
          <w:tcPr>
            <w:tcW w:w="350" w:type="pct"/>
            <w:tcBorders>
              <w:top w:val="single" w:sz="8" w:space="0" w:color="auto"/>
              <w:left w:val="nil"/>
              <w:bottom w:val="single" w:sz="8" w:space="0" w:color="auto"/>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152 682</w:t>
            </w:r>
          </w:p>
        </w:tc>
        <w:tc>
          <w:tcPr>
            <w:tcW w:w="350" w:type="pct"/>
            <w:tcBorders>
              <w:top w:val="single" w:sz="8" w:space="0" w:color="auto"/>
              <w:left w:val="nil"/>
              <w:bottom w:val="single" w:sz="8" w:space="0" w:color="auto"/>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151 436</w:t>
            </w:r>
          </w:p>
        </w:tc>
        <w:tc>
          <w:tcPr>
            <w:tcW w:w="349" w:type="pct"/>
            <w:tcBorders>
              <w:top w:val="single" w:sz="8" w:space="0" w:color="auto"/>
              <w:left w:val="nil"/>
              <w:bottom w:val="single" w:sz="8" w:space="0" w:color="auto"/>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151 175</w:t>
            </w:r>
          </w:p>
        </w:tc>
        <w:tc>
          <w:tcPr>
            <w:tcW w:w="348" w:type="pct"/>
            <w:tcBorders>
              <w:top w:val="single" w:sz="8" w:space="0" w:color="auto"/>
              <w:left w:val="nil"/>
              <w:bottom w:val="single" w:sz="8" w:space="0" w:color="auto"/>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151 175</w:t>
            </w:r>
          </w:p>
        </w:tc>
        <w:tc>
          <w:tcPr>
            <w:tcW w:w="340" w:type="pct"/>
            <w:tcBorders>
              <w:top w:val="single" w:sz="8" w:space="0" w:color="auto"/>
              <w:left w:val="nil"/>
              <w:bottom w:val="single" w:sz="8" w:space="0" w:color="auto"/>
              <w:right w:val="nil"/>
            </w:tcBorders>
            <w:shd w:val="clear" w:color="auto" w:fill="auto"/>
            <w:noWrap/>
            <w:vAlign w:val="center"/>
            <w:hideMark/>
          </w:tcPr>
          <w:p w:rsidR="00B5286B" w:rsidRPr="0059293D" w:rsidRDefault="00B5286B" w:rsidP="00E14669">
            <w:pPr>
              <w:spacing w:before="60" w:after="60"/>
              <w:jc w:val="right"/>
              <w:rPr>
                <w:b/>
                <w:bCs/>
              </w:rPr>
            </w:pPr>
            <w:r w:rsidRPr="0059293D">
              <w:rPr>
                <w:b/>
                <w:bCs/>
              </w:rPr>
              <w:t>151 175</w:t>
            </w:r>
          </w:p>
        </w:tc>
        <w:tc>
          <w:tcPr>
            <w:tcW w:w="639" w:type="pct"/>
            <w:tcBorders>
              <w:top w:val="single" w:sz="8" w:space="0" w:color="auto"/>
              <w:left w:val="single" w:sz="4" w:space="0" w:color="auto"/>
              <w:bottom w:val="single" w:sz="8" w:space="0" w:color="auto"/>
              <w:right w:val="single" w:sz="8" w:space="0" w:color="auto"/>
            </w:tcBorders>
            <w:shd w:val="clear" w:color="auto" w:fill="auto"/>
            <w:noWrap/>
            <w:vAlign w:val="center"/>
            <w:hideMark/>
          </w:tcPr>
          <w:p w:rsidR="00B5286B" w:rsidRPr="0059293D" w:rsidRDefault="00B5286B" w:rsidP="00E14669">
            <w:pPr>
              <w:spacing w:before="60" w:after="60"/>
              <w:jc w:val="right"/>
              <w:rPr>
                <w:b/>
                <w:bCs/>
              </w:rPr>
            </w:pPr>
            <w:r w:rsidRPr="0059293D">
              <w:rPr>
                <w:b/>
                <w:bCs/>
              </w:rPr>
              <w:t>1 065 558</w:t>
            </w:r>
          </w:p>
        </w:tc>
      </w:tr>
    </w:tbl>
    <w:p w:rsidR="004437B1" w:rsidRPr="0059293D" w:rsidRDefault="00B5286B" w:rsidP="00B5286B">
      <w:pPr>
        <w:pStyle w:val="NormalCentered"/>
      </w:pPr>
      <w:r w:rsidRPr="0059293D">
        <w:br w:type="page"/>
      </w:r>
      <w:r w:rsidRPr="0059293D">
        <w:lastRenderedPageBreak/>
        <w:t>II. MELLÉKLET</w:t>
      </w:r>
    </w:p>
    <w:p w:rsidR="00B5286B" w:rsidRPr="0059293D" w:rsidRDefault="00B5286B" w:rsidP="00B5286B">
      <w:pPr>
        <w:pStyle w:val="NormalCentered"/>
      </w:pPr>
      <w:r w:rsidRPr="0059293D">
        <w:t xml:space="preserve">PROGRAMSPECIFIKUS KIIGAZÍTÁS – </w:t>
      </w:r>
      <w:proofErr w:type="gramStart"/>
      <w:r w:rsidRPr="0059293D">
        <w:t>A</w:t>
      </w:r>
      <w:proofErr w:type="gramEnd"/>
      <w:r w:rsidRPr="0059293D">
        <w:t xml:space="preserve"> PROGRAMOK FELSOROLÁSA, ELOSZTÁSI KULCS ÉS A KÖTELEZETTSÉGVÁLLALÁSI ELŐIRÁNYZATOKRA VONATKOZÓ KIEGÉSZÍTŐ ALLOKÁCIÓ TELJES ÖSSZEG</w:t>
      </w:r>
      <w:r w:rsidR="008D7960" w:rsidRPr="0059293D">
        <w:t>E</w:t>
      </w:r>
    </w:p>
    <w:tbl>
      <w:tblPr>
        <w:tblW w:w="5000" w:type="pct"/>
        <w:tblLook w:val="04A0" w:firstRow="1" w:lastRow="0" w:firstColumn="1" w:lastColumn="0" w:noHBand="0" w:noVBand="1"/>
      </w:tblPr>
      <w:tblGrid>
        <w:gridCol w:w="5707"/>
        <w:gridCol w:w="2150"/>
        <w:gridCol w:w="2287"/>
        <w:gridCol w:w="4142"/>
      </w:tblGrid>
      <w:tr w:rsidR="00B5286B" w:rsidRPr="0059293D" w:rsidTr="00E14669">
        <w:trPr>
          <w:trHeight w:val="20"/>
        </w:trPr>
        <w:tc>
          <w:tcPr>
            <w:tcW w:w="1930" w:type="pct"/>
            <w:tcBorders>
              <w:bottom w:val="single" w:sz="8" w:space="0" w:color="auto"/>
            </w:tcBorders>
            <w:noWrap/>
            <w:hideMark/>
          </w:tcPr>
          <w:p w:rsidR="00B5286B" w:rsidRPr="0059293D" w:rsidRDefault="00B5286B" w:rsidP="00E14669">
            <w:pPr>
              <w:spacing w:before="60" w:after="60"/>
            </w:pPr>
          </w:p>
        </w:tc>
        <w:tc>
          <w:tcPr>
            <w:tcW w:w="775" w:type="pct"/>
            <w:tcBorders>
              <w:bottom w:val="single" w:sz="8" w:space="0" w:color="auto"/>
            </w:tcBorders>
            <w:noWrap/>
            <w:hideMark/>
          </w:tcPr>
          <w:p w:rsidR="00B5286B" w:rsidRPr="0059293D" w:rsidRDefault="00B5286B" w:rsidP="00E14669">
            <w:pPr>
              <w:spacing w:before="60" w:after="60"/>
            </w:pPr>
          </w:p>
        </w:tc>
        <w:tc>
          <w:tcPr>
            <w:tcW w:w="823" w:type="pct"/>
            <w:tcBorders>
              <w:bottom w:val="single" w:sz="8" w:space="0" w:color="auto"/>
            </w:tcBorders>
          </w:tcPr>
          <w:p w:rsidR="00B5286B" w:rsidRPr="0059293D" w:rsidRDefault="00B5286B" w:rsidP="00E14669">
            <w:pPr>
              <w:spacing w:before="60" w:after="60"/>
              <w:jc w:val="right"/>
            </w:pPr>
          </w:p>
        </w:tc>
        <w:tc>
          <w:tcPr>
            <w:tcW w:w="1472" w:type="pct"/>
            <w:tcBorders>
              <w:bottom w:val="single" w:sz="8" w:space="0" w:color="auto"/>
            </w:tcBorders>
            <w:noWrap/>
            <w:hideMark/>
          </w:tcPr>
          <w:p w:rsidR="00B5286B" w:rsidRPr="0059293D" w:rsidRDefault="00B5286B" w:rsidP="00E14669">
            <w:pPr>
              <w:spacing w:before="60" w:after="60"/>
              <w:jc w:val="right"/>
              <w:rPr>
                <w:i/>
                <w:iCs/>
              </w:rPr>
            </w:pPr>
            <w:r w:rsidRPr="0059293D">
              <w:rPr>
                <w:i/>
                <w:iCs/>
              </w:rPr>
              <w:t>(millió EUR – 2018-as árakon)</w:t>
            </w:r>
          </w:p>
        </w:tc>
      </w:tr>
      <w:tr w:rsidR="00B5286B" w:rsidRPr="0059293D" w:rsidTr="00E14669">
        <w:trPr>
          <w:trHeight w:val="20"/>
        </w:trPr>
        <w:tc>
          <w:tcPr>
            <w:tcW w:w="1930" w:type="pct"/>
            <w:tcBorders>
              <w:top w:val="single" w:sz="8" w:space="0" w:color="auto"/>
              <w:bottom w:val="single" w:sz="8" w:space="0" w:color="auto"/>
            </w:tcBorders>
            <w:noWrap/>
            <w:hideMark/>
          </w:tcPr>
          <w:p w:rsidR="00B5286B" w:rsidRPr="0059293D" w:rsidRDefault="00B5286B" w:rsidP="00E14669">
            <w:pPr>
              <w:spacing w:before="60" w:after="60"/>
              <w:jc w:val="center"/>
            </w:pPr>
          </w:p>
        </w:tc>
        <w:tc>
          <w:tcPr>
            <w:tcW w:w="1598" w:type="pct"/>
            <w:gridSpan w:val="2"/>
            <w:tcBorders>
              <w:top w:val="single" w:sz="4" w:space="0" w:color="auto"/>
              <w:bottom w:val="single" w:sz="8" w:space="0" w:color="auto"/>
            </w:tcBorders>
            <w:noWrap/>
            <w:hideMark/>
          </w:tcPr>
          <w:p w:rsidR="00B5286B" w:rsidRPr="0059293D" w:rsidRDefault="00B5286B" w:rsidP="00E14669">
            <w:pPr>
              <w:spacing w:before="60" w:after="60"/>
              <w:jc w:val="center"/>
            </w:pPr>
            <w:r w:rsidRPr="0059293D">
              <w:t>Elosztási kulcs</w:t>
            </w:r>
          </w:p>
        </w:tc>
        <w:tc>
          <w:tcPr>
            <w:tcW w:w="1472" w:type="pct"/>
            <w:tcBorders>
              <w:top w:val="single" w:sz="8" w:space="0" w:color="auto"/>
              <w:bottom w:val="single" w:sz="8" w:space="0" w:color="auto"/>
            </w:tcBorders>
            <w:hideMark/>
          </w:tcPr>
          <w:p w:rsidR="00B5286B" w:rsidRPr="0059293D" w:rsidRDefault="00B5286B" w:rsidP="00E14669">
            <w:pPr>
              <w:spacing w:before="60" w:after="60"/>
              <w:jc w:val="center"/>
            </w:pPr>
            <w:r w:rsidRPr="0059293D">
              <w:t xml:space="preserve">Az 5. cikk szerinti, a kötelezettségvállalási előirányzatokra vonatkozó kiegészítő </w:t>
            </w:r>
            <w:proofErr w:type="gramStart"/>
            <w:r w:rsidRPr="0059293D">
              <w:t>allokáció</w:t>
            </w:r>
            <w:proofErr w:type="gramEnd"/>
            <w:r w:rsidRPr="0059293D">
              <w:t xml:space="preserve"> teljes összege</w:t>
            </w:r>
          </w:p>
        </w:tc>
      </w:tr>
      <w:tr w:rsidR="00B5286B" w:rsidRPr="0059293D" w:rsidTr="00E14669">
        <w:trPr>
          <w:trHeight w:val="20"/>
        </w:trPr>
        <w:tc>
          <w:tcPr>
            <w:tcW w:w="1930" w:type="pct"/>
            <w:tcBorders>
              <w:top w:val="single" w:sz="8" w:space="0" w:color="auto"/>
            </w:tcBorders>
            <w:noWrap/>
          </w:tcPr>
          <w:p w:rsidR="00B5286B" w:rsidRPr="0059293D" w:rsidRDefault="00B5286B" w:rsidP="00E14669">
            <w:pPr>
              <w:spacing w:before="60" w:after="60"/>
              <w:jc w:val="center"/>
            </w:pPr>
          </w:p>
        </w:tc>
        <w:tc>
          <w:tcPr>
            <w:tcW w:w="775" w:type="pct"/>
            <w:tcBorders>
              <w:top w:val="single" w:sz="8" w:space="0" w:color="auto"/>
            </w:tcBorders>
            <w:noWrap/>
          </w:tcPr>
          <w:p w:rsidR="00B5286B" w:rsidRPr="0059293D" w:rsidRDefault="00B5286B" w:rsidP="00E14669">
            <w:pPr>
              <w:spacing w:before="60" w:after="60"/>
              <w:jc w:val="center"/>
              <w:rPr>
                <w:b/>
              </w:rPr>
            </w:pPr>
            <w:r w:rsidRPr="0059293D">
              <w:rPr>
                <w:b/>
              </w:rPr>
              <w:t>2022-2024</w:t>
            </w:r>
          </w:p>
        </w:tc>
        <w:tc>
          <w:tcPr>
            <w:tcW w:w="823" w:type="pct"/>
            <w:tcBorders>
              <w:top w:val="single" w:sz="8" w:space="0" w:color="auto"/>
            </w:tcBorders>
          </w:tcPr>
          <w:p w:rsidR="00B5286B" w:rsidRPr="0059293D" w:rsidRDefault="00B5286B" w:rsidP="00E14669">
            <w:pPr>
              <w:spacing w:before="60" w:after="60"/>
              <w:jc w:val="center"/>
              <w:rPr>
                <w:b/>
              </w:rPr>
            </w:pPr>
            <w:r w:rsidRPr="0059293D">
              <w:rPr>
                <w:b/>
              </w:rPr>
              <w:t>2025-2027</w:t>
            </w:r>
          </w:p>
        </w:tc>
        <w:tc>
          <w:tcPr>
            <w:tcW w:w="1472" w:type="pct"/>
            <w:tcBorders>
              <w:top w:val="single" w:sz="8" w:space="0" w:color="auto"/>
            </w:tcBorders>
          </w:tcPr>
          <w:p w:rsidR="00B5286B" w:rsidRPr="0059293D" w:rsidRDefault="00B5286B" w:rsidP="00E14669">
            <w:pPr>
              <w:spacing w:before="60" w:after="60"/>
              <w:jc w:val="center"/>
            </w:pPr>
          </w:p>
        </w:tc>
      </w:tr>
      <w:tr w:rsidR="00B5286B" w:rsidRPr="0059293D" w:rsidTr="00E14669">
        <w:trPr>
          <w:trHeight w:val="20"/>
        </w:trPr>
        <w:tc>
          <w:tcPr>
            <w:tcW w:w="1930" w:type="pct"/>
            <w:noWrap/>
            <w:hideMark/>
          </w:tcPr>
          <w:p w:rsidR="00B5286B" w:rsidRPr="0059293D" w:rsidRDefault="00B5286B" w:rsidP="00E14669">
            <w:pPr>
              <w:pStyle w:val="Point0"/>
              <w:spacing w:before="60" w:after="60" w:line="240" w:lineRule="auto"/>
              <w:rPr>
                <w:b/>
                <w:bCs/>
              </w:rPr>
            </w:pPr>
            <w:r w:rsidRPr="0059293D">
              <w:rPr>
                <w:b/>
                <w:bCs/>
              </w:rPr>
              <w:t>1.</w:t>
            </w:r>
            <w:r w:rsidRPr="0059293D">
              <w:rPr>
                <w:b/>
                <w:bCs/>
              </w:rPr>
              <w:tab/>
              <w:t>Egységes piac, innováció és digitális gazdaság</w:t>
            </w:r>
          </w:p>
        </w:tc>
        <w:tc>
          <w:tcPr>
            <w:tcW w:w="775" w:type="pct"/>
            <w:noWrap/>
            <w:hideMark/>
          </w:tcPr>
          <w:p w:rsidR="00B5286B" w:rsidRPr="0059293D" w:rsidRDefault="00B5286B" w:rsidP="00E14669">
            <w:pPr>
              <w:spacing w:before="60" w:after="60"/>
              <w:ind w:right="567"/>
              <w:jc w:val="right"/>
              <w:rPr>
                <w:b/>
              </w:rPr>
            </w:pPr>
            <w:r w:rsidRPr="0059293D">
              <w:rPr>
                <w:b/>
              </w:rPr>
              <w:t>36,36 %</w:t>
            </w:r>
          </w:p>
        </w:tc>
        <w:tc>
          <w:tcPr>
            <w:tcW w:w="823" w:type="pct"/>
          </w:tcPr>
          <w:p w:rsidR="00B5286B" w:rsidRPr="0059293D" w:rsidRDefault="00B5286B" w:rsidP="00E14669">
            <w:pPr>
              <w:spacing w:before="60" w:after="60"/>
              <w:ind w:right="567"/>
              <w:jc w:val="right"/>
              <w:rPr>
                <w:b/>
              </w:rPr>
            </w:pPr>
            <w:r w:rsidRPr="0059293D">
              <w:rPr>
                <w:b/>
              </w:rPr>
              <w:t>41,79 %</w:t>
            </w:r>
          </w:p>
        </w:tc>
        <w:tc>
          <w:tcPr>
            <w:tcW w:w="1472" w:type="pct"/>
            <w:noWrap/>
            <w:hideMark/>
          </w:tcPr>
          <w:p w:rsidR="00B5286B" w:rsidRPr="0059293D" w:rsidRDefault="00B5286B" w:rsidP="00E14669">
            <w:pPr>
              <w:spacing w:before="60" w:after="60"/>
              <w:ind w:right="1134"/>
              <w:jc w:val="right"/>
              <w:rPr>
                <w:b/>
              </w:rPr>
            </w:pPr>
            <w:r w:rsidRPr="0059293D">
              <w:rPr>
                <w:b/>
              </w:rPr>
              <w:t>4 000</w:t>
            </w:r>
          </w:p>
        </w:tc>
      </w:tr>
      <w:tr w:rsidR="00B5286B" w:rsidRPr="0059293D" w:rsidTr="00E14669">
        <w:trPr>
          <w:trHeight w:val="20"/>
        </w:trPr>
        <w:tc>
          <w:tcPr>
            <w:tcW w:w="1930" w:type="pct"/>
            <w:noWrap/>
            <w:hideMark/>
          </w:tcPr>
          <w:p w:rsidR="00B5286B" w:rsidRPr="0059293D" w:rsidRDefault="00B5286B" w:rsidP="00E14669">
            <w:pPr>
              <w:pStyle w:val="Text1"/>
              <w:spacing w:before="60" w:after="60" w:line="240" w:lineRule="auto"/>
            </w:pPr>
            <w:r w:rsidRPr="0059293D">
              <w:t xml:space="preserve">Európai </w:t>
            </w:r>
            <w:proofErr w:type="gramStart"/>
            <w:r w:rsidRPr="0059293D">
              <w:t>horizont</w:t>
            </w:r>
            <w:proofErr w:type="gramEnd"/>
          </w:p>
        </w:tc>
        <w:tc>
          <w:tcPr>
            <w:tcW w:w="775" w:type="pct"/>
            <w:noWrap/>
            <w:hideMark/>
          </w:tcPr>
          <w:p w:rsidR="00B5286B" w:rsidRPr="0059293D" w:rsidRDefault="00B5286B" w:rsidP="00E14669">
            <w:pPr>
              <w:spacing w:before="60" w:after="60"/>
              <w:ind w:left="-156" w:right="567" w:firstLine="156"/>
              <w:jc w:val="right"/>
            </w:pPr>
            <w:r w:rsidRPr="0059293D">
              <w:t>27,27 %</w:t>
            </w:r>
          </w:p>
        </w:tc>
        <w:tc>
          <w:tcPr>
            <w:tcW w:w="823" w:type="pct"/>
          </w:tcPr>
          <w:p w:rsidR="00B5286B" w:rsidRPr="0059293D" w:rsidRDefault="00B5286B" w:rsidP="00E14669">
            <w:pPr>
              <w:spacing w:before="60" w:after="60"/>
              <w:ind w:right="567"/>
              <w:jc w:val="right"/>
            </w:pPr>
            <w:r w:rsidRPr="0059293D">
              <w:t>31</w:t>
            </w:r>
            <w:r w:rsidRPr="0059293D">
              <w:rPr>
                <w:bCs/>
              </w:rPr>
              <w:t>,</w:t>
            </w:r>
            <w:r w:rsidRPr="0059293D">
              <w:t>34 %</w:t>
            </w:r>
          </w:p>
        </w:tc>
        <w:tc>
          <w:tcPr>
            <w:tcW w:w="1472" w:type="pct"/>
            <w:noWrap/>
            <w:hideMark/>
          </w:tcPr>
          <w:p w:rsidR="00B5286B" w:rsidRPr="0059293D" w:rsidRDefault="00B5286B" w:rsidP="00E14669">
            <w:pPr>
              <w:spacing w:before="60" w:after="60"/>
              <w:ind w:right="1134"/>
              <w:jc w:val="right"/>
            </w:pPr>
            <w:r w:rsidRPr="0059293D">
              <w:t>3 000</w:t>
            </w:r>
          </w:p>
        </w:tc>
      </w:tr>
      <w:tr w:rsidR="00B5286B" w:rsidRPr="0059293D" w:rsidTr="00E14669">
        <w:trPr>
          <w:trHeight w:val="20"/>
        </w:trPr>
        <w:tc>
          <w:tcPr>
            <w:tcW w:w="1930" w:type="pct"/>
            <w:noWrap/>
            <w:hideMark/>
          </w:tcPr>
          <w:p w:rsidR="00B5286B" w:rsidRPr="0059293D" w:rsidRDefault="00B5286B" w:rsidP="00E14669">
            <w:pPr>
              <w:pStyle w:val="Text1"/>
              <w:spacing w:before="60" w:after="60" w:line="240" w:lineRule="auto"/>
            </w:pPr>
            <w:proofErr w:type="spellStart"/>
            <w:r w:rsidRPr="0059293D">
              <w:t>InvestEU</w:t>
            </w:r>
            <w:proofErr w:type="spellEnd"/>
            <w:r w:rsidRPr="0059293D">
              <w:t xml:space="preserve"> Alap</w:t>
            </w:r>
          </w:p>
        </w:tc>
        <w:tc>
          <w:tcPr>
            <w:tcW w:w="775" w:type="pct"/>
            <w:noWrap/>
            <w:hideMark/>
          </w:tcPr>
          <w:p w:rsidR="00B5286B" w:rsidRPr="0059293D" w:rsidRDefault="00B5286B" w:rsidP="00E14669">
            <w:pPr>
              <w:spacing w:before="60" w:after="60"/>
              <w:ind w:right="567"/>
              <w:jc w:val="right"/>
            </w:pPr>
            <w:r w:rsidRPr="0059293D">
              <w:t>9,09 %</w:t>
            </w:r>
          </w:p>
        </w:tc>
        <w:tc>
          <w:tcPr>
            <w:tcW w:w="823" w:type="pct"/>
          </w:tcPr>
          <w:p w:rsidR="00B5286B" w:rsidRPr="0059293D" w:rsidRDefault="00B5286B" w:rsidP="00E14669">
            <w:pPr>
              <w:spacing w:before="60" w:after="60"/>
              <w:ind w:right="567"/>
              <w:jc w:val="right"/>
            </w:pPr>
            <w:r w:rsidRPr="0059293D">
              <w:t>10</w:t>
            </w:r>
            <w:r w:rsidRPr="0059293D">
              <w:rPr>
                <w:bCs/>
              </w:rPr>
              <w:t>,</w:t>
            </w:r>
            <w:r w:rsidRPr="0059293D">
              <w:t>45 %</w:t>
            </w:r>
          </w:p>
        </w:tc>
        <w:tc>
          <w:tcPr>
            <w:tcW w:w="1472" w:type="pct"/>
            <w:noWrap/>
            <w:hideMark/>
          </w:tcPr>
          <w:p w:rsidR="00B5286B" w:rsidRPr="0059293D" w:rsidRDefault="00B5286B" w:rsidP="00E14669">
            <w:pPr>
              <w:spacing w:before="60" w:after="60"/>
              <w:ind w:right="1134"/>
              <w:jc w:val="right"/>
            </w:pPr>
            <w:r w:rsidRPr="0059293D">
              <w:t>1 000</w:t>
            </w:r>
          </w:p>
        </w:tc>
      </w:tr>
      <w:tr w:rsidR="00B5286B" w:rsidRPr="0059293D" w:rsidTr="00E14669">
        <w:trPr>
          <w:trHeight w:val="20"/>
        </w:trPr>
        <w:tc>
          <w:tcPr>
            <w:tcW w:w="1930" w:type="pct"/>
            <w:noWrap/>
            <w:hideMark/>
          </w:tcPr>
          <w:p w:rsidR="00B5286B" w:rsidRPr="0059293D" w:rsidRDefault="00B5286B" w:rsidP="00E14669">
            <w:pPr>
              <w:pStyle w:val="Point0"/>
              <w:spacing w:before="60" w:after="60" w:line="240" w:lineRule="auto"/>
              <w:rPr>
                <w:b/>
                <w:bCs/>
              </w:rPr>
            </w:pPr>
            <w:r w:rsidRPr="0059293D">
              <w:rPr>
                <w:b/>
                <w:bCs/>
              </w:rPr>
              <w:t>2b.</w:t>
            </w:r>
            <w:r w:rsidRPr="0059293D">
              <w:rPr>
                <w:b/>
                <w:bCs/>
              </w:rPr>
              <w:tab/>
            </w:r>
            <w:proofErr w:type="spellStart"/>
            <w:r w:rsidRPr="0059293D">
              <w:rPr>
                <w:b/>
                <w:bCs/>
              </w:rPr>
              <w:t>Reziliencia</w:t>
            </w:r>
            <w:proofErr w:type="spellEnd"/>
            <w:r w:rsidRPr="0059293D">
              <w:rPr>
                <w:b/>
                <w:bCs/>
              </w:rPr>
              <w:t xml:space="preserve"> és értékek</w:t>
            </w:r>
          </w:p>
        </w:tc>
        <w:tc>
          <w:tcPr>
            <w:tcW w:w="775" w:type="pct"/>
            <w:noWrap/>
            <w:hideMark/>
          </w:tcPr>
          <w:p w:rsidR="00B5286B" w:rsidRPr="0059293D" w:rsidRDefault="00B5286B" w:rsidP="00E14669">
            <w:pPr>
              <w:spacing w:before="60" w:after="60"/>
              <w:ind w:right="567"/>
              <w:jc w:val="right"/>
              <w:rPr>
                <w:b/>
              </w:rPr>
            </w:pPr>
            <w:r w:rsidRPr="0059293D">
              <w:rPr>
                <w:b/>
              </w:rPr>
              <w:t>54,55 %</w:t>
            </w:r>
          </w:p>
        </w:tc>
        <w:tc>
          <w:tcPr>
            <w:tcW w:w="823" w:type="pct"/>
          </w:tcPr>
          <w:p w:rsidR="00B5286B" w:rsidRPr="0059293D" w:rsidRDefault="00B5286B" w:rsidP="00E14669">
            <w:pPr>
              <w:spacing w:before="60" w:after="60"/>
              <w:ind w:right="567"/>
              <w:jc w:val="right"/>
              <w:rPr>
                <w:b/>
              </w:rPr>
            </w:pPr>
            <w:r w:rsidRPr="0059293D">
              <w:rPr>
                <w:b/>
              </w:rPr>
              <w:t>47,76 %</w:t>
            </w:r>
          </w:p>
        </w:tc>
        <w:tc>
          <w:tcPr>
            <w:tcW w:w="1472" w:type="pct"/>
            <w:noWrap/>
            <w:hideMark/>
          </w:tcPr>
          <w:p w:rsidR="00B5286B" w:rsidRPr="0059293D" w:rsidRDefault="00B5286B" w:rsidP="00E14669">
            <w:pPr>
              <w:spacing w:before="60" w:after="60"/>
              <w:ind w:right="1134"/>
              <w:jc w:val="right"/>
              <w:rPr>
                <w:b/>
                <w:strike/>
              </w:rPr>
            </w:pPr>
            <w:r w:rsidRPr="0059293D">
              <w:rPr>
                <w:b/>
              </w:rPr>
              <w:t>5 155</w:t>
            </w:r>
          </w:p>
        </w:tc>
      </w:tr>
      <w:tr w:rsidR="00B5286B" w:rsidRPr="0059293D" w:rsidTr="00E14669">
        <w:trPr>
          <w:trHeight w:val="20"/>
        </w:trPr>
        <w:tc>
          <w:tcPr>
            <w:tcW w:w="1930" w:type="pct"/>
            <w:noWrap/>
            <w:hideMark/>
          </w:tcPr>
          <w:p w:rsidR="00B5286B" w:rsidRPr="0059293D" w:rsidRDefault="00B5286B" w:rsidP="00E14669">
            <w:pPr>
              <w:pStyle w:val="Text1"/>
              <w:spacing w:before="60" w:after="60" w:line="240" w:lineRule="auto"/>
            </w:pPr>
            <w:r w:rsidRPr="0059293D">
              <w:t>„Az EU az egészségügyért”</w:t>
            </w:r>
          </w:p>
        </w:tc>
        <w:tc>
          <w:tcPr>
            <w:tcW w:w="775" w:type="pct"/>
            <w:noWrap/>
            <w:hideMark/>
          </w:tcPr>
          <w:p w:rsidR="00B5286B" w:rsidRPr="0059293D" w:rsidRDefault="00B5286B" w:rsidP="00E14669">
            <w:pPr>
              <w:spacing w:before="60" w:after="60"/>
              <w:ind w:right="567"/>
              <w:jc w:val="right"/>
            </w:pPr>
            <w:r w:rsidRPr="0059293D">
              <w:t>26,37 %</w:t>
            </w:r>
          </w:p>
        </w:tc>
        <w:tc>
          <w:tcPr>
            <w:tcW w:w="823" w:type="pct"/>
          </w:tcPr>
          <w:p w:rsidR="00B5286B" w:rsidRPr="0059293D" w:rsidRDefault="00B5286B" w:rsidP="00E14669">
            <w:pPr>
              <w:spacing w:before="60" w:after="60"/>
              <w:ind w:right="567"/>
              <w:jc w:val="right"/>
            </w:pPr>
            <w:r w:rsidRPr="0059293D">
              <w:t>15</w:t>
            </w:r>
            <w:r w:rsidRPr="0059293D">
              <w:rPr>
                <w:bCs/>
              </w:rPr>
              <w:t>,</w:t>
            </w:r>
            <w:r w:rsidRPr="0059293D">
              <w:t>37 %</w:t>
            </w:r>
          </w:p>
        </w:tc>
        <w:tc>
          <w:tcPr>
            <w:tcW w:w="1472" w:type="pct"/>
            <w:noWrap/>
            <w:hideMark/>
          </w:tcPr>
          <w:p w:rsidR="00B5286B" w:rsidRPr="0059293D" w:rsidRDefault="00B5286B" w:rsidP="00E14669">
            <w:pPr>
              <w:spacing w:before="60" w:after="60"/>
              <w:ind w:right="1134"/>
              <w:jc w:val="right"/>
              <w:rPr>
                <w:bCs/>
                <w:strike/>
              </w:rPr>
            </w:pPr>
            <w:r w:rsidRPr="0059293D">
              <w:rPr>
                <w:bCs/>
              </w:rPr>
              <w:t>2 055</w:t>
            </w:r>
          </w:p>
        </w:tc>
      </w:tr>
      <w:tr w:rsidR="00B5286B" w:rsidRPr="0059293D" w:rsidTr="00E14669">
        <w:trPr>
          <w:trHeight w:val="20"/>
        </w:trPr>
        <w:tc>
          <w:tcPr>
            <w:tcW w:w="1930" w:type="pct"/>
            <w:noWrap/>
            <w:hideMark/>
          </w:tcPr>
          <w:p w:rsidR="00B5286B" w:rsidRPr="0059293D" w:rsidRDefault="00B5286B" w:rsidP="00E14669">
            <w:pPr>
              <w:pStyle w:val="Text1"/>
              <w:spacing w:before="60" w:after="60" w:line="240" w:lineRule="auto"/>
            </w:pPr>
            <w:r w:rsidRPr="0059293D">
              <w:t>Erasmus+</w:t>
            </w:r>
          </w:p>
        </w:tc>
        <w:tc>
          <w:tcPr>
            <w:tcW w:w="775" w:type="pct"/>
            <w:noWrap/>
            <w:hideMark/>
          </w:tcPr>
          <w:p w:rsidR="00B5286B" w:rsidRPr="0059293D" w:rsidRDefault="00B5286B" w:rsidP="00E14669">
            <w:pPr>
              <w:spacing w:before="60" w:after="60"/>
              <w:ind w:right="567"/>
              <w:jc w:val="right"/>
            </w:pPr>
            <w:r w:rsidRPr="0059293D">
              <w:t>15,46 %</w:t>
            </w:r>
          </w:p>
        </w:tc>
        <w:tc>
          <w:tcPr>
            <w:tcW w:w="823" w:type="pct"/>
          </w:tcPr>
          <w:p w:rsidR="00B5286B" w:rsidRPr="0059293D" w:rsidRDefault="00B5286B" w:rsidP="00E14669">
            <w:pPr>
              <w:spacing w:before="60" w:after="60"/>
              <w:ind w:right="567"/>
              <w:jc w:val="right"/>
            </w:pPr>
            <w:r w:rsidRPr="0059293D">
              <w:t>17</w:t>
            </w:r>
            <w:r w:rsidRPr="0059293D">
              <w:rPr>
                <w:bCs/>
              </w:rPr>
              <w:t>,</w:t>
            </w:r>
            <w:r w:rsidRPr="0059293D">
              <w:t>77 %</w:t>
            </w:r>
          </w:p>
        </w:tc>
        <w:tc>
          <w:tcPr>
            <w:tcW w:w="1472" w:type="pct"/>
            <w:noWrap/>
            <w:hideMark/>
          </w:tcPr>
          <w:p w:rsidR="00B5286B" w:rsidRPr="0059293D" w:rsidRDefault="00B5286B" w:rsidP="00E14669">
            <w:pPr>
              <w:spacing w:before="60" w:after="60"/>
              <w:ind w:right="1134"/>
              <w:jc w:val="right"/>
            </w:pPr>
            <w:r w:rsidRPr="0059293D">
              <w:t>1 700</w:t>
            </w:r>
          </w:p>
        </w:tc>
      </w:tr>
      <w:tr w:rsidR="00B5286B" w:rsidRPr="0059293D" w:rsidTr="00E14669">
        <w:trPr>
          <w:trHeight w:val="20"/>
        </w:trPr>
        <w:tc>
          <w:tcPr>
            <w:tcW w:w="1930" w:type="pct"/>
            <w:noWrap/>
            <w:hideMark/>
          </w:tcPr>
          <w:p w:rsidR="00B5286B" w:rsidRPr="0059293D" w:rsidRDefault="00B5286B" w:rsidP="00E14669">
            <w:pPr>
              <w:pStyle w:val="Text1"/>
              <w:spacing w:before="60" w:after="60" w:line="240" w:lineRule="auto"/>
            </w:pPr>
            <w:r w:rsidRPr="0059293D">
              <w:t>Kreatív Európa</w:t>
            </w:r>
          </w:p>
        </w:tc>
        <w:tc>
          <w:tcPr>
            <w:tcW w:w="775" w:type="pct"/>
            <w:noWrap/>
            <w:hideMark/>
          </w:tcPr>
          <w:p w:rsidR="00B5286B" w:rsidRPr="0059293D" w:rsidRDefault="00B5286B" w:rsidP="00E14669">
            <w:pPr>
              <w:spacing w:before="60" w:after="60"/>
              <w:ind w:right="567"/>
              <w:jc w:val="right"/>
            </w:pPr>
            <w:r w:rsidRPr="0059293D">
              <w:t>5,45 %</w:t>
            </w:r>
          </w:p>
        </w:tc>
        <w:tc>
          <w:tcPr>
            <w:tcW w:w="823" w:type="pct"/>
          </w:tcPr>
          <w:p w:rsidR="00B5286B" w:rsidRPr="0059293D" w:rsidRDefault="00B5286B" w:rsidP="00E14669">
            <w:pPr>
              <w:spacing w:before="60" w:after="60"/>
              <w:ind w:right="567"/>
              <w:jc w:val="right"/>
            </w:pPr>
            <w:r w:rsidRPr="0059293D">
              <w:t>6</w:t>
            </w:r>
            <w:r w:rsidRPr="0059293D">
              <w:rPr>
                <w:bCs/>
              </w:rPr>
              <w:t>,</w:t>
            </w:r>
            <w:r w:rsidRPr="0059293D">
              <w:t>26 %</w:t>
            </w:r>
          </w:p>
        </w:tc>
        <w:tc>
          <w:tcPr>
            <w:tcW w:w="1472" w:type="pct"/>
            <w:noWrap/>
            <w:hideMark/>
          </w:tcPr>
          <w:p w:rsidR="00B5286B" w:rsidRPr="0059293D" w:rsidRDefault="00B5286B" w:rsidP="00E14669">
            <w:pPr>
              <w:spacing w:before="60" w:after="60"/>
              <w:ind w:right="1134"/>
              <w:jc w:val="right"/>
            </w:pPr>
            <w:r w:rsidRPr="0059293D">
              <w:t>600</w:t>
            </w:r>
          </w:p>
        </w:tc>
      </w:tr>
      <w:tr w:rsidR="00B5286B" w:rsidRPr="0059293D" w:rsidTr="00E14669">
        <w:trPr>
          <w:trHeight w:val="20"/>
        </w:trPr>
        <w:tc>
          <w:tcPr>
            <w:tcW w:w="1930" w:type="pct"/>
            <w:noWrap/>
            <w:hideMark/>
          </w:tcPr>
          <w:p w:rsidR="00B5286B" w:rsidRPr="0059293D" w:rsidRDefault="00B5286B" w:rsidP="00E14669">
            <w:pPr>
              <w:pStyle w:val="Text1"/>
              <w:spacing w:before="60" w:after="60" w:line="240" w:lineRule="auto"/>
            </w:pPr>
            <w:r w:rsidRPr="0059293D">
              <w:t>Jogok és értékek</w:t>
            </w:r>
          </w:p>
        </w:tc>
        <w:tc>
          <w:tcPr>
            <w:tcW w:w="775" w:type="pct"/>
            <w:noWrap/>
            <w:hideMark/>
          </w:tcPr>
          <w:p w:rsidR="00B5286B" w:rsidRPr="0059293D" w:rsidRDefault="00B5286B" w:rsidP="00E14669">
            <w:pPr>
              <w:spacing w:before="60" w:after="60"/>
              <w:ind w:right="567"/>
              <w:jc w:val="right"/>
            </w:pPr>
            <w:r w:rsidRPr="0059293D">
              <w:t>7,27 %</w:t>
            </w:r>
          </w:p>
        </w:tc>
        <w:tc>
          <w:tcPr>
            <w:tcW w:w="823" w:type="pct"/>
          </w:tcPr>
          <w:p w:rsidR="00B5286B" w:rsidRPr="0059293D" w:rsidRDefault="00B5286B" w:rsidP="00E14669">
            <w:pPr>
              <w:spacing w:before="60" w:after="60"/>
              <w:ind w:right="567"/>
              <w:jc w:val="right"/>
              <w:rPr>
                <w:b/>
              </w:rPr>
            </w:pPr>
            <w:r w:rsidRPr="0059293D">
              <w:rPr>
                <w:b/>
              </w:rPr>
              <w:t>8,36 %</w:t>
            </w:r>
          </w:p>
        </w:tc>
        <w:tc>
          <w:tcPr>
            <w:tcW w:w="1472" w:type="pct"/>
            <w:noWrap/>
            <w:hideMark/>
          </w:tcPr>
          <w:p w:rsidR="00B5286B" w:rsidRPr="0059293D" w:rsidRDefault="00B5286B" w:rsidP="00E14669">
            <w:pPr>
              <w:spacing w:before="60" w:after="60"/>
              <w:ind w:right="1134"/>
              <w:jc w:val="right"/>
            </w:pPr>
            <w:r w:rsidRPr="0059293D">
              <w:t>800</w:t>
            </w:r>
          </w:p>
        </w:tc>
      </w:tr>
      <w:tr w:rsidR="00B5286B" w:rsidRPr="0059293D" w:rsidTr="00E14669">
        <w:trPr>
          <w:trHeight w:val="20"/>
        </w:trPr>
        <w:tc>
          <w:tcPr>
            <w:tcW w:w="1930" w:type="pct"/>
            <w:noWrap/>
            <w:hideMark/>
          </w:tcPr>
          <w:p w:rsidR="00B5286B" w:rsidRPr="0059293D" w:rsidRDefault="00B5286B" w:rsidP="00E14669">
            <w:pPr>
              <w:pStyle w:val="Point0"/>
              <w:spacing w:before="60" w:after="60" w:line="240" w:lineRule="auto"/>
              <w:rPr>
                <w:b/>
                <w:bCs/>
              </w:rPr>
            </w:pPr>
            <w:r w:rsidRPr="0059293D">
              <w:rPr>
                <w:b/>
                <w:bCs/>
              </w:rPr>
              <w:t>4.</w:t>
            </w:r>
            <w:r w:rsidRPr="0059293D">
              <w:rPr>
                <w:b/>
                <w:bCs/>
              </w:rPr>
              <w:tab/>
            </w:r>
            <w:proofErr w:type="gramStart"/>
            <w:r w:rsidRPr="0059293D">
              <w:rPr>
                <w:b/>
                <w:bCs/>
              </w:rPr>
              <w:t>Migráció</w:t>
            </w:r>
            <w:proofErr w:type="gramEnd"/>
            <w:r w:rsidRPr="0059293D">
              <w:rPr>
                <w:b/>
                <w:bCs/>
              </w:rPr>
              <w:t xml:space="preserve"> és határigazgatás</w:t>
            </w:r>
          </w:p>
        </w:tc>
        <w:tc>
          <w:tcPr>
            <w:tcW w:w="775" w:type="pct"/>
            <w:noWrap/>
            <w:hideMark/>
          </w:tcPr>
          <w:p w:rsidR="00B5286B" w:rsidRPr="0059293D" w:rsidRDefault="00B5286B" w:rsidP="00E14669">
            <w:pPr>
              <w:spacing w:before="60" w:after="60"/>
              <w:ind w:right="567"/>
              <w:jc w:val="right"/>
              <w:rPr>
                <w:b/>
              </w:rPr>
            </w:pPr>
            <w:r w:rsidRPr="0059293D">
              <w:rPr>
                <w:b/>
              </w:rPr>
              <w:t>9,09 %</w:t>
            </w:r>
          </w:p>
        </w:tc>
        <w:tc>
          <w:tcPr>
            <w:tcW w:w="823" w:type="pct"/>
          </w:tcPr>
          <w:p w:rsidR="00B5286B" w:rsidRPr="0059293D" w:rsidRDefault="00B5286B" w:rsidP="00E14669">
            <w:pPr>
              <w:spacing w:before="60" w:after="60"/>
              <w:ind w:right="567"/>
              <w:jc w:val="right"/>
              <w:rPr>
                <w:b/>
              </w:rPr>
            </w:pPr>
            <w:r w:rsidRPr="0059293D">
              <w:rPr>
                <w:b/>
              </w:rPr>
              <w:t>10,45 %</w:t>
            </w:r>
          </w:p>
        </w:tc>
        <w:tc>
          <w:tcPr>
            <w:tcW w:w="1472" w:type="pct"/>
            <w:noWrap/>
            <w:hideMark/>
          </w:tcPr>
          <w:p w:rsidR="00B5286B" w:rsidRPr="0059293D" w:rsidRDefault="00B5286B" w:rsidP="00E14669">
            <w:pPr>
              <w:spacing w:before="60" w:after="60"/>
              <w:ind w:right="1134"/>
              <w:jc w:val="right"/>
              <w:rPr>
                <w:b/>
              </w:rPr>
            </w:pPr>
            <w:r w:rsidRPr="0059293D">
              <w:rPr>
                <w:b/>
              </w:rPr>
              <w:t>1 000</w:t>
            </w:r>
          </w:p>
        </w:tc>
      </w:tr>
      <w:tr w:rsidR="00B5286B" w:rsidRPr="0059293D" w:rsidTr="00E14669">
        <w:trPr>
          <w:trHeight w:val="20"/>
        </w:trPr>
        <w:tc>
          <w:tcPr>
            <w:tcW w:w="1930" w:type="pct"/>
            <w:noWrap/>
            <w:hideMark/>
          </w:tcPr>
          <w:p w:rsidR="00B5286B" w:rsidRPr="0059293D" w:rsidRDefault="00B5286B" w:rsidP="00E14669">
            <w:pPr>
              <w:pStyle w:val="Text1"/>
              <w:spacing w:before="60" w:after="60" w:line="240" w:lineRule="auto"/>
            </w:pPr>
            <w:r w:rsidRPr="0059293D">
              <w:t>Integrált Határigazgatási Alap</w:t>
            </w:r>
          </w:p>
        </w:tc>
        <w:tc>
          <w:tcPr>
            <w:tcW w:w="775" w:type="pct"/>
            <w:noWrap/>
            <w:hideMark/>
          </w:tcPr>
          <w:p w:rsidR="00B5286B" w:rsidRPr="0059293D" w:rsidRDefault="00B5286B" w:rsidP="00E14669">
            <w:pPr>
              <w:spacing w:before="60" w:after="60"/>
              <w:ind w:right="567"/>
              <w:jc w:val="right"/>
            </w:pPr>
            <w:r w:rsidRPr="0059293D">
              <w:t>9,09 %</w:t>
            </w:r>
          </w:p>
        </w:tc>
        <w:tc>
          <w:tcPr>
            <w:tcW w:w="823" w:type="pct"/>
          </w:tcPr>
          <w:p w:rsidR="00B5286B" w:rsidRPr="0059293D" w:rsidRDefault="00B5286B" w:rsidP="00E14669">
            <w:pPr>
              <w:spacing w:before="60" w:after="60"/>
              <w:ind w:right="567"/>
              <w:jc w:val="right"/>
            </w:pPr>
            <w:r w:rsidRPr="0059293D">
              <w:t>10</w:t>
            </w:r>
            <w:r w:rsidRPr="0059293D">
              <w:rPr>
                <w:bCs/>
              </w:rPr>
              <w:t>,</w:t>
            </w:r>
            <w:r w:rsidRPr="0059293D">
              <w:t>45 %</w:t>
            </w:r>
          </w:p>
        </w:tc>
        <w:tc>
          <w:tcPr>
            <w:tcW w:w="1472" w:type="pct"/>
            <w:noWrap/>
            <w:hideMark/>
          </w:tcPr>
          <w:p w:rsidR="00B5286B" w:rsidRPr="0059293D" w:rsidRDefault="00B5286B" w:rsidP="00E14669">
            <w:pPr>
              <w:spacing w:before="60" w:after="60"/>
              <w:ind w:right="1134"/>
              <w:jc w:val="right"/>
            </w:pPr>
            <w:r w:rsidRPr="0059293D">
              <w:t>1 000</w:t>
            </w:r>
          </w:p>
        </w:tc>
      </w:tr>
      <w:tr w:rsidR="00B5286B" w:rsidRPr="0059293D" w:rsidTr="00E14669">
        <w:trPr>
          <w:trHeight w:val="20"/>
        </w:trPr>
        <w:tc>
          <w:tcPr>
            <w:tcW w:w="1930" w:type="pct"/>
            <w:tcBorders>
              <w:bottom w:val="single" w:sz="4" w:space="0" w:color="auto"/>
            </w:tcBorders>
            <w:noWrap/>
            <w:hideMark/>
          </w:tcPr>
          <w:p w:rsidR="00B5286B" w:rsidRPr="0059293D" w:rsidRDefault="00B5286B" w:rsidP="00E14669">
            <w:pPr>
              <w:spacing w:before="60" w:after="60"/>
              <w:rPr>
                <w:b/>
              </w:rPr>
            </w:pPr>
            <w:r w:rsidRPr="0059293D">
              <w:rPr>
                <w:b/>
              </w:rPr>
              <w:t>ÖSSZESEN</w:t>
            </w:r>
          </w:p>
        </w:tc>
        <w:tc>
          <w:tcPr>
            <w:tcW w:w="775" w:type="pct"/>
            <w:tcBorders>
              <w:bottom w:val="single" w:sz="4" w:space="0" w:color="auto"/>
            </w:tcBorders>
            <w:noWrap/>
            <w:hideMark/>
          </w:tcPr>
          <w:p w:rsidR="00B5286B" w:rsidRPr="0059293D" w:rsidRDefault="00B5286B" w:rsidP="00E14669">
            <w:pPr>
              <w:spacing w:before="60" w:after="60"/>
              <w:ind w:right="567"/>
              <w:jc w:val="right"/>
              <w:rPr>
                <w:b/>
              </w:rPr>
            </w:pPr>
            <w:r w:rsidRPr="0059293D">
              <w:rPr>
                <w:b/>
              </w:rPr>
              <w:t>100,00 %</w:t>
            </w:r>
          </w:p>
        </w:tc>
        <w:tc>
          <w:tcPr>
            <w:tcW w:w="823" w:type="pct"/>
            <w:tcBorders>
              <w:bottom w:val="single" w:sz="4" w:space="0" w:color="auto"/>
            </w:tcBorders>
          </w:tcPr>
          <w:p w:rsidR="00B5286B" w:rsidRPr="0059293D" w:rsidRDefault="00B5286B" w:rsidP="00E14669">
            <w:pPr>
              <w:spacing w:before="60" w:after="60"/>
              <w:ind w:right="567"/>
              <w:jc w:val="right"/>
              <w:rPr>
                <w:b/>
              </w:rPr>
            </w:pPr>
            <w:r w:rsidRPr="0059293D">
              <w:rPr>
                <w:b/>
              </w:rPr>
              <w:t>100,00 %</w:t>
            </w:r>
          </w:p>
        </w:tc>
        <w:tc>
          <w:tcPr>
            <w:tcW w:w="1472" w:type="pct"/>
            <w:tcBorders>
              <w:bottom w:val="single" w:sz="4" w:space="0" w:color="auto"/>
            </w:tcBorders>
            <w:noWrap/>
            <w:hideMark/>
          </w:tcPr>
          <w:p w:rsidR="00B5286B" w:rsidRPr="0059293D" w:rsidRDefault="00B5286B" w:rsidP="00E14669">
            <w:pPr>
              <w:spacing w:before="60" w:after="60"/>
              <w:ind w:right="1134"/>
              <w:jc w:val="right"/>
            </w:pPr>
            <w:r w:rsidRPr="0059293D">
              <w:rPr>
                <w:b/>
              </w:rPr>
              <w:t>10 155</w:t>
            </w:r>
          </w:p>
        </w:tc>
      </w:tr>
    </w:tbl>
    <w:p w:rsidR="00B5286B" w:rsidRPr="0059293D" w:rsidRDefault="00B5286B" w:rsidP="00B5286B">
      <w:pPr>
        <w:pStyle w:val="NormalRight"/>
      </w:pPr>
      <w:r w:rsidRPr="0059293D">
        <w:t>”.</w:t>
      </w:r>
    </w:p>
    <w:p w:rsidR="00B5286B" w:rsidRPr="0059293D" w:rsidRDefault="00B5286B" w:rsidP="00B5286B">
      <w:pPr>
        <w:pStyle w:val="LignefinalLandscape"/>
        <w:sectPr w:rsidR="00B5286B" w:rsidRPr="0059293D" w:rsidSect="00087735">
          <w:headerReference w:type="even" r:id="rId11"/>
          <w:headerReference w:type="default" r:id="rId12"/>
          <w:headerReference w:type="first" r:id="rId13"/>
          <w:footerReference w:type="first" r:id="rId14"/>
          <w:footnotePr>
            <w:numRestart w:val="eachPage"/>
          </w:footnotePr>
          <w:endnotePr>
            <w:numFmt w:val="decimal"/>
          </w:endnotePr>
          <w:pgSz w:w="16838" w:h="11906" w:orient="landscape" w:code="9"/>
          <w:pgMar w:top="1418" w:right="1134" w:bottom="1418" w:left="1418" w:header="1134" w:footer="567" w:gutter="0"/>
          <w:cols w:space="720"/>
          <w:noEndnote/>
          <w:docGrid w:linePitch="326"/>
        </w:sectPr>
      </w:pPr>
    </w:p>
    <w:p w:rsidR="00B5286B" w:rsidRPr="0059293D" w:rsidRDefault="00B5286B" w:rsidP="00B5286B">
      <w:pPr>
        <w:pStyle w:val="PageHeading"/>
        <w:rPr>
          <w:caps/>
        </w:rPr>
      </w:pPr>
      <w:bookmarkStart w:id="10" w:name="_Toc159575863"/>
      <w:r w:rsidRPr="0059293D">
        <w:lastRenderedPageBreak/>
        <w:t>2</w:t>
      </w:r>
      <w:r w:rsidR="004437B1" w:rsidRPr="0059293D">
        <w:t>.</w:t>
      </w:r>
      <w:r w:rsidRPr="0059293D">
        <w:t xml:space="preserve"> MELLÉKLET: </w:t>
      </w:r>
      <w:r w:rsidRPr="0059293D">
        <w:rPr>
          <w:caps/>
        </w:rPr>
        <w:t xml:space="preserve">Az Európai Parlament, </w:t>
      </w:r>
      <w:proofErr w:type="gramStart"/>
      <w:r w:rsidRPr="0059293D">
        <w:rPr>
          <w:caps/>
        </w:rPr>
        <w:t>a</w:t>
      </w:r>
      <w:proofErr w:type="gramEnd"/>
      <w:r w:rsidRPr="0059293D">
        <w:rPr>
          <w:caps/>
        </w:rPr>
        <w:t xml:space="preserve"> Tanács és a Bizottság együttes nyilatkozata a visszavont forrásoknak a kutatási programmal összefüggésben történő újbóli felhasználásáról</w:t>
      </w:r>
      <w:bookmarkEnd w:id="10"/>
    </w:p>
    <w:p w:rsidR="00B5286B" w:rsidRPr="0059293D" w:rsidRDefault="00B5286B" w:rsidP="00653C5D">
      <w:pPr>
        <w:pStyle w:val="NormalWeb"/>
        <w:shd w:val="clear" w:color="auto" w:fill="FFFFFF" w:themeFill="background1"/>
        <w:spacing w:before="0" w:beforeAutospacing="0" w:after="240" w:afterAutospacing="0"/>
      </w:pPr>
      <w:proofErr w:type="gramStart"/>
      <w:r w:rsidRPr="0059293D">
        <w:t>A visszavont forrásoknak a kutatási programmal</w:t>
      </w:r>
      <w:r w:rsidRPr="0059293D">
        <w:rPr>
          <w:rStyle w:val="FootnoteReference"/>
        </w:rPr>
        <w:footnoteReference w:id="12"/>
      </w:r>
      <w:r w:rsidRPr="0059293D">
        <w:t xml:space="preserve"> összefüggésben történő újbóli felhasználásáról szóló, 2020. december 22-i együttes nyilatkozatban az Európai Parlament, a Tanács és a Bizottság megállapodott abban, hogy az adott programhoz vagy annak elődprogramjához tartozó projektek megvalósításának teljes vagy részleges elmaradása miatt visszavont kötelezettségvállalási előirányzatok a költségvetési rendelet 15. cikkének (3) bekezdésével összhangban a 2021–2027-es időszakban (2018-as árakon) 0,5 milliárd EUR összeghatárig újból rendelkezésre bocsáthatók a kutatási program javára.</w:t>
      </w:r>
      <w:proofErr w:type="gramEnd"/>
    </w:p>
    <w:p w:rsidR="00B5286B" w:rsidRPr="0059293D" w:rsidRDefault="00B5286B" w:rsidP="00653C5D">
      <w:pPr>
        <w:pStyle w:val="NormalWeb"/>
        <w:shd w:val="clear" w:color="auto" w:fill="FFFFFF" w:themeFill="background1"/>
        <w:spacing w:before="0" w:beforeAutospacing="0" w:after="240" w:afterAutospacing="0"/>
      </w:pPr>
      <w:proofErr w:type="gramStart"/>
      <w:r w:rsidRPr="0059293D">
        <w:t>A költségvetési hatóság éves költségvetési eljárás tekintetében fennálló hatásköreinek és a Bizottság költségvetés végrehajtására vonatkozó hatáskörének sérelme nélkül az Európai Parlament, a Tanács és a Bizottság megállapodik abban, hogy (2018-as árakon) további 100 millió EUR összeg bocsátható majd újból rendelkezésre a kutatási program javára a 2025–2027-es időszakban, ami az adott programhoz vagy annak elődprogramjához tartozó projektek megvalósításának teljes vagy részleges elmaradása miatt 2019 és 2020 között visszavont kötelezettségvállalási előirányzatoknak felel meg, amelyeket nem bocsátottak</w:t>
      </w:r>
      <w:proofErr w:type="gramEnd"/>
      <w:r w:rsidRPr="0059293D">
        <w:t xml:space="preserve"> </w:t>
      </w:r>
      <w:proofErr w:type="gramStart"/>
      <w:r w:rsidRPr="0059293D">
        <w:t>újból</w:t>
      </w:r>
      <w:proofErr w:type="gramEnd"/>
      <w:r w:rsidRPr="0059293D">
        <w:t xml:space="preserve"> rendelkezésre a költségvetési rendelet 15. cikkének (3) bekezdése alapján a 2020. december 22-i együttes nyilatkozat nyomán. Ez nem érinti az (EU, Euratom) 2020/2093 rendelet 10a. cikkében említett EURI-eszköz céljára rendelkezésre álló, visszavont kötelezettségvállalások összegét.</w:t>
      </w:r>
    </w:p>
    <w:p w:rsidR="00E365E1" w:rsidRPr="0059293D" w:rsidRDefault="00E365E1" w:rsidP="00E32707">
      <w:bookmarkStart w:id="11" w:name="TextBodyEnd"/>
      <w:bookmarkEnd w:id="11"/>
    </w:p>
    <w:sectPr w:rsidR="00E365E1" w:rsidRPr="0059293D" w:rsidSect="00087735">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2707" w:rsidRPr="00087735" w:rsidRDefault="00E32707">
      <w:r w:rsidRPr="00087735">
        <w:separator/>
      </w:r>
    </w:p>
  </w:endnote>
  <w:endnote w:type="continuationSeparator" w:id="0">
    <w:p w:rsidR="00E32707" w:rsidRPr="00087735" w:rsidRDefault="00E32707">
      <w:r w:rsidRPr="000877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86B" w:rsidRPr="00087735" w:rsidRDefault="00B5286B" w:rsidP="003D0AD2">
    <w:pPr>
      <w:pStyle w:val="EPFooter"/>
    </w:pPr>
    <w:proofErr w:type="gramStart"/>
    <w:r w:rsidRPr="00087735">
      <w:t>PE</w:t>
    </w:r>
    <w:r w:rsidRPr="00087735">
      <w:rPr>
        <w:rStyle w:val="HideTWBExt"/>
      </w:rPr>
      <w:t>&lt;</w:t>
    </w:r>
    <w:proofErr w:type="gramEnd"/>
    <w:r w:rsidRPr="00087735">
      <w:rPr>
        <w:rStyle w:val="HideTWBExt"/>
      </w:rPr>
      <w:t>NoPE&gt;</w:t>
    </w:r>
    <w:r w:rsidRPr="00087735">
      <w:t>758.992</w:t>
    </w:r>
    <w:r w:rsidRPr="00087735">
      <w:rPr>
        <w:rStyle w:val="HideTWBExt"/>
      </w:rPr>
      <w:t>&lt;/NoPE&gt;&lt;Version&gt;</w:t>
    </w:r>
    <w:r w:rsidRPr="00087735">
      <w:t>v02-00</w:t>
    </w:r>
    <w:r w:rsidRPr="00087735">
      <w:rPr>
        <w:rStyle w:val="HideTWBExt"/>
      </w:rPr>
      <w:t>&lt;/Version&gt;</w:t>
    </w:r>
    <w:r w:rsidRPr="00087735">
      <w:tab/>
    </w:r>
    <w:r w:rsidRPr="00087735">
      <w:fldChar w:fldCharType="begin"/>
    </w:r>
    <w:r w:rsidRPr="00087735">
      <w:instrText xml:space="preserve"> PAGE  \* MERGEFORMAT </w:instrText>
    </w:r>
    <w:r w:rsidRPr="00087735">
      <w:fldChar w:fldCharType="separate"/>
    </w:r>
    <w:r w:rsidR="00087735" w:rsidRPr="00087735">
      <w:rPr>
        <w:noProof/>
      </w:rPr>
      <w:t>2</w:t>
    </w:r>
    <w:r w:rsidRPr="00087735">
      <w:fldChar w:fldCharType="end"/>
    </w:r>
    <w:r w:rsidRPr="00087735">
      <w:t>/</w:t>
    </w:r>
    <w:fldSimple w:instr=" NUMPAGES  \* MERGEFORMAT ">
      <w:r w:rsidR="00087735" w:rsidRPr="00087735">
        <w:rPr>
          <w:noProof/>
        </w:rPr>
        <w:t>4</w:t>
      </w:r>
    </w:fldSimple>
    <w:r w:rsidRPr="00087735">
      <w:tab/>
    </w:r>
    <w:r w:rsidRPr="00087735">
      <w:rPr>
        <w:rStyle w:val="HideTWBExt"/>
      </w:rPr>
      <w:t>&lt;PathFdR&gt;</w:t>
    </w:r>
    <w:r w:rsidRPr="00087735">
      <w:t>RR\1297557HU.docx</w:t>
    </w:r>
    <w:r w:rsidRPr="00087735">
      <w:rPr>
        <w:rStyle w:val="HideTWBExt"/>
      </w:rPr>
      <w:t>&lt;/PathFdR&gt;</w:t>
    </w:r>
  </w:p>
  <w:p w:rsidR="00B5286B" w:rsidRPr="00087735" w:rsidRDefault="00B5286B" w:rsidP="003D0AD2">
    <w:pPr>
      <w:pStyle w:val="EPFooter2"/>
    </w:pPr>
    <w:r w:rsidRPr="00087735">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86B" w:rsidRPr="00087735" w:rsidRDefault="00B5286B" w:rsidP="003D0AD2">
    <w:pPr>
      <w:pStyle w:val="EPFooter"/>
    </w:pPr>
    <w:r w:rsidRPr="00087735">
      <w:rPr>
        <w:rStyle w:val="HideTWBExt"/>
      </w:rPr>
      <w:t>&lt;PathFdR</w:t>
    </w:r>
    <w:proofErr w:type="gramStart"/>
    <w:r w:rsidRPr="00087735">
      <w:rPr>
        <w:rStyle w:val="HideTWBExt"/>
      </w:rPr>
      <w:t>&gt;</w:t>
    </w:r>
    <w:r w:rsidRPr="00087735">
      <w:t>RR</w:t>
    </w:r>
    <w:proofErr w:type="gramEnd"/>
    <w:r w:rsidRPr="00087735">
      <w:t>\1297557HU.docx</w:t>
    </w:r>
    <w:r w:rsidRPr="00087735">
      <w:rPr>
        <w:rStyle w:val="HideTWBExt"/>
      </w:rPr>
      <w:t>&lt;/PathFdR&gt;</w:t>
    </w:r>
    <w:r w:rsidRPr="00087735">
      <w:tab/>
    </w:r>
    <w:r w:rsidRPr="00087735">
      <w:tab/>
      <w:t>PE</w:t>
    </w:r>
    <w:r w:rsidRPr="00087735">
      <w:rPr>
        <w:rStyle w:val="HideTWBExt"/>
      </w:rPr>
      <w:t>&lt;NoPE&gt;</w:t>
    </w:r>
    <w:r w:rsidRPr="00087735">
      <w:t>758.992</w:t>
    </w:r>
    <w:r w:rsidRPr="00087735">
      <w:rPr>
        <w:rStyle w:val="HideTWBExt"/>
      </w:rPr>
      <w:t>&lt;/NoPE&gt;&lt;Version&gt;</w:t>
    </w:r>
    <w:r w:rsidRPr="00087735">
      <w:t>v02-00</w:t>
    </w:r>
    <w:r w:rsidRPr="00087735">
      <w:rPr>
        <w:rStyle w:val="HideTWBExt"/>
      </w:rPr>
      <w:t>&lt;/Version&gt;</w:t>
    </w:r>
  </w:p>
  <w:p w:rsidR="00B5286B" w:rsidRPr="00087735" w:rsidRDefault="00B5286B" w:rsidP="003D0AD2">
    <w:pPr>
      <w:pStyle w:val="EPFooter2"/>
    </w:pPr>
    <w:proofErr w:type="gramStart"/>
    <w:r w:rsidRPr="00087735">
      <w:t>HU</w:t>
    </w:r>
    <w:proofErr w:type="gramEnd"/>
    <w:r w:rsidRPr="00087735">
      <w:tab/>
    </w:r>
    <w:r w:rsidRPr="00087735">
      <w:rPr>
        <w:b w:val="0"/>
        <w:i/>
        <w:color w:val="C0C0C0"/>
        <w:sz w:val="22"/>
      </w:rPr>
      <w:t>Egyesülve a sokféleségben</w:t>
    </w:r>
    <w:r w:rsidRPr="00087735">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86B" w:rsidRPr="00087735" w:rsidRDefault="00B5286B" w:rsidP="00FA76F5">
    <w:pPr>
      <w:pStyle w:val="EPFooter"/>
    </w:pPr>
    <w:r w:rsidRPr="00087735">
      <w:rPr>
        <w:rStyle w:val="HideTWBExt"/>
      </w:rPr>
      <w:t>&lt;PathFdR</w:t>
    </w:r>
    <w:proofErr w:type="gramStart"/>
    <w:r w:rsidRPr="00087735">
      <w:rPr>
        <w:rStyle w:val="HideTWBExt"/>
      </w:rPr>
      <w:t>&gt;</w:t>
    </w:r>
    <w:r w:rsidRPr="00087735">
      <w:t>RR</w:t>
    </w:r>
    <w:proofErr w:type="gramEnd"/>
    <w:r w:rsidRPr="00087735">
      <w:t>\1297557HU.docx</w:t>
    </w:r>
    <w:r w:rsidRPr="00087735">
      <w:rPr>
        <w:rStyle w:val="HideTWBExt"/>
      </w:rPr>
      <w:t>&lt;/PathFdR&gt;</w:t>
    </w:r>
    <w:r w:rsidRPr="00087735">
      <w:tab/>
    </w:r>
    <w:r w:rsidRPr="00087735">
      <w:tab/>
      <w:t>PE</w:t>
    </w:r>
    <w:r w:rsidRPr="00087735">
      <w:rPr>
        <w:rStyle w:val="HideTWBExt"/>
      </w:rPr>
      <w:t>&lt;NoPE&gt;</w:t>
    </w:r>
    <w:r w:rsidRPr="00087735">
      <w:t>758.992</w:t>
    </w:r>
    <w:r w:rsidRPr="00087735">
      <w:rPr>
        <w:rStyle w:val="HideTWBExt"/>
      </w:rPr>
      <w:t>&lt;/NoPE&gt;&lt;Version&gt;</w:t>
    </w:r>
    <w:r w:rsidRPr="00087735">
      <w:t>v02-00</w:t>
    </w:r>
    <w:r w:rsidRPr="00087735">
      <w:rPr>
        <w:rStyle w:val="HideTWBExt"/>
      </w:rPr>
      <w:t>&lt;/Version&gt;</w:t>
    </w:r>
  </w:p>
  <w:p w:rsidR="00B5286B" w:rsidRPr="00087735" w:rsidRDefault="00B5286B" w:rsidP="00FA76F5">
    <w:pPr>
      <w:pStyle w:val="EPFooter2"/>
    </w:pPr>
    <w:r w:rsidRPr="00087735">
      <w:t>XT</w:t>
    </w:r>
    <w:r w:rsidRPr="00087735">
      <w:tab/>
    </w:r>
    <w:r w:rsidRPr="00087735">
      <w:rPr>
        <w:b w:val="0"/>
        <w:i/>
        <w:color w:val="C0C0C0"/>
        <w:sz w:val="22"/>
      </w:rPr>
      <w:t xml:space="preserve">United in </w:t>
    </w:r>
    <w:proofErr w:type="spellStart"/>
    <w:r w:rsidRPr="00087735">
      <w:rPr>
        <w:b w:val="0"/>
        <w:i/>
        <w:color w:val="C0C0C0"/>
        <w:sz w:val="22"/>
      </w:rPr>
      <w:t>diversity</w:t>
    </w:r>
    <w:proofErr w:type="spellEnd"/>
    <w:r w:rsidRPr="00087735">
      <w:tab/>
      <w:t>XT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773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7735"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773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2707" w:rsidRPr="00087735" w:rsidRDefault="00E32707">
      <w:r w:rsidRPr="00087735">
        <w:separator/>
      </w:r>
    </w:p>
  </w:footnote>
  <w:footnote w:type="continuationSeparator" w:id="0">
    <w:p w:rsidR="00E32707" w:rsidRPr="00087735" w:rsidRDefault="00E32707">
      <w:r w:rsidRPr="00087735">
        <w:continuationSeparator/>
      </w:r>
    </w:p>
  </w:footnote>
  <w:footnote w:id="1">
    <w:p w:rsidR="00B5286B" w:rsidRPr="00087735" w:rsidRDefault="00B5286B" w:rsidP="00087735">
      <w:pPr>
        <w:pStyle w:val="FootnoteText"/>
        <w:ind w:left="567" w:hanging="567"/>
        <w:rPr>
          <w:sz w:val="24"/>
          <w:lang w:val="hu-HU"/>
        </w:rPr>
      </w:pPr>
      <w:r w:rsidRPr="00087735">
        <w:rPr>
          <w:rStyle w:val="FootnoteReference"/>
          <w:sz w:val="24"/>
          <w:lang w:val="hu-HU"/>
        </w:rPr>
        <w:footnoteRef/>
      </w:r>
      <w:r w:rsidR="00087735" w:rsidRPr="00087735">
        <w:rPr>
          <w:sz w:val="24"/>
          <w:lang w:val="hu-HU"/>
        </w:rPr>
        <w:t xml:space="preserve"> </w:t>
      </w:r>
      <w:r w:rsidR="00087735" w:rsidRPr="00087735">
        <w:rPr>
          <w:sz w:val="24"/>
          <w:lang w:val="hu-HU"/>
        </w:rPr>
        <w:tab/>
      </w:r>
      <w:r w:rsidRPr="00087735">
        <w:rPr>
          <w:sz w:val="24"/>
          <w:lang w:val="hu-HU"/>
        </w:rPr>
        <w:t>Elfogadott szövegek, P9_</w:t>
      </w:r>
      <w:proofErr w:type="gramStart"/>
      <w:r w:rsidRPr="00087735">
        <w:rPr>
          <w:sz w:val="24"/>
          <w:lang w:val="hu-HU"/>
        </w:rPr>
        <w:t>TA(</w:t>
      </w:r>
      <w:proofErr w:type="gramEnd"/>
      <w:r w:rsidRPr="00087735">
        <w:rPr>
          <w:sz w:val="24"/>
          <w:lang w:val="hu-HU"/>
        </w:rPr>
        <w:t>2023)0335.</w:t>
      </w:r>
    </w:p>
  </w:footnote>
  <w:footnote w:id="2">
    <w:p w:rsidR="00B5286B" w:rsidRPr="00087735" w:rsidRDefault="00B5286B" w:rsidP="00087735">
      <w:pPr>
        <w:pStyle w:val="FootnoteText"/>
        <w:ind w:left="567" w:hanging="567"/>
        <w:rPr>
          <w:sz w:val="24"/>
          <w:lang w:val="hu-HU"/>
        </w:rPr>
      </w:pPr>
      <w:r w:rsidRPr="00087735">
        <w:rPr>
          <w:rStyle w:val="FootnoteReference"/>
          <w:sz w:val="24"/>
          <w:lang w:val="hu-HU"/>
        </w:rPr>
        <w:footnoteRef/>
      </w:r>
      <w:r w:rsidR="00087735" w:rsidRPr="00087735">
        <w:rPr>
          <w:sz w:val="24"/>
          <w:lang w:val="hu-HU"/>
        </w:rPr>
        <w:t xml:space="preserve"> </w:t>
      </w:r>
      <w:r w:rsidR="00087735" w:rsidRPr="00087735">
        <w:rPr>
          <w:sz w:val="24"/>
          <w:lang w:val="hu-HU"/>
        </w:rPr>
        <w:tab/>
      </w:r>
      <w:r w:rsidRPr="00087735">
        <w:rPr>
          <w:sz w:val="24"/>
          <w:lang w:val="hu-HU"/>
        </w:rPr>
        <w:t>2024. február 27-i egyetértés (a Hivatalos Lapban még nem tették közzé).</w:t>
      </w:r>
    </w:p>
  </w:footnote>
  <w:footnote w:id="3">
    <w:p w:rsidR="00B5286B" w:rsidRPr="00087735" w:rsidRDefault="00B5286B" w:rsidP="00087735">
      <w:pPr>
        <w:pStyle w:val="FootnoteText"/>
        <w:ind w:left="567" w:hanging="567"/>
        <w:rPr>
          <w:sz w:val="24"/>
          <w:lang w:val="hu-HU"/>
        </w:rPr>
      </w:pPr>
      <w:r w:rsidRPr="00087735">
        <w:rPr>
          <w:rStyle w:val="FootnoteReference"/>
          <w:sz w:val="24"/>
          <w:lang w:val="hu-HU"/>
        </w:rPr>
        <w:footnoteRef/>
      </w:r>
      <w:r w:rsidR="00087735" w:rsidRPr="00087735">
        <w:rPr>
          <w:sz w:val="24"/>
          <w:lang w:val="hu-HU"/>
        </w:rPr>
        <w:t xml:space="preserve"> </w:t>
      </w:r>
      <w:r w:rsidR="00087735" w:rsidRPr="00087735">
        <w:rPr>
          <w:sz w:val="24"/>
          <w:lang w:val="hu-HU"/>
        </w:rPr>
        <w:tab/>
      </w:r>
      <w:r w:rsidRPr="00087735">
        <w:rPr>
          <w:sz w:val="24"/>
          <w:lang w:val="hu-HU"/>
        </w:rPr>
        <w:t>A Tanács (EU, Euratom) 2020/2093 rendelete (2020. december 17.) a 2021–2027-es időszakra vonatkozó többéves pénzügyi keretről (HL L 433</w:t>
      </w:r>
      <w:r w:rsidR="00653C5D">
        <w:rPr>
          <w:sz w:val="24"/>
          <w:lang w:val="hu-HU"/>
        </w:rPr>
        <w:t xml:space="preserve">. </w:t>
      </w:r>
      <w:r w:rsidRPr="00087735">
        <w:rPr>
          <w:sz w:val="24"/>
          <w:lang w:val="hu-HU"/>
        </w:rPr>
        <w:t>I, 2020.12.22</w:t>
      </w:r>
      <w:proofErr w:type="gramStart"/>
      <w:r w:rsidRPr="00087735">
        <w:rPr>
          <w:sz w:val="24"/>
          <w:lang w:val="hu-HU"/>
        </w:rPr>
        <w:t>.,</w:t>
      </w:r>
      <w:proofErr w:type="gramEnd"/>
      <w:r w:rsidRPr="00087735">
        <w:rPr>
          <w:sz w:val="24"/>
          <w:lang w:val="hu-HU"/>
        </w:rPr>
        <w:t xml:space="preserve"> 11. o.).</w:t>
      </w:r>
    </w:p>
  </w:footnote>
  <w:footnote w:id="4">
    <w:p w:rsidR="00B5286B" w:rsidRPr="00087735" w:rsidRDefault="00B5286B" w:rsidP="00087735">
      <w:pPr>
        <w:pStyle w:val="FootnoteText"/>
        <w:ind w:left="567" w:hanging="567"/>
        <w:rPr>
          <w:sz w:val="24"/>
          <w:lang w:val="hu-HU"/>
        </w:rPr>
      </w:pPr>
      <w:r w:rsidRPr="00087735">
        <w:rPr>
          <w:rStyle w:val="FootnoteReference"/>
          <w:sz w:val="24"/>
          <w:lang w:val="hu-HU"/>
        </w:rPr>
        <w:footnoteRef/>
      </w:r>
      <w:r w:rsidR="00087735" w:rsidRPr="00087735">
        <w:rPr>
          <w:sz w:val="24"/>
          <w:lang w:val="hu-HU"/>
        </w:rPr>
        <w:t xml:space="preserve"> </w:t>
      </w:r>
      <w:r w:rsidR="00087735" w:rsidRPr="00087735">
        <w:rPr>
          <w:sz w:val="24"/>
          <w:lang w:val="hu-HU"/>
        </w:rPr>
        <w:tab/>
      </w:r>
      <w:r w:rsidRPr="00087735">
        <w:rPr>
          <w:sz w:val="24"/>
          <w:lang w:val="hu-HU"/>
        </w:rPr>
        <w:t>Az Európai Parlament és a Tanács (EU) 2024/</w:t>
      </w:r>
      <w:proofErr w:type="gramStart"/>
      <w:r w:rsidRPr="00087735">
        <w:rPr>
          <w:sz w:val="24"/>
          <w:lang w:val="hu-HU"/>
        </w:rPr>
        <w:t>...</w:t>
      </w:r>
      <w:proofErr w:type="gramEnd"/>
      <w:r w:rsidRPr="00087735">
        <w:rPr>
          <w:sz w:val="24"/>
          <w:lang w:val="hu-HU"/>
        </w:rPr>
        <w:t xml:space="preserve"> rendelete (...) az Ukrajna-eszköz létrehozásáról (HL L …, ELI …, ....).</w:t>
      </w:r>
    </w:p>
  </w:footnote>
  <w:footnote w:id="5">
    <w:p w:rsidR="00B5286B" w:rsidRPr="00087735" w:rsidRDefault="00B5286B" w:rsidP="00087735">
      <w:pPr>
        <w:pStyle w:val="FootnoteText"/>
        <w:ind w:left="567" w:hanging="567"/>
        <w:rPr>
          <w:sz w:val="24"/>
          <w:lang w:val="hu-HU"/>
        </w:rPr>
      </w:pPr>
      <w:r w:rsidRPr="00087735">
        <w:rPr>
          <w:rStyle w:val="FootnoteReference"/>
          <w:sz w:val="24"/>
          <w:lang w:val="hu-HU"/>
        </w:rPr>
        <w:t>+</w:t>
      </w:r>
      <w:r w:rsidR="00087735" w:rsidRPr="00087735">
        <w:rPr>
          <w:sz w:val="24"/>
          <w:lang w:val="hu-HU"/>
        </w:rPr>
        <w:t xml:space="preserve"> </w:t>
      </w:r>
      <w:r w:rsidR="00087735" w:rsidRPr="00087735">
        <w:rPr>
          <w:sz w:val="24"/>
          <w:lang w:val="hu-HU"/>
        </w:rPr>
        <w:tab/>
      </w:r>
      <w:r w:rsidRPr="00087735">
        <w:rPr>
          <w:sz w:val="24"/>
          <w:lang w:val="hu-HU"/>
        </w:rPr>
        <w:t xml:space="preserve">HL: Kérjük, illesszék be a szövegbe a PE-CONS 10/24 (2023/0200(COD)) </w:t>
      </w:r>
      <w:proofErr w:type="gramStart"/>
      <w:r w:rsidRPr="00087735">
        <w:rPr>
          <w:sz w:val="24"/>
          <w:lang w:val="hu-HU"/>
        </w:rPr>
        <w:t>dokumentumban</w:t>
      </w:r>
      <w:proofErr w:type="gramEnd"/>
      <w:r w:rsidRPr="00087735">
        <w:rPr>
          <w:sz w:val="24"/>
          <w:lang w:val="hu-HU"/>
        </w:rPr>
        <w:t xml:space="preserve"> szereplő rendelet számát, és illesszék be a lábjegyzetbe az említett rendelet számát, dátumát és HL-hivatkozását.</w:t>
      </w:r>
    </w:p>
  </w:footnote>
  <w:footnote w:id="6">
    <w:p w:rsidR="00B5286B" w:rsidRPr="00087735" w:rsidRDefault="00B5286B" w:rsidP="00087735">
      <w:pPr>
        <w:pStyle w:val="FootnoteText"/>
        <w:ind w:left="567" w:hanging="567"/>
        <w:rPr>
          <w:sz w:val="24"/>
          <w:lang w:val="hu-HU"/>
        </w:rPr>
      </w:pPr>
      <w:r w:rsidRPr="00087735">
        <w:rPr>
          <w:rStyle w:val="FootnoteReference"/>
          <w:sz w:val="24"/>
          <w:lang w:val="hu-HU"/>
        </w:rPr>
        <w:t>+</w:t>
      </w:r>
      <w:r w:rsidR="00087735" w:rsidRPr="00087735">
        <w:rPr>
          <w:sz w:val="24"/>
          <w:lang w:val="hu-HU"/>
        </w:rPr>
        <w:t xml:space="preserve"> </w:t>
      </w:r>
      <w:r w:rsidR="00087735" w:rsidRPr="00087735">
        <w:rPr>
          <w:sz w:val="24"/>
          <w:lang w:val="hu-HU"/>
        </w:rPr>
        <w:tab/>
      </w:r>
      <w:r w:rsidRPr="00087735">
        <w:rPr>
          <w:sz w:val="24"/>
          <w:lang w:val="hu-HU"/>
        </w:rPr>
        <w:t xml:space="preserve">HL: Kérjük, illesszék be a szövegbe a PE-CONS 10/24 (2023/0200(COD)) </w:t>
      </w:r>
      <w:proofErr w:type="gramStart"/>
      <w:r w:rsidRPr="00087735">
        <w:rPr>
          <w:sz w:val="24"/>
          <w:lang w:val="hu-HU"/>
        </w:rPr>
        <w:t>dokumentumban</w:t>
      </w:r>
      <w:proofErr w:type="gramEnd"/>
      <w:r w:rsidRPr="00087735">
        <w:rPr>
          <w:sz w:val="24"/>
          <w:lang w:val="hu-HU"/>
        </w:rPr>
        <w:t xml:space="preserve"> szereplő rendelet számát.</w:t>
      </w:r>
    </w:p>
  </w:footnote>
  <w:footnote w:id="7">
    <w:p w:rsidR="00B5286B" w:rsidRPr="00087735" w:rsidRDefault="00B5286B" w:rsidP="00087735">
      <w:pPr>
        <w:pStyle w:val="FootnoteText"/>
        <w:ind w:left="567" w:hanging="567"/>
        <w:rPr>
          <w:sz w:val="24"/>
          <w:lang w:val="hu-HU"/>
        </w:rPr>
      </w:pPr>
      <w:r w:rsidRPr="00087735">
        <w:rPr>
          <w:rStyle w:val="FootnoteReference"/>
          <w:sz w:val="24"/>
          <w:lang w:val="hu-HU"/>
        </w:rPr>
        <w:sym w:font="Symbol" w:char="F02B"/>
      </w:r>
      <w:r w:rsidR="00087735" w:rsidRPr="00087735">
        <w:rPr>
          <w:sz w:val="24"/>
          <w:lang w:val="hu-HU"/>
        </w:rPr>
        <w:t xml:space="preserve"> </w:t>
      </w:r>
      <w:r w:rsidR="00087735" w:rsidRPr="00087735">
        <w:rPr>
          <w:sz w:val="24"/>
          <w:lang w:val="hu-HU"/>
        </w:rPr>
        <w:tab/>
      </w:r>
      <w:r w:rsidRPr="00087735">
        <w:rPr>
          <w:sz w:val="24"/>
          <w:lang w:val="hu-HU"/>
        </w:rPr>
        <w:t xml:space="preserve">HL: Kérjük, illesszék be a szövegbe a PE-CONS 10/24 (2023/0200(COD)) </w:t>
      </w:r>
      <w:proofErr w:type="gramStart"/>
      <w:r w:rsidRPr="00087735">
        <w:rPr>
          <w:sz w:val="24"/>
          <w:lang w:val="hu-HU"/>
        </w:rPr>
        <w:t>dokumentumban</w:t>
      </w:r>
      <w:proofErr w:type="gramEnd"/>
      <w:r w:rsidRPr="00087735">
        <w:rPr>
          <w:sz w:val="24"/>
          <w:lang w:val="hu-HU"/>
        </w:rPr>
        <w:t xml:space="preserve"> szereplő rendelet számát.</w:t>
      </w:r>
    </w:p>
  </w:footnote>
  <w:footnote w:id="8">
    <w:p w:rsidR="00B5286B" w:rsidRPr="00087735" w:rsidRDefault="00B5286B" w:rsidP="00087735">
      <w:pPr>
        <w:pStyle w:val="FootnoteText"/>
        <w:ind w:left="567" w:hanging="567"/>
        <w:rPr>
          <w:sz w:val="24"/>
          <w:lang w:val="hu-HU"/>
        </w:rPr>
      </w:pPr>
      <w:r w:rsidRPr="00087735">
        <w:rPr>
          <w:rStyle w:val="FootnoteReference"/>
          <w:sz w:val="24"/>
          <w:lang w:val="hu-HU"/>
        </w:rPr>
        <w:footnoteRef/>
      </w:r>
      <w:r w:rsidR="00087735" w:rsidRPr="00087735">
        <w:rPr>
          <w:sz w:val="24"/>
          <w:lang w:val="hu-HU"/>
        </w:rPr>
        <w:t xml:space="preserve"> </w:t>
      </w:r>
      <w:r w:rsidR="00087735" w:rsidRPr="00087735">
        <w:rPr>
          <w:sz w:val="24"/>
          <w:lang w:val="hu-HU"/>
        </w:rPr>
        <w:tab/>
      </w:r>
      <w:r w:rsidRPr="00087735">
        <w:rPr>
          <w:sz w:val="24"/>
          <w:lang w:val="hu-HU"/>
        </w:rPr>
        <w:t>A Tanács (EU, Euratom) 2020/2053 határozata (2020. december 14.) az Európai Unió saját forrásainak rendszeréről és a 2014/335/EU, Euratom határozat hatályon kívül helyezéséről (HL L 424., 2020.12.15</w:t>
      </w:r>
      <w:proofErr w:type="gramStart"/>
      <w:r w:rsidRPr="00087735">
        <w:rPr>
          <w:sz w:val="24"/>
          <w:lang w:val="hu-HU"/>
        </w:rPr>
        <w:t>.,</w:t>
      </w:r>
      <w:proofErr w:type="gramEnd"/>
      <w:r w:rsidRPr="00087735">
        <w:rPr>
          <w:sz w:val="24"/>
          <w:lang w:val="hu-HU"/>
        </w:rPr>
        <w:t xml:space="preserve"> 1. o.).</w:t>
      </w:r>
    </w:p>
  </w:footnote>
  <w:footnote w:id="9">
    <w:p w:rsidR="00B5286B" w:rsidRPr="00087735" w:rsidRDefault="00B5286B" w:rsidP="00087735">
      <w:pPr>
        <w:pStyle w:val="FootnoteText"/>
        <w:ind w:left="567" w:hanging="567"/>
        <w:rPr>
          <w:sz w:val="24"/>
          <w:lang w:val="hu-HU"/>
        </w:rPr>
      </w:pPr>
      <w:r w:rsidRPr="00087735">
        <w:rPr>
          <w:rStyle w:val="FootnoteReference"/>
          <w:sz w:val="24"/>
          <w:lang w:val="hu-HU"/>
        </w:rPr>
        <w:footnoteRef/>
      </w:r>
      <w:r w:rsidR="00087735" w:rsidRPr="00087735">
        <w:rPr>
          <w:sz w:val="24"/>
          <w:lang w:val="hu-HU"/>
        </w:rPr>
        <w:t xml:space="preserve"> </w:t>
      </w:r>
      <w:r w:rsidR="00087735" w:rsidRPr="00087735">
        <w:rPr>
          <w:sz w:val="24"/>
          <w:lang w:val="hu-HU"/>
        </w:rPr>
        <w:tab/>
      </w:r>
      <w:r w:rsidRPr="00087735">
        <w:rPr>
          <w:sz w:val="24"/>
          <w:lang w:val="hu-HU"/>
        </w:rPr>
        <w:t>A Tanács 2012/2002/EK rendelete (2002. november 11.) az Európai Unió Szolidaritási Alapjának létrehozásáról (HL L 311., 2002.11.14</w:t>
      </w:r>
      <w:proofErr w:type="gramStart"/>
      <w:r w:rsidRPr="00087735">
        <w:rPr>
          <w:sz w:val="24"/>
          <w:lang w:val="hu-HU"/>
        </w:rPr>
        <w:t>.,</w:t>
      </w:r>
      <w:proofErr w:type="gramEnd"/>
      <w:r w:rsidRPr="00087735">
        <w:rPr>
          <w:sz w:val="24"/>
          <w:lang w:val="hu-HU"/>
        </w:rPr>
        <w:t xml:space="preserve"> 3. o.).</w:t>
      </w:r>
    </w:p>
  </w:footnote>
  <w:footnote w:id="10">
    <w:p w:rsidR="00B5286B" w:rsidRPr="00087735" w:rsidRDefault="00B5286B" w:rsidP="00087735">
      <w:pPr>
        <w:pStyle w:val="FootnoteText"/>
        <w:ind w:left="567" w:hanging="567"/>
        <w:rPr>
          <w:sz w:val="24"/>
          <w:lang w:val="hu-HU"/>
        </w:rPr>
      </w:pPr>
      <w:r w:rsidRPr="00087735">
        <w:rPr>
          <w:rStyle w:val="FootnoteReference"/>
          <w:sz w:val="24"/>
          <w:lang w:val="hu-HU"/>
        </w:rPr>
        <w:sym w:font="Symbol" w:char="F02B"/>
      </w:r>
      <w:r w:rsidR="00087735" w:rsidRPr="00087735">
        <w:rPr>
          <w:sz w:val="24"/>
          <w:lang w:val="hu-HU"/>
        </w:rPr>
        <w:t xml:space="preserve"> </w:t>
      </w:r>
      <w:r w:rsidR="00087735" w:rsidRPr="00087735">
        <w:rPr>
          <w:sz w:val="24"/>
          <w:lang w:val="hu-HU"/>
        </w:rPr>
        <w:tab/>
      </w:r>
      <w:r w:rsidRPr="00087735">
        <w:rPr>
          <w:sz w:val="24"/>
          <w:lang w:val="hu-HU"/>
        </w:rPr>
        <w:t xml:space="preserve">HL: Kérjük, illesszék be a szövegbe a PE-CONS 10/24 </w:t>
      </w:r>
      <w:r w:rsidRPr="00087735">
        <w:rPr>
          <w:sz w:val="24"/>
          <w:lang w:val="hu-HU"/>
        </w:rPr>
        <w:t>(2023/0200</w:t>
      </w:r>
      <w:bookmarkStart w:id="9" w:name="_GoBack"/>
      <w:bookmarkEnd w:id="9"/>
      <w:r w:rsidRPr="00087735">
        <w:rPr>
          <w:sz w:val="24"/>
          <w:lang w:val="hu-HU"/>
        </w:rPr>
        <w:t>(COD)) dokumentumban szereplő rendelet számát, és illesszék be a lábjegyzetbe az említett rendelet számát, dátumát és HL-hivatkozását.</w:t>
      </w:r>
    </w:p>
  </w:footnote>
  <w:footnote w:id="11">
    <w:p w:rsidR="00B5286B" w:rsidRPr="00087735" w:rsidRDefault="00B5286B" w:rsidP="00087735">
      <w:pPr>
        <w:pStyle w:val="FootnoteText"/>
        <w:ind w:left="567" w:hanging="567"/>
        <w:rPr>
          <w:sz w:val="24"/>
          <w:lang w:val="hu-HU"/>
        </w:rPr>
      </w:pPr>
      <w:r w:rsidRPr="00087735">
        <w:rPr>
          <w:rStyle w:val="FootnoteReference"/>
          <w:sz w:val="24"/>
          <w:lang w:val="hu-HU"/>
        </w:rPr>
        <w:sym w:font="Symbol" w:char="F02B"/>
      </w:r>
      <w:r w:rsidR="00087735" w:rsidRPr="00087735">
        <w:rPr>
          <w:sz w:val="24"/>
          <w:lang w:val="hu-HU"/>
        </w:rPr>
        <w:t xml:space="preserve"> </w:t>
      </w:r>
      <w:r w:rsidR="00087735" w:rsidRPr="00087735">
        <w:rPr>
          <w:sz w:val="24"/>
          <w:lang w:val="hu-HU"/>
        </w:rPr>
        <w:tab/>
      </w:r>
      <w:r w:rsidRPr="00087735">
        <w:rPr>
          <w:sz w:val="24"/>
          <w:lang w:val="hu-HU"/>
        </w:rPr>
        <w:t xml:space="preserve">HL: kérjük, illesszék be a szövegbe a PE-CONS 10/24 (2023/0200(COD)) </w:t>
      </w:r>
      <w:proofErr w:type="gramStart"/>
      <w:r w:rsidRPr="00087735">
        <w:rPr>
          <w:sz w:val="24"/>
          <w:lang w:val="hu-HU"/>
        </w:rPr>
        <w:t>dokumentumban</w:t>
      </w:r>
      <w:proofErr w:type="gramEnd"/>
      <w:r w:rsidRPr="00087735">
        <w:rPr>
          <w:sz w:val="24"/>
          <w:lang w:val="hu-HU"/>
        </w:rPr>
        <w:t xml:space="preserve"> szereplő rendelet számát</w:t>
      </w:r>
    </w:p>
  </w:footnote>
  <w:footnote w:id="12">
    <w:p w:rsidR="00B5286B" w:rsidRPr="00087735" w:rsidRDefault="00B5286B" w:rsidP="00087735">
      <w:pPr>
        <w:pStyle w:val="FootnoteText"/>
        <w:ind w:left="567" w:hanging="567"/>
        <w:rPr>
          <w:sz w:val="24"/>
          <w:lang w:val="hu-HU"/>
        </w:rPr>
      </w:pPr>
      <w:r w:rsidRPr="00087735">
        <w:rPr>
          <w:rStyle w:val="FootnoteReference"/>
          <w:sz w:val="24"/>
          <w:lang w:val="hu-HU"/>
        </w:rPr>
        <w:footnoteRef/>
      </w:r>
      <w:r w:rsidR="00087735" w:rsidRPr="00087735">
        <w:rPr>
          <w:sz w:val="24"/>
          <w:lang w:val="hu-HU"/>
        </w:rPr>
        <w:t xml:space="preserve"> </w:t>
      </w:r>
      <w:r w:rsidR="00087735" w:rsidRPr="00087735">
        <w:rPr>
          <w:sz w:val="24"/>
          <w:lang w:val="hu-HU"/>
        </w:rPr>
        <w:tab/>
      </w:r>
      <w:r w:rsidRPr="00087735">
        <w:rPr>
          <w:sz w:val="24"/>
          <w:lang w:val="hu-HU"/>
        </w:rPr>
        <w:t>Az Európai Parlament, a Tanács és a Bizottság együttes nyilatkozata a visszavont forrásoknak a kutatási programmal összefüggésben történő újbóli felhasználásáról (2020/C 444 I/03)</w:t>
      </w:r>
      <w:r w:rsidR="004437B1">
        <w:rPr>
          <w:sz w:val="24"/>
          <w:lang w:val="hu-HU"/>
        </w:rPr>
        <w:t xml:space="preserve"> (</w:t>
      </w:r>
      <w:r w:rsidRPr="00087735">
        <w:rPr>
          <w:sz w:val="24"/>
          <w:lang w:val="hu-HU"/>
        </w:rPr>
        <w:t>HL C 444. I, 2020.12.22</w:t>
      </w:r>
      <w:proofErr w:type="gramStart"/>
      <w:r w:rsidRPr="00087735">
        <w:rPr>
          <w:sz w:val="24"/>
          <w:lang w:val="hu-HU"/>
        </w:rPr>
        <w:t>.,</w:t>
      </w:r>
      <w:proofErr w:type="gramEnd"/>
      <w:r w:rsidRPr="00087735">
        <w:rPr>
          <w:sz w:val="24"/>
          <w:lang w:val="hu-HU"/>
        </w:rPr>
        <w:t xml:space="preserve"> 3.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86B" w:rsidRPr="00087735" w:rsidRDefault="00B528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86B" w:rsidRPr="00087735" w:rsidRDefault="00B528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86B" w:rsidRPr="00087735" w:rsidRDefault="00B5286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7735"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7735"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8773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frame="1"/>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 w:numId="46">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1/2024"/>
    <w:docVar w:name="dvlangue" w:val="HU"/>
    <w:docVar w:name="dvnumam" w:val="0"/>
    <w:docVar w:name="dvpe" w:val="758.992"/>
    <w:docVar w:name="dvrapporteur" w:val="Előadók: "/>
    <w:docVar w:name="dvstar" w:val="***"/>
    <w:docVar w:name="dvtitre" w:val="Az Európai Parlament 2024.  ...-i jogalkotási állásfoglalása a 2021–2027-es időszakra vonatkozó többéves pénzügyi keretről szóló 2020/2093/EU, Euratom rendelet módosítására irányuló tanácsi rendelet tervezetéről(05818/2024 – C9-0030/2024 – 2023/0201(APP))"/>
  </w:docVars>
  <w:rsids>
    <w:rsidRoot w:val="00E32707"/>
    <w:rsid w:val="00002272"/>
    <w:rsid w:val="00064002"/>
    <w:rsid w:val="000677B9"/>
    <w:rsid w:val="000831BA"/>
    <w:rsid w:val="00087735"/>
    <w:rsid w:val="000A42CC"/>
    <w:rsid w:val="000E7DD9"/>
    <w:rsid w:val="0010095E"/>
    <w:rsid w:val="00125B37"/>
    <w:rsid w:val="00187494"/>
    <w:rsid w:val="001F32AE"/>
    <w:rsid w:val="002767FF"/>
    <w:rsid w:val="00291EC2"/>
    <w:rsid w:val="002B18FE"/>
    <w:rsid w:val="002B5493"/>
    <w:rsid w:val="002E39D4"/>
    <w:rsid w:val="00343214"/>
    <w:rsid w:val="00361C00"/>
    <w:rsid w:val="00395FA1"/>
    <w:rsid w:val="003E15D4"/>
    <w:rsid w:val="00411CCE"/>
    <w:rsid w:val="0041666E"/>
    <w:rsid w:val="00421060"/>
    <w:rsid w:val="004437B1"/>
    <w:rsid w:val="00471C19"/>
    <w:rsid w:val="004867E3"/>
    <w:rsid w:val="00494A28"/>
    <w:rsid w:val="004C0004"/>
    <w:rsid w:val="004C5D52"/>
    <w:rsid w:val="0050519A"/>
    <w:rsid w:val="005072A1"/>
    <w:rsid w:val="00514517"/>
    <w:rsid w:val="00545827"/>
    <w:rsid w:val="00560270"/>
    <w:rsid w:val="0059293D"/>
    <w:rsid w:val="005C2568"/>
    <w:rsid w:val="006037C0"/>
    <w:rsid w:val="00653C5D"/>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796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286B"/>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270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D1AA82"/>
  <w15:chartTrackingRefBased/>
  <w15:docId w15:val="{5D4E1FF5-E320-456B-8A4B-534F4AD56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symbolCarZchn"/>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5286B"/>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B5286B"/>
    <w:pPr>
      <w:keepNext/>
      <w:spacing w:after="480"/>
      <w:jc w:val="center"/>
    </w:pPr>
    <w:rPr>
      <w:rFonts w:ascii="Arial" w:hAnsi="Arial" w:cs="Arial"/>
      <w:b/>
    </w:rPr>
  </w:style>
  <w:style w:type="paragraph" w:customStyle="1" w:styleId="NormalBold">
    <w:name w:val="NormalBold"/>
    <w:basedOn w:val="Normal"/>
    <w:rsid w:val="00B5286B"/>
    <w:rPr>
      <w:b/>
    </w:rPr>
  </w:style>
  <w:style w:type="paragraph" w:customStyle="1" w:styleId="NormalHanging12a">
    <w:name w:val="NormalHanging12a"/>
    <w:basedOn w:val="Normal"/>
    <w:rsid w:val="00B5286B"/>
    <w:pPr>
      <w:spacing w:after="240"/>
      <w:ind w:left="567" w:hanging="567"/>
    </w:pPr>
  </w:style>
  <w:style w:type="paragraph" w:customStyle="1" w:styleId="EPComma">
    <w:name w:val="EPComma"/>
    <w:basedOn w:val="Normal"/>
    <w:rsid w:val="00B5286B"/>
    <w:pPr>
      <w:spacing w:before="480" w:after="240"/>
    </w:pPr>
  </w:style>
  <w:style w:type="paragraph" w:styleId="Header">
    <w:name w:val="header"/>
    <w:basedOn w:val="Normal"/>
    <w:link w:val="HeaderChar"/>
    <w:uiPriority w:val="99"/>
    <w:rsid w:val="00B5286B"/>
    <w:pPr>
      <w:tabs>
        <w:tab w:val="center" w:pos="4513"/>
        <w:tab w:val="right" w:pos="9026"/>
      </w:tabs>
    </w:pPr>
  </w:style>
  <w:style w:type="character" w:customStyle="1" w:styleId="HeaderChar">
    <w:name w:val="Header Char"/>
    <w:basedOn w:val="DefaultParagraphFont"/>
    <w:link w:val="Header"/>
    <w:uiPriority w:val="99"/>
    <w:rsid w:val="00B5286B"/>
    <w:rPr>
      <w:sz w:val="24"/>
      <w:lang w:val="hu-HU"/>
    </w:rPr>
  </w:style>
  <w:style w:type="paragraph" w:customStyle="1" w:styleId="EPFooter">
    <w:name w:val="EPFooter"/>
    <w:basedOn w:val="Normal"/>
    <w:rsid w:val="00B5286B"/>
    <w:pPr>
      <w:tabs>
        <w:tab w:val="center" w:pos="4535"/>
        <w:tab w:val="right" w:pos="9071"/>
      </w:tabs>
      <w:spacing w:before="240" w:after="240"/>
    </w:pPr>
    <w:rPr>
      <w:color w:val="010000"/>
      <w:sz w:val="22"/>
    </w:rPr>
  </w:style>
  <w:style w:type="paragraph" w:customStyle="1" w:styleId="Text1">
    <w:name w:val="Text 1"/>
    <w:basedOn w:val="Normal"/>
    <w:rsid w:val="00B5286B"/>
    <w:pPr>
      <w:widowControl/>
      <w:spacing w:before="120" w:after="120" w:line="360" w:lineRule="auto"/>
      <w:ind w:left="850"/>
    </w:pPr>
    <w:rPr>
      <w:rFonts w:eastAsiaTheme="minorHAnsi"/>
      <w:szCs w:val="22"/>
      <w:lang w:eastAsia="en-US"/>
    </w:rPr>
  </w:style>
  <w:style w:type="paragraph" w:customStyle="1" w:styleId="Text2">
    <w:name w:val="Text 2"/>
    <w:basedOn w:val="Normal"/>
    <w:rsid w:val="00B5286B"/>
    <w:pPr>
      <w:widowControl/>
      <w:spacing w:before="120" w:after="120" w:line="360" w:lineRule="auto"/>
      <w:ind w:left="1417"/>
    </w:pPr>
    <w:rPr>
      <w:rFonts w:eastAsiaTheme="minorHAnsi"/>
      <w:szCs w:val="22"/>
      <w:lang w:eastAsia="en-US"/>
    </w:rPr>
  </w:style>
  <w:style w:type="paragraph" w:customStyle="1" w:styleId="NormalCentered">
    <w:name w:val="Normal Centered"/>
    <w:basedOn w:val="Normal"/>
    <w:rsid w:val="00B5286B"/>
    <w:pPr>
      <w:widowControl/>
      <w:spacing w:before="120" w:after="120" w:line="360" w:lineRule="auto"/>
      <w:jc w:val="center"/>
    </w:pPr>
    <w:rPr>
      <w:rFonts w:eastAsiaTheme="minorHAnsi"/>
      <w:szCs w:val="22"/>
      <w:lang w:eastAsia="en-US"/>
    </w:rPr>
  </w:style>
  <w:style w:type="paragraph" w:customStyle="1" w:styleId="NormalRight">
    <w:name w:val="Normal Right"/>
    <w:basedOn w:val="Normal"/>
    <w:rsid w:val="00B5286B"/>
    <w:pPr>
      <w:widowControl/>
      <w:spacing w:before="120" w:after="120" w:line="360" w:lineRule="auto"/>
      <w:jc w:val="right"/>
    </w:pPr>
    <w:rPr>
      <w:rFonts w:eastAsiaTheme="minorHAnsi"/>
      <w:szCs w:val="22"/>
      <w:lang w:eastAsia="en-US"/>
    </w:rPr>
  </w:style>
  <w:style w:type="paragraph" w:customStyle="1" w:styleId="Point0">
    <w:name w:val="Point 0"/>
    <w:basedOn w:val="Normal"/>
    <w:rsid w:val="00B5286B"/>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B5286B"/>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B5286B"/>
    <w:pPr>
      <w:widowControl/>
      <w:spacing w:before="120" w:after="120" w:line="360" w:lineRule="auto"/>
      <w:ind w:left="1984" w:hanging="567"/>
    </w:pPr>
    <w:rPr>
      <w:rFonts w:eastAsiaTheme="minorHAnsi"/>
      <w:szCs w:val="22"/>
      <w:lang w:eastAsia="en-US"/>
    </w:rPr>
  </w:style>
  <w:style w:type="paragraph" w:customStyle="1" w:styleId="Tiret2">
    <w:name w:val="Tiret 2"/>
    <w:basedOn w:val="Normal"/>
    <w:rsid w:val="00B5286B"/>
    <w:pPr>
      <w:widowControl/>
      <w:numPr>
        <w:numId w:val="45"/>
      </w:numPr>
      <w:spacing w:before="120" w:after="120" w:line="360" w:lineRule="auto"/>
    </w:pPr>
    <w:rPr>
      <w:rFonts w:eastAsiaTheme="minorHAnsi"/>
      <w:szCs w:val="22"/>
      <w:lang w:eastAsia="en-US"/>
    </w:rPr>
  </w:style>
  <w:style w:type="paragraph" w:customStyle="1" w:styleId="Fait">
    <w:name w:val="Fait à"/>
    <w:basedOn w:val="Normal"/>
    <w:next w:val="Institutionquisigne"/>
    <w:rsid w:val="00B5286B"/>
    <w:pPr>
      <w:keepNext/>
      <w:widowControl/>
      <w:spacing w:before="120" w:line="360" w:lineRule="auto"/>
    </w:pPr>
    <w:rPr>
      <w:rFonts w:eastAsiaTheme="minorHAnsi"/>
      <w:szCs w:val="22"/>
      <w:lang w:eastAsia="en-US"/>
    </w:rPr>
  </w:style>
  <w:style w:type="paragraph" w:customStyle="1" w:styleId="Applicationdirecte">
    <w:name w:val="Application directe"/>
    <w:basedOn w:val="Normal"/>
    <w:next w:val="Fait"/>
    <w:rsid w:val="00B5286B"/>
    <w:pPr>
      <w:widowControl/>
      <w:spacing w:before="480" w:after="120" w:line="360" w:lineRule="auto"/>
    </w:pPr>
    <w:rPr>
      <w:rFonts w:eastAsiaTheme="minorHAnsi"/>
      <w:szCs w:val="22"/>
      <w:lang w:eastAsia="en-US"/>
    </w:rPr>
  </w:style>
  <w:style w:type="paragraph" w:customStyle="1" w:styleId="Titreobjet">
    <w:name w:val="Titre objet"/>
    <w:basedOn w:val="Normal"/>
    <w:next w:val="Normal"/>
    <w:rsid w:val="00B5286B"/>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B5286B"/>
    <w:pPr>
      <w:widowControl/>
      <w:spacing w:before="360" w:line="360" w:lineRule="auto"/>
      <w:jc w:val="center"/>
    </w:pPr>
    <w:rPr>
      <w:rFonts w:eastAsiaTheme="minorHAnsi"/>
      <w:b/>
      <w:szCs w:val="22"/>
      <w:lang w:eastAsia="en-US"/>
    </w:rPr>
  </w:style>
  <w:style w:type="paragraph" w:customStyle="1" w:styleId="Institutionquisigne">
    <w:name w:val="Institution qui signe"/>
    <w:basedOn w:val="Normal"/>
    <w:next w:val="Personnequisigne"/>
    <w:rsid w:val="00B5286B"/>
    <w:pPr>
      <w:keepNext/>
      <w:widowControl/>
      <w:tabs>
        <w:tab w:val="left" w:pos="5669"/>
      </w:tabs>
      <w:spacing w:before="720" w:line="360" w:lineRule="auto"/>
    </w:pPr>
    <w:rPr>
      <w:rFonts w:eastAsiaTheme="minorHAnsi"/>
      <w:i/>
      <w:szCs w:val="22"/>
      <w:lang w:eastAsia="en-US"/>
    </w:rPr>
  </w:style>
  <w:style w:type="paragraph" w:customStyle="1" w:styleId="Titrearticle">
    <w:name w:val="Titre article"/>
    <w:basedOn w:val="Normal"/>
    <w:next w:val="Normal"/>
    <w:rsid w:val="00B5286B"/>
    <w:pPr>
      <w:keepNext/>
      <w:widowControl/>
      <w:spacing w:before="360" w:after="120" w:line="360" w:lineRule="auto"/>
      <w:jc w:val="center"/>
    </w:pPr>
    <w:rPr>
      <w:rFonts w:eastAsiaTheme="minorHAnsi"/>
      <w:i/>
      <w:szCs w:val="22"/>
      <w:lang w:eastAsia="en-US"/>
    </w:rPr>
  </w:style>
  <w:style w:type="paragraph" w:customStyle="1" w:styleId="Formuledadoption">
    <w:name w:val="Formule d'adoption"/>
    <w:basedOn w:val="Normal"/>
    <w:next w:val="Titrearticle"/>
    <w:rsid w:val="00B5286B"/>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B5286B"/>
    <w:pPr>
      <w:keepNext/>
      <w:widowControl/>
      <w:spacing w:before="600" w:after="120" w:line="360" w:lineRule="auto"/>
    </w:pPr>
    <w:rPr>
      <w:rFonts w:eastAsiaTheme="minorHAnsi"/>
      <w:szCs w:val="22"/>
      <w:lang w:eastAsia="en-US"/>
    </w:rPr>
  </w:style>
  <w:style w:type="paragraph" w:customStyle="1" w:styleId="Personnequisigne">
    <w:name w:val="Personne qui signe"/>
    <w:basedOn w:val="Normal"/>
    <w:next w:val="Institutionquisigne"/>
    <w:rsid w:val="00B5286B"/>
    <w:pPr>
      <w:widowControl/>
      <w:tabs>
        <w:tab w:val="left" w:pos="5669"/>
      </w:tabs>
      <w:spacing w:line="360" w:lineRule="auto"/>
    </w:pPr>
    <w:rPr>
      <w:rFonts w:eastAsiaTheme="minorHAnsi"/>
      <w:i/>
      <w:szCs w:val="22"/>
      <w:lang w:eastAsia="en-US"/>
    </w:rPr>
  </w:style>
  <w:style w:type="paragraph" w:customStyle="1" w:styleId="ManualConsidrant">
    <w:name w:val="Manual Considérant"/>
    <w:basedOn w:val="Normal"/>
    <w:rsid w:val="00B5286B"/>
    <w:pPr>
      <w:widowControl/>
      <w:spacing w:before="120" w:after="120" w:line="360" w:lineRule="auto"/>
      <w:ind w:left="850" w:hanging="850"/>
    </w:pPr>
    <w:rPr>
      <w:rFonts w:eastAsiaTheme="minorHAnsi"/>
      <w:szCs w:val="22"/>
      <w:lang w:eastAsia="en-US"/>
    </w:rPr>
  </w:style>
  <w:style w:type="paragraph" w:customStyle="1" w:styleId="Typedudocument">
    <w:name w:val="Type du document"/>
    <w:basedOn w:val="Normal"/>
    <w:next w:val="Datedadoption"/>
    <w:rsid w:val="00B5286B"/>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B5286B"/>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B5286B"/>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Annexetitre">
    <w:name w:val="Annexe titre"/>
    <w:basedOn w:val="Normal"/>
    <w:next w:val="Normal"/>
    <w:rsid w:val="00B5286B"/>
    <w:pPr>
      <w:widowControl/>
      <w:spacing w:before="120" w:after="120" w:line="360" w:lineRule="auto"/>
      <w:jc w:val="center"/>
    </w:pPr>
    <w:rPr>
      <w:rFonts w:eastAsiaTheme="minorHAnsi"/>
      <w:b/>
      <w:szCs w:val="22"/>
      <w:u w:val="single"/>
      <w:lang w:eastAsia="en-US"/>
    </w:rPr>
  </w:style>
  <w:style w:type="paragraph" w:styleId="NormalWeb">
    <w:name w:val="Normal (Web)"/>
    <w:basedOn w:val="Normal"/>
    <w:uiPriority w:val="99"/>
    <w:unhideWhenUsed/>
    <w:rsid w:val="00B5286B"/>
    <w:pPr>
      <w:widowControl/>
      <w:spacing w:before="100" w:beforeAutospacing="1" w:after="100" w:afterAutospacing="1"/>
    </w:pPr>
    <w:rPr>
      <w:szCs w:val="24"/>
      <w:lang w:eastAsia="en-I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B5286B"/>
    <w:pPr>
      <w:widowControl/>
      <w:spacing w:after="160" w:line="240" w:lineRule="exact"/>
      <w:jc w:val="both"/>
    </w:pPr>
    <w:rPr>
      <w:sz w:val="20"/>
      <w:vertAlign w:val="superscript"/>
      <w:lang w:val="en-GB"/>
    </w:rPr>
  </w:style>
  <w:style w:type="character" w:customStyle="1" w:styleId="Bodytext1">
    <w:name w:val="Body text|1_"/>
    <w:basedOn w:val="DefaultParagraphFont"/>
    <w:link w:val="Bodytext10"/>
    <w:rsid w:val="00B5286B"/>
    <w:rPr>
      <w:color w:val="231F20"/>
      <w:sz w:val="19"/>
      <w:szCs w:val="19"/>
    </w:rPr>
  </w:style>
  <w:style w:type="paragraph" w:customStyle="1" w:styleId="Bodytext10">
    <w:name w:val="Body text|1"/>
    <w:basedOn w:val="Normal"/>
    <w:link w:val="Bodytext1"/>
    <w:rsid w:val="00B5286B"/>
    <w:pPr>
      <w:spacing w:after="360"/>
    </w:pPr>
    <w:rPr>
      <w:color w:val="231F20"/>
      <w:sz w:val="19"/>
      <w:szCs w:val="19"/>
      <w:lang w:val="en-GB"/>
    </w:rPr>
  </w:style>
  <w:style w:type="paragraph" w:styleId="Footer">
    <w:name w:val="footer"/>
    <w:basedOn w:val="Normal"/>
    <w:link w:val="FooterChar"/>
    <w:rsid w:val="004437B1"/>
    <w:pPr>
      <w:tabs>
        <w:tab w:val="center" w:pos="4513"/>
        <w:tab w:val="right" w:pos="9026"/>
      </w:tabs>
    </w:pPr>
  </w:style>
  <w:style w:type="character" w:customStyle="1" w:styleId="FooterChar">
    <w:name w:val="Footer Char"/>
    <w:basedOn w:val="DefaultParagraphFont"/>
    <w:link w:val="Footer"/>
    <w:rsid w:val="004437B1"/>
    <w:rPr>
      <w:sz w:val="24"/>
      <w:lang w:val="hu-HU"/>
    </w:rPr>
  </w:style>
  <w:style w:type="paragraph" w:styleId="BalloonText">
    <w:name w:val="Balloon Text"/>
    <w:basedOn w:val="Normal"/>
    <w:link w:val="BalloonTextChar"/>
    <w:rsid w:val="004437B1"/>
    <w:rPr>
      <w:rFonts w:ascii="Segoe UI" w:hAnsi="Segoe UI" w:cs="Segoe UI"/>
      <w:sz w:val="18"/>
      <w:szCs w:val="18"/>
    </w:rPr>
  </w:style>
  <w:style w:type="character" w:customStyle="1" w:styleId="BalloonTextChar">
    <w:name w:val="Balloon Text Char"/>
    <w:basedOn w:val="DefaultParagraphFont"/>
    <w:link w:val="BalloonText"/>
    <w:rsid w:val="004437B1"/>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95ED8C-881F-4BEE-987D-3525FDC05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24</Pages>
  <Words>3745</Words>
  <Characters>25005</Characters>
  <Application>Microsoft Office Word</Application>
  <DocSecurity>0</DocSecurity>
  <Lines>208</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2024-05-30T14:42:00Z</dcterms:created>
  <dcterms:modified xsi:type="dcterms:W3CDTF">2024-05-30T14:42:00Z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P9_TA(2024)0081_</vt:lpwstr>
  </property>
  <property fmtid="{D5CDD505-2E9C-101B-9397-08002B2CF9AE}" pid="4" name="&lt;Type&gt;">
    <vt:lpwstr>RR</vt:lpwstr>
  </property>
</Properties>
</file>