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392F" w14:paraId="779A3ADA" w14:textId="77777777" w:rsidTr="0010095E">
        <w:trPr>
          <w:trHeight w:hRule="exact" w:val="1418"/>
        </w:trPr>
        <w:tc>
          <w:tcPr>
            <w:tcW w:w="6804" w:type="dxa"/>
            <w:shd w:val="clear" w:color="auto" w:fill="auto"/>
            <w:vAlign w:val="center"/>
          </w:tcPr>
          <w:p w14:paraId="23B538CE" w14:textId="77777777" w:rsidR="00751A4A" w:rsidRPr="003C392F" w:rsidRDefault="00F42433" w:rsidP="0010095E">
            <w:pPr>
              <w:pStyle w:val="EPName"/>
            </w:pPr>
            <w:r w:rsidRPr="003C392F">
              <w:t>Parlamento europeo</w:t>
            </w:r>
          </w:p>
          <w:p w14:paraId="7A50FF70" w14:textId="77777777" w:rsidR="00751A4A" w:rsidRPr="003C392F" w:rsidRDefault="00817416" w:rsidP="00756632">
            <w:pPr>
              <w:pStyle w:val="EPTerm"/>
              <w:rPr>
                <w:rStyle w:val="HideTWBExt"/>
                <w:noProof w:val="0"/>
                <w:vanish w:val="0"/>
                <w:color w:val="auto"/>
              </w:rPr>
            </w:pPr>
            <w:r w:rsidRPr="003C392F">
              <w:t>2019-2024</w:t>
            </w:r>
          </w:p>
        </w:tc>
        <w:tc>
          <w:tcPr>
            <w:tcW w:w="2268" w:type="dxa"/>
            <w:shd w:val="clear" w:color="auto" w:fill="auto"/>
          </w:tcPr>
          <w:p w14:paraId="10646C45" w14:textId="77777777" w:rsidR="00751A4A" w:rsidRPr="003C392F" w:rsidRDefault="00187494" w:rsidP="0010095E">
            <w:pPr>
              <w:pStyle w:val="EPLogo"/>
            </w:pPr>
            <w:r w:rsidRPr="003C392F">
              <w:rPr>
                <w:noProof/>
                <w:lang w:val="en-GB"/>
              </w:rPr>
              <w:drawing>
                <wp:inline distT="0" distB="0" distL="0" distR="0" wp14:anchorId="67E8C16B" wp14:editId="67511E3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D0A857" w14:textId="77777777" w:rsidR="00D058B8" w:rsidRPr="003C392F" w:rsidRDefault="00D058B8" w:rsidP="004C5D52">
      <w:pPr>
        <w:pStyle w:val="LineTop"/>
      </w:pPr>
    </w:p>
    <w:p w14:paraId="49D70837" w14:textId="77777777" w:rsidR="00680577" w:rsidRPr="003C392F" w:rsidRDefault="00F42433" w:rsidP="00680577">
      <w:pPr>
        <w:pStyle w:val="EPBodyTA1"/>
      </w:pPr>
      <w:r w:rsidRPr="003C392F">
        <w:t>TESTI APPROVATI</w:t>
      </w:r>
    </w:p>
    <w:p w14:paraId="59631480" w14:textId="77777777" w:rsidR="00D058B8" w:rsidRPr="003C392F" w:rsidRDefault="00D058B8" w:rsidP="00D058B8">
      <w:pPr>
        <w:pStyle w:val="LineBottom"/>
      </w:pPr>
    </w:p>
    <w:p w14:paraId="49164944" w14:textId="73714BA8" w:rsidR="00F42433" w:rsidRPr="003C392F" w:rsidRDefault="00F42433" w:rsidP="00F42433">
      <w:pPr>
        <w:pStyle w:val="ATHeading1"/>
      </w:pPr>
      <w:bookmarkStart w:id="0" w:name="TANumber"/>
      <w:r w:rsidRPr="003C392F">
        <w:t>P9_TA(2024)00</w:t>
      </w:r>
      <w:r w:rsidR="003C392F" w:rsidRPr="003C392F">
        <w:t>81</w:t>
      </w:r>
      <w:bookmarkEnd w:id="0"/>
    </w:p>
    <w:p w14:paraId="77059C94" w14:textId="77777777" w:rsidR="00F42433" w:rsidRPr="003C392F" w:rsidRDefault="00F42433" w:rsidP="00F42433">
      <w:pPr>
        <w:pStyle w:val="ATHeading2"/>
      </w:pPr>
      <w:bookmarkStart w:id="1" w:name="title"/>
      <w:r w:rsidRPr="003C392F">
        <w:t>Quadro finanziario pluriennale per il periodo 2021-2027</w:t>
      </w:r>
      <w:bookmarkEnd w:id="1"/>
    </w:p>
    <w:p w14:paraId="2D54C2AB" w14:textId="4D9ACA36" w:rsidR="00F42433" w:rsidRPr="003C392F" w:rsidRDefault="00F42433" w:rsidP="00F42433">
      <w:pPr>
        <w:rPr>
          <w:i/>
          <w:vanish/>
        </w:rPr>
      </w:pPr>
      <w:r w:rsidRPr="003C392F">
        <w:rPr>
          <w:i/>
        </w:rPr>
        <w:fldChar w:fldCharType="begin"/>
      </w:r>
      <w:r w:rsidRPr="003C392F">
        <w:rPr>
          <w:i/>
        </w:rPr>
        <w:instrText xml:space="preserve"> TC"(</w:instrText>
      </w:r>
      <w:bookmarkStart w:id="2" w:name="DocNumber"/>
      <w:r w:rsidRPr="003C392F">
        <w:rPr>
          <w:i/>
        </w:rPr>
        <w:instrText>A9-0051/2024</w:instrText>
      </w:r>
      <w:bookmarkEnd w:id="2"/>
      <w:r w:rsidRPr="003C392F">
        <w:rPr>
          <w:i/>
        </w:rPr>
        <w:instrText xml:space="preserve"> - </w:instrText>
      </w:r>
      <w:r w:rsidR="00F67646" w:rsidRPr="003C392F">
        <w:rPr>
          <w:i/>
        </w:rPr>
        <w:instrText>Co-r</w:instrText>
      </w:r>
      <w:r w:rsidRPr="003C392F">
        <w:rPr>
          <w:i/>
        </w:rPr>
        <w:instrText xml:space="preserve">elatori: Jan Olbrycht, Margarida Marques)"\l3 \n&gt; \* MERGEFORMAT </w:instrText>
      </w:r>
      <w:r w:rsidRPr="003C392F">
        <w:rPr>
          <w:i/>
        </w:rPr>
        <w:fldChar w:fldCharType="end"/>
      </w:r>
    </w:p>
    <w:p w14:paraId="27BCD8FD" w14:textId="77777777" w:rsidR="00F42433" w:rsidRPr="003C392F" w:rsidRDefault="00F42433" w:rsidP="00F42433">
      <w:pPr>
        <w:rPr>
          <w:vanish/>
        </w:rPr>
      </w:pPr>
      <w:bookmarkStart w:id="3" w:name="Commission"/>
      <w:r w:rsidRPr="003C392F">
        <w:rPr>
          <w:vanish/>
        </w:rPr>
        <w:t>Commissione per i bilanci</w:t>
      </w:r>
      <w:bookmarkEnd w:id="3"/>
    </w:p>
    <w:p w14:paraId="12DD2499" w14:textId="77777777" w:rsidR="00F42433" w:rsidRPr="003C392F" w:rsidRDefault="00F42433" w:rsidP="00F42433">
      <w:pPr>
        <w:rPr>
          <w:vanish/>
        </w:rPr>
      </w:pPr>
      <w:bookmarkStart w:id="4" w:name="PE"/>
      <w:r w:rsidRPr="003C392F">
        <w:rPr>
          <w:vanish/>
        </w:rPr>
        <w:t>PE758.992</w:t>
      </w:r>
      <w:bookmarkEnd w:id="4"/>
    </w:p>
    <w:p w14:paraId="48D1CE62" w14:textId="77777777" w:rsidR="00F42433" w:rsidRPr="003C392F" w:rsidRDefault="00F42433" w:rsidP="00F42433">
      <w:pPr>
        <w:pStyle w:val="ATHeading3"/>
      </w:pPr>
      <w:bookmarkStart w:id="5" w:name="Sujet"/>
      <w:r w:rsidRPr="003C392F">
        <w:t>Risoluzione legislativa del Parlamento europeo del 27 febbraio 2024 concernente il progetto di regolamento del Consiglio recante modifica del regolamento (UE, Euratom) 2020/2093 che stabilisce il quadro finanziario pluriennale per il periodo 2021-2027</w:t>
      </w:r>
      <w:bookmarkEnd w:id="5"/>
      <w:r w:rsidRPr="003C392F">
        <w:t xml:space="preserve"> </w:t>
      </w:r>
      <w:bookmarkStart w:id="6" w:name="References"/>
      <w:r w:rsidRPr="003C392F">
        <w:t>(05818/2024 – C9-0030/2024 – 2023/0201(APP))</w:t>
      </w:r>
      <w:bookmarkEnd w:id="6"/>
    </w:p>
    <w:p w14:paraId="33E76669" w14:textId="77777777" w:rsidR="005455C2" w:rsidRPr="003C392F" w:rsidRDefault="005455C2" w:rsidP="00C015C4">
      <w:pPr>
        <w:pStyle w:val="NormalBold"/>
        <w:spacing w:before="360"/>
      </w:pPr>
      <w:bookmarkStart w:id="7" w:name="TextBodyBegin"/>
      <w:bookmarkEnd w:id="7"/>
      <w:r w:rsidRPr="003C392F">
        <w:t>(Procedura legislativa speciale – approvazione)</w:t>
      </w:r>
    </w:p>
    <w:p w14:paraId="4F5097B2" w14:textId="77777777" w:rsidR="005455C2" w:rsidRPr="003C392F" w:rsidRDefault="005455C2" w:rsidP="005455C2">
      <w:pPr>
        <w:pStyle w:val="EPComma"/>
      </w:pPr>
      <w:r w:rsidRPr="003C392F">
        <w:rPr>
          <w:i/>
        </w:rPr>
        <w:t>Il Parlamento europeo</w:t>
      </w:r>
      <w:r w:rsidRPr="003C392F">
        <w:t>,</w:t>
      </w:r>
    </w:p>
    <w:p w14:paraId="61D8616D" w14:textId="6C3A7124" w:rsidR="005455C2" w:rsidRPr="003C392F" w:rsidRDefault="005455C2" w:rsidP="005455C2">
      <w:pPr>
        <w:pStyle w:val="NormalHanging12a"/>
      </w:pPr>
      <w:r w:rsidRPr="003C392F">
        <w:t>–</w:t>
      </w:r>
      <w:r w:rsidRPr="003C392F">
        <w:tab/>
        <w:t>visto il progetto di regolamento del Consiglio recante modifica del regolamento (UE, Euratom) 2020/2093 che stabilisce il quadro finanziario plurienna</w:t>
      </w:r>
      <w:r w:rsidR="00B77D39">
        <w:t>le per il periodo 2021-2027 (058</w:t>
      </w:r>
      <w:r w:rsidRPr="003C392F">
        <w:t>18/2024),</w:t>
      </w:r>
    </w:p>
    <w:p w14:paraId="451E83AA" w14:textId="77777777" w:rsidR="005455C2" w:rsidRPr="003C392F" w:rsidRDefault="005455C2" w:rsidP="005455C2">
      <w:pPr>
        <w:pStyle w:val="NormalHanging12a"/>
      </w:pPr>
      <w:r w:rsidRPr="003C392F">
        <w:t>–</w:t>
      </w:r>
      <w:r w:rsidRPr="003C392F">
        <w:tab/>
        <w:t>vista la richiesta di approvazione presentata dal Consiglio a norma dell'articolo 312, paragrafo 2, del trattato sul funzionamento dell'Unione europea (C9-0030/2024),</w:t>
      </w:r>
    </w:p>
    <w:p w14:paraId="3EADEE45" w14:textId="77777777" w:rsidR="005455C2" w:rsidRPr="003C392F" w:rsidRDefault="005455C2" w:rsidP="005455C2">
      <w:pPr>
        <w:pStyle w:val="NormalHanging12a"/>
      </w:pPr>
      <w:r w:rsidRPr="003C392F">
        <w:t>–</w:t>
      </w:r>
      <w:r w:rsidRPr="003C392F">
        <w:tab/>
        <w:t>vista la proposta di regolamento del Consiglio, presentata dalla Commissione il 20 giugno 2023, recante modifica del regolamento (UE, Euratom) 2020/2093 che stabilisce il quadro finanziario pluriennale per il periodo 2021-2027 (COM(2023)0337),</w:t>
      </w:r>
    </w:p>
    <w:p w14:paraId="319A9AEB" w14:textId="77777777" w:rsidR="005455C2" w:rsidRPr="003C392F" w:rsidRDefault="005455C2" w:rsidP="005455C2">
      <w:pPr>
        <w:pStyle w:val="NormalHanging12a"/>
        <w:rPr>
          <w:snapToGrid w:val="0"/>
          <w:szCs w:val="24"/>
        </w:rPr>
      </w:pPr>
      <w:r w:rsidRPr="003C392F">
        <w:t>–</w:t>
      </w:r>
      <w:r w:rsidRPr="003C392F">
        <w:tab/>
      </w:r>
      <w:r w:rsidRPr="003C392F">
        <w:rPr>
          <w:snapToGrid w:val="0"/>
        </w:rPr>
        <w:t>vista la sua risoluzione del 3 ottobre 2023 sulla proposta di revisione intermedia del quadro finanziario pluriennale 2021-2027</w:t>
      </w:r>
      <w:r w:rsidRPr="003C392F">
        <w:rPr>
          <w:snapToGrid w:val="0"/>
          <w:szCs w:val="24"/>
          <w:vertAlign w:val="superscript"/>
        </w:rPr>
        <w:footnoteReference w:id="1"/>
      </w:r>
      <w:r w:rsidRPr="003C392F">
        <w:rPr>
          <w:snapToGrid w:val="0"/>
        </w:rPr>
        <w:t>,</w:t>
      </w:r>
    </w:p>
    <w:p w14:paraId="1335F8A6" w14:textId="77777777" w:rsidR="005455C2" w:rsidRPr="003C392F" w:rsidRDefault="005455C2" w:rsidP="005455C2">
      <w:pPr>
        <w:pStyle w:val="NormalHanging12a"/>
      </w:pPr>
      <w:r w:rsidRPr="003C392F">
        <w:t>–</w:t>
      </w:r>
      <w:r w:rsidRPr="003C392F">
        <w:tab/>
        <w:t>visti l'articolo 92 e l'articolo 105, paragrafi 1 e 4, del suo regolamento,</w:t>
      </w:r>
    </w:p>
    <w:p w14:paraId="1890B287" w14:textId="77777777" w:rsidR="005455C2" w:rsidRPr="003C392F" w:rsidRDefault="005455C2" w:rsidP="005455C2">
      <w:pPr>
        <w:pStyle w:val="NormalHanging12a"/>
      </w:pPr>
      <w:r w:rsidRPr="003C392F">
        <w:t>–</w:t>
      </w:r>
      <w:r w:rsidRPr="003C392F">
        <w:tab/>
        <w:t>vista la raccomandazione della commissione per i bilanci (A9</w:t>
      </w:r>
      <w:r w:rsidRPr="003C392F">
        <w:noBreakHyphen/>
        <w:t>0051/2024),</w:t>
      </w:r>
    </w:p>
    <w:p w14:paraId="021D9DB1" w14:textId="77777777" w:rsidR="005455C2" w:rsidRPr="003C392F" w:rsidRDefault="005455C2" w:rsidP="005455C2">
      <w:pPr>
        <w:pStyle w:val="NormalHanging12a"/>
      </w:pPr>
      <w:r w:rsidRPr="003C392F">
        <w:t>1.</w:t>
      </w:r>
      <w:r w:rsidRPr="003C392F">
        <w:tab/>
        <w:t>dà la sua approvazione al progetto di regolamento del Consiglio quale enunciato nell'allegato alla presente risoluzione;</w:t>
      </w:r>
    </w:p>
    <w:p w14:paraId="45374F11" w14:textId="77777777" w:rsidR="005455C2" w:rsidRPr="003C392F" w:rsidRDefault="005455C2" w:rsidP="005455C2">
      <w:pPr>
        <w:pStyle w:val="NormalHanging12a"/>
      </w:pPr>
      <w:r w:rsidRPr="003C392F">
        <w:t>2.</w:t>
      </w:r>
      <w:r w:rsidRPr="003C392F">
        <w:tab/>
        <w:t>approva la dichiarazione comune del Parlamento, del Consiglio e della Commissione allegata alla presente risoluzione;</w:t>
      </w:r>
    </w:p>
    <w:p w14:paraId="75E108C1" w14:textId="77777777" w:rsidR="00C015C4" w:rsidRPr="003C392F" w:rsidRDefault="005455C2" w:rsidP="00C015C4">
      <w:pPr>
        <w:pStyle w:val="NormalHanging12a"/>
        <w:sectPr w:rsidR="00C015C4" w:rsidRPr="003C392F" w:rsidSect="00D37149">
          <w:footerReference w:type="even" r:id="rId9"/>
          <w:footerReference w:type="first" r:id="rId10"/>
          <w:footnotePr>
            <w:numRestart w:val="eachPage"/>
          </w:footnotePr>
          <w:pgSz w:w="11907" w:h="16839"/>
          <w:pgMar w:top="1134" w:right="1134" w:bottom="1134" w:left="1134" w:header="567" w:footer="567" w:gutter="0"/>
          <w:cols w:space="720"/>
          <w:docGrid w:linePitch="360"/>
        </w:sectPr>
      </w:pPr>
      <w:r w:rsidRPr="003C392F">
        <w:t>3.</w:t>
      </w:r>
      <w:r w:rsidRPr="003C392F">
        <w:tab/>
        <w:t xml:space="preserve">incarica la sua Presidente di trasmettere la posizione del Parlamento al Consiglio e alla </w:t>
      </w:r>
      <w:r w:rsidRPr="003C392F">
        <w:lastRenderedPageBreak/>
        <w:t>Commissione nonché ai parlamenti nazionali.</w:t>
      </w:r>
    </w:p>
    <w:p w14:paraId="5519D331" w14:textId="04AEBABB" w:rsidR="005455C2" w:rsidRPr="003C392F" w:rsidRDefault="005455C2" w:rsidP="005455C2">
      <w:pPr>
        <w:pStyle w:val="PageHeading"/>
        <w:rPr>
          <w:caps/>
        </w:rPr>
      </w:pPr>
      <w:bookmarkStart w:id="8" w:name="_Toc159509473"/>
      <w:bookmarkStart w:id="9" w:name="_Toc159571699"/>
      <w:r w:rsidRPr="003C392F">
        <w:rPr>
          <w:caps/>
        </w:rPr>
        <w:lastRenderedPageBreak/>
        <w:t xml:space="preserve">allegato 1: PROGETTO DI REGOLAMENTO DEL CONSIGLIO </w:t>
      </w:r>
      <w:bookmarkEnd w:id="8"/>
      <w:r w:rsidRPr="003C392F">
        <w:rPr>
          <w:caps/>
        </w:rPr>
        <w:t xml:space="preserve">recante modifica del regolamento </w:t>
      </w:r>
      <w:r w:rsidR="00B77D39">
        <w:rPr>
          <w:caps/>
        </w:rPr>
        <w:t xml:space="preserve">(UE, EURATOM) </w:t>
      </w:r>
      <w:r w:rsidRPr="003C392F">
        <w:rPr>
          <w:caps/>
        </w:rPr>
        <w:t>2020/2093 del Consiglio che stabilisce il quadro finanziario pluriennale per il periodo 2021-2027</w:t>
      </w:r>
      <w:bookmarkEnd w:id="9"/>
    </w:p>
    <w:p w14:paraId="5AC7DB09" w14:textId="77777777" w:rsidR="005455C2" w:rsidRPr="003C392F" w:rsidRDefault="005455C2" w:rsidP="005455C2">
      <w:pPr>
        <w:pStyle w:val="NormalHanging12a"/>
      </w:pPr>
    </w:p>
    <w:p w14:paraId="402AD91D" w14:textId="77777777" w:rsidR="005455C2" w:rsidRPr="003C392F" w:rsidRDefault="005455C2" w:rsidP="005455C2">
      <w:pPr>
        <w:pStyle w:val="Typedudocument"/>
      </w:pPr>
      <w:r w:rsidRPr="003C392F">
        <w:rPr>
          <w:noProof/>
        </w:rPr>
        <w:t xml:space="preserve">REGOLAMENTO (UE, Euratom) 2024/… </w:t>
      </w:r>
      <w:r w:rsidRPr="003C392F">
        <w:t>DEL CONSIGLIO</w:t>
      </w:r>
    </w:p>
    <w:p w14:paraId="46D7F624" w14:textId="77777777" w:rsidR="005455C2" w:rsidRPr="003C392F" w:rsidRDefault="005455C2" w:rsidP="005455C2">
      <w:pPr>
        <w:pStyle w:val="Datedadoption"/>
      </w:pPr>
      <w:r w:rsidRPr="003C392F">
        <w:t>del …</w:t>
      </w:r>
    </w:p>
    <w:p w14:paraId="660A9D4A" w14:textId="77777777" w:rsidR="005455C2" w:rsidRPr="003C392F" w:rsidRDefault="005455C2" w:rsidP="005455C2">
      <w:pPr>
        <w:pStyle w:val="Titreobjet"/>
        <w:rPr>
          <w:bCs/>
        </w:rPr>
      </w:pPr>
      <w:r w:rsidRPr="003C392F">
        <w:rPr>
          <w:bCs/>
        </w:rPr>
        <w:t>recante modifica del regolamento (UE, Euratom) 2020/2093 che stabilisce il quadro finanziario pluriennale per il periodo 2021-2027</w:t>
      </w:r>
    </w:p>
    <w:p w14:paraId="40411466" w14:textId="77777777" w:rsidR="005455C2" w:rsidRPr="003C392F" w:rsidRDefault="005455C2" w:rsidP="005455C2">
      <w:pPr>
        <w:pStyle w:val="Institutionquiagit"/>
      </w:pPr>
      <w:r w:rsidRPr="003C392F">
        <w:t>IL CONSIGLIO DELL'UNIONE EUROPEA,</w:t>
      </w:r>
    </w:p>
    <w:p w14:paraId="1BB851D7" w14:textId="77777777" w:rsidR="005455C2" w:rsidRPr="003C392F" w:rsidRDefault="005455C2" w:rsidP="005455C2">
      <w:pPr>
        <w:pStyle w:val="NormalLeft"/>
        <w:rPr>
          <w:noProof/>
        </w:rPr>
      </w:pPr>
      <w:r w:rsidRPr="003C392F">
        <w:t>visto il trattato sul funzionamento dell'Unione europea, in particolare l'articolo 312,</w:t>
      </w:r>
    </w:p>
    <w:p w14:paraId="09287535" w14:textId="77777777" w:rsidR="005455C2" w:rsidRPr="003C392F" w:rsidRDefault="005455C2" w:rsidP="005455C2">
      <w:pPr>
        <w:pStyle w:val="NormalLeft"/>
        <w:rPr>
          <w:noProof/>
        </w:rPr>
      </w:pPr>
      <w:r w:rsidRPr="003C392F">
        <w:t>visto il trattato che istituisce la Comunità europea dell'energia atomica, in particolare l'articolo 106 bis,</w:t>
      </w:r>
    </w:p>
    <w:p w14:paraId="70252C65" w14:textId="77777777" w:rsidR="005455C2" w:rsidRPr="003C392F" w:rsidRDefault="005455C2" w:rsidP="005455C2">
      <w:pPr>
        <w:pStyle w:val="NormalLeft"/>
        <w:rPr>
          <w:noProof/>
        </w:rPr>
      </w:pPr>
      <w:r w:rsidRPr="003C392F">
        <w:t>vista la proposta della Commissione europea,</w:t>
      </w:r>
    </w:p>
    <w:p w14:paraId="5D251D18" w14:textId="77777777" w:rsidR="005455C2" w:rsidRPr="003C392F" w:rsidRDefault="005455C2" w:rsidP="005455C2">
      <w:pPr>
        <w:pStyle w:val="NormalLeft"/>
        <w:rPr>
          <w:noProof/>
          <w:szCs w:val="24"/>
        </w:rPr>
      </w:pPr>
      <w:r w:rsidRPr="003C392F">
        <w:t>vista l'approvazione del Parlamento europeo</w:t>
      </w:r>
      <w:r w:rsidRPr="003C392F">
        <w:rPr>
          <w:noProof/>
          <w:vertAlign w:val="superscript"/>
        </w:rPr>
        <w:footnoteReference w:id="2"/>
      </w:r>
      <w:r w:rsidRPr="003C392F">
        <w:t>,</w:t>
      </w:r>
    </w:p>
    <w:p w14:paraId="73DA0C0A" w14:textId="77777777" w:rsidR="005455C2" w:rsidRPr="003C392F" w:rsidRDefault="005455C2" w:rsidP="005455C2">
      <w:pPr>
        <w:pStyle w:val="NormalLeft"/>
        <w:rPr>
          <w:noProof/>
          <w:szCs w:val="24"/>
        </w:rPr>
      </w:pPr>
      <w:r w:rsidRPr="003C392F">
        <w:t>previa trasmissione del progetto di atto legislativo ai parlamenti nazionali,</w:t>
      </w:r>
    </w:p>
    <w:p w14:paraId="0F0CD22C" w14:textId="77777777" w:rsidR="005455C2" w:rsidRPr="003C392F" w:rsidRDefault="005455C2" w:rsidP="005455C2">
      <w:r w:rsidRPr="003C392F">
        <w:t>deliberando secondo una procedura legislativa speciale,</w:t>
      </w:r>
    </w:p>
    <w:p w14:paraId="79E7A33E" w14:textId="77777777" w:rsidR="005455C2" w:rsidRPr="003C392F" w:rsidRDefault="005455C2" w:rsidP="005455C2">
      <w:r w:rsidRPr="003C392F">
        <w:br w:type="page"/>
      </w:r>
      <w:r w:rsidRPr="003C392F">
        <w:lastRenderedPageBreak/>
        <w:t>considerando quanto segue:</w:t>
      </w:r>
    </w:p>
    <w:p w14:paraId="466E89BE" w14:textId="77777777" w:rsidR="005455C2" w:rsidRPr="003C392F" w:rsidRDefault="005455C2" w:rsidP="005455C2">
      <w:pPr>
        <w:pStyle w:val="ManualConsidrant"/>
        <w:rPr>
          <w:noProof/>
        </w:rPr>
      </w:pPr>
      <w:r w:rsidRPr="003C392F">
        <w:t>(1)</w:t>
      </w:r>
      <w:r w:rsidRPr="003C392F">
        <w:tab/>
        <w:t>La Commissione ha presentato un riesame del funzionamento del quadro finanziario pluriennale (QFP) per il periodo 2021-2027 stabilito dal regolamento (UE, Euratom) 2020/2093 del Consiglio</w:t>
      </w:r>
      <w:r w:rsidRPr="003C392F">
        <w:rPr>
          <w:noProof/>
          <w:vertAlign w:val="superscript"/>
        </w:rPr>
        <w:footnoteReference w:id="3"/>
      </w:r>
      <w:r w:rsidRPr="003C392F">
        <w:t xml:space="preserve"> dopo i suoi primi anni di attuazione, comprendente una valutazione della sostenibilità dei massimali di spesa.</w:t>
      </w:r>
    </w:p>
    <w:p w14:paraId="19A7208F" w14:textId="77777777" w:rsidR="005455C2" w:rsidRPr="003C392F" w:rsidRDefault="005455C2" w:rsidP="005455C2">
      <w:pPr>
        <w:pStyle w:val="ManualConsidrant"/>
        <w:rPr>
          <w:noProof/>
        </w:rPr>
      </w:pPr>
      <w:r w:rsidRPr="003C392F">
        <w:t>(2)</w:t>
      </w:r>
      <w:r w:rsidRPr="003C392F">
        <w:tab/>
        <w:t>Dal dicembre 2020 l'Unione ha dovuto far fronte a una serie senza precedenti di sfide impreviste. L'Unione ha agito rapidamente e ha utilizzato tutti i mezzi a sua disposizione, ma la limitata flessibilità di bilancio incorporata nel QFP per gli anni 2021-2027 è quasi esaurita, ostacolando la capacità del bilancio dell'Unione di affrontare persino le sfide più urgenti.</w:t>
      </w:r>
    </w:p>
    <w:p w14:paraId="3B98BBF5" w14:textId="77777777" w:rsidR="005455C2" w:rsidRPr="003C392F" w:rsidRDefault="005455C2" w:rsidP="005455C2">
      <w:pPr>
        <w:pStyle w:val="ManualConsidrant"/>
        <w:rPr>
          <w:noProof/>
        </w:rPr>
      </w:pPr>
      <w:r w:rsidRPr="003C392F">
        <w:t>(3)</w:t>
      </w:r>
      <w:r w:rsidRPr="003C392F">
        <w:tab/>
        <w:t>Nei primi anni di attuazione del QFP è stato fatto ampio ricorso a strumenti speciali per affrontare molteplici sfide. Permane la necessità di intraprendere ulteriori azioni, ma le disponibilità di bilancio per far fronte a tali situazioni nel periodo residuo del QFP sono estremamente limitate.</w:t>
      </w:r>
    </w:p>
    <w:p w14:paraId="6D6F6DB5" w14:textId="77777777" w:rsidR="005455C2" w:rsidRPr="003C392F" w:rsidRDefault="005455C2" w:rsidP="005455C2">
      <w:pPr>
        <w:pStyle w:val="ManualConsidrant"/>
      </w:pPr>
      <w:r w:rsidRPr="003C392F">
        <w:br w:type="page"/>
      </w:r>
      <w:r w:rsidRPr="003C392F">
        <w:lastRenderedPageBreak/>
        <w:t>(4)</w:t>
      </w:r>
      <w:r w:rsidRPr="003C392F">
        <w:tab/>
        <w:t xml:space="preserve">Il bilancio dell'Unione dovrebbe consentire all'Unione di dare le necessarie risposte politiche alle sfide emergenti e di assolvere gli obblighi giuridici che non possono essere soddisfatti all'interno dei massimali vigenti né dal margine di flessibilità esaurito. </w:t>
      </w:r>
      <w:r w:rsidRPr="003C392F">
        <w:rPr>
          <w:iCs/>
        </w:rPr>
        <w:t>È pertanto opportuno modificare i massimali di spesa in stanziamenti di impegno per le rubriche 1, 2, 3, 4, 5 e 6 per gli anni 2024, 2025, 2026 e 2027. Di</w:t>
      </w:r>
      <w:r w:rsidRPr="003C392F">
        <w:t xml:space="preserve"> conseguenza, se da un lato possono essere mantenuti ai loro livelli attuali i massimali di spesa in stanziamenti di pagamento, dall'altro dovrebbero essere adeguato il massimale complessivo degli stanziamenti di pagamento dello strumento unico di margine</w:t>
      </w:r>
      <w:r w:rsidRPr="003C392F" w:rsidDel="00163E22">
        <w:t xml:space="preserve"> </w:t>
      </w:r>
      <w:r w:rsidRPr="003C392F">
        <w:t>per il 2026, onde evitare il rischio di arretrati. Inoltre, è opportuno modificare l'importo totale delle dotazioni aggiuntive nell'ambito dell'adeguamento specifico dei programmi di cui all'articolo 5, nonché la relativa tabella all'allegato II del regolamento (UE, Euratom) 2020/2093.</w:t>
      </w:r>
    </w:p>
    <w:p w14:paraId="66D0B26F" w14:textId="77777777" w:rsidR="005455C2" w:rsidRPr="003C392F" w:rsidRDefault="005455C2" w:rsidP="005455C2">
      <w:pPr>
        <w:pStyle w:val="ManualConsidrant"/>
        <w:rPr>
          <w:noProof/>
        </w:rPr>
      </w:pPr>
      <w:r w:rsidRPr="003C392F">
        <w:t>(5)</w:t>
      </w:r>
      <w:r w:rsidRPr="003C392F">
        <w:tab/>
        <w:t>È inoltre opportuno modificare gli importi per la riserva di adeguamento alla Brexit e per il Fondo europeo di adeguamento alla globalizzazione.</w:t>
      </w:r>
    </w:p>
    <w:p w14:paraId="6F5A4BED" w14:textId="77777777" w:rsidR="005455C2" w:rsidRPr="003C392F" w:rsidRDefault="005455C2" w:rsidP="005455C2">
      <w:pPr>
        <w:pStyle w:val="ManualConsidrant"/>
        <w:rPr>
          <w:color w:val="000000"/>
        </w:rPr>
      </w:pPr>
      <w:r w:rsidRPr="003C392F">
        <w:t>(6)</w:t>
      </w:r>
      <w:r w:rsidRPr="003C392F">
        <w:tab/>
        <w:t>La guerra illegale di aggressione della Russia nei confronti dell'Ucraina ha riportato la guerra sul suolo europeo. L'Unione continuerà a sostenere l'Ucraina per tutto il tempo necessario e la aiuterà con fermezza nel suo percorso europeo. A tal fine il Parlamento europeo e il Consiglio hanno adottato il regolamento (UE) 2024/… del Parlamento europeo e del Consiglio</w:t>
      </w:r>
      <w:r w:rsidRPr="003C392F">
        <w:rPr>
          <w:noProof/>
          <w:vertAlign w:val="superscript"/>
        </w:rPr>
        <w:footnoteReference w:id="4"/>
      </w:r>
      <w:r w:rsidRPr="003C392F">
        <w:rPr>
          <w:rStyle w:val="FootnoteReference"/>
        </w:rPr>
        <w:footnoteReference w:customMarkFollows="1" w:id="5"/>
        <w:t>+</w:t>
      </w:r>
      <w:r w:rsidRPr="003C392F">
        <w:t xml:space="preserve"> che rappresenta la risposta dell'Unione a sostegno della stabilità macrofinanziaria, della ricostruzione e della modernizzazione dell'Ucraina, e allo stesso tempo sostiene l'impegno di riforma del paese nell'ambito del percorso di adesione all'Unione ("strumento per l'Ucraina").</w:t>
      </w:r>
    </w:p>
    <w:p w14:paraId="761FA9BF" w14:textId="77777777" w:rsidR="005455C2" w:rsidRPr="003C392F" w:rsidRDefault="005455C2" w:rsidP="005455C2">
      <w:pPr>
        <w:pStyle w:val="ManualConsidrant"/>
        <w:rPr>
          <w:noProof/>
        </w:rPr>
      </w:pPr>
      <w:r w:rsidRPr="003C392F">
        <w:br w:type="page"/>
      </w:r>
      <w:r w:rsidRPr="003C392F">
        <w:lastRenderedPageBreak/>
        <w:t>(7)</w:t>
      </w:r>
      <w:r w:rsidRPr="003C392F">
        <w:tab/>
        <w:t>Date le incertezze legate alla guerra di aggressione della Russia, lo strumento per l'Ucraina dovrebbe essere uno strumento flessibile atto a erogare fino al 2027 la forma e il livello adeguati di sostegno. Il sostegno nell'ambito dello strumento per l'Ucraina dovrebbe essere erogato sotto forma di prestiti, sostegno a fondo perduto e copertura delle garanzie di bilancio.</w:t>
      </w:r>
    </w:p>
    <w:p w14:paraId="37BFFEE5" w14:textId="77777777" w:rsidR="005455C2" w:rsidRPr="003C392F" w:rsidRDefault="005455C2" w:rsidP="005455C2">
      <w:pPr>
        <w:pStyle w:val="ManualConsidrant"/>
        <w:rPr>
          <w:noProof/>
        </w:rPr>
      </w:pPr>
      <w:r w:rsidRPr="003C392F">
        <w:t>(8)</w:t>
      </w:r>
      <w:r w:rsidRPr="003C392F">
        <w:tab/>
        <w:t>Per la parte del sostegno dello strumento per l'Ucraina erogata sotto forma di prestiti, è opportuno prorogare fino al 2027 l'attuale garanzia del bilancio dell'Unione per coprire l'assistenza finanziaria che viene messa a disposizione dell'Ucraina. Di conseguenza dovrebbe essere possibile mobilitare gli stanziamenti necessari del bilancio dell'Unione al di sopra dei massimali fissati nel QFP per l'assistenza finanziaria all'Ucraina disponibile fino alla fine del 2027.</w:t>
      </w:r>
      <w:r w:rsidRPr="003C392F">
        <w:rPr>
          <w:color w:val="000000" w:themeColor="text1"/>
        </w:rPr>
        <w:t xml:space="preserve"> In aggiunta a coprire l'assistenza finanziaria all'Ucraina come già previsto nel regolamento (UE) 2022/2463 la garanzia del bilancio dell'Unione dovrebbe coprire l'assistenza finanziaria all'Ucraina per un importo massimo di 33 miliardi di EUR come specificato nel regolamento (UE) 2024/…</w:t>
      </w:r>
      <w:r w:rsidRPr="003C392F">
        <w:rPr>
          <w:rStyle w:val="FootnoteReference"/>
          <w:color w:val="000000" w:themeColor="text1"/>
        </w:rPr>
        <w:footnoteReference w:customMarkFollows="1" w:id="6"/>
        <w:t>+</w:t>
      </w:r>
      <w:r w:rsidRPr="003C392F">
        <w:rPr>
          <w:color w:val="000000" w:themeColor="text1"/>
        </w:rPr>
        <w:t>.</w:t>
      </w:r>
    </w:p>
    <w:p w14:paraId="5BA2706E" w14:textId="77777777" w:rsidR="005455C2" w:rsidRPr="003C392F" w:rsidRDefault="005455C2" w:rsidP="005455C2">
      <w:pPr>
        <w:pStyle w:val="ManualConsidrant"/>
        <w:rPr>
          <w:noProof/>
        </w:rPr>
      </w:pPr>
      <w:r w:rsidRPr="003C392F">
        <w:br w:type="page"/>
      </w:r>
      <w:r w:rsidRPr="003C392F">
        <w:lastRenderedPageBreak/>
        <w:t>(9)</w:t>
      </w:r>
      <w:r w:rsidRPr="003C392F">
        <w:tab/>
        <w:t xml:space="preserve">Per la parte del sostegno nell'ambito dello strumento per l'Ucraina erogata sotto forma di sostegno a fondo perduto e di copertura delle garanzie di bilancio, gli stanziamenti dovrebbero essere forniti attraverso un nuovo strumento speciale tematico, la "riserva per l'Ucraina". Gli stanziamenti di impegno e i corrispondenti stanziamenti di pagamento dovrebbero essere mobilitati annualmente nel quadro della procedura di bilancio di cui all'articolo 314 del trattato sul funzionamento dell'Unione europea (TFUE), al di sopra dei massimali fissati nel QFP. Ai fini dell'ordinata evoluzione della spesa da programmare a norma delle pertinenti disposizioni del regolamento (UE) </w:t>
      </w:r>
      <w:r w:rsidRPr="003C392F">
        <w:rPr>
          <w:color w:val="000000" w:themeColor="text1"/>
        </w:rPr>
        <w:t>2024/…</w:t>
      </w:r>
      <w:r w:rsidRPr="003C392F">
        <w:rPr>
          <w:rStyle w:val="FootnoteReference"/>
          <w:color w:val="000000" w:themeColor="text1"/>
        </w:rPr>
        <w:footnoteReference w:customMarkFollows="1" w:id="7"/>
        <w:t>+</w:t>
      </w:r>
      <w:r w:rsidRPr="003C392F" w:rsidDel="004D52C8">
        <w:t xml:space="preserve"> </w:t>
      </w:r>
      <w:r w:rsidRPr="003C392F">
        <w:t>e in particolare alla luce degli importi da fissare nel piano per l'Ucraina, è opportuno fissare importi massimi complessivi e annui che possono essere resi disponibili per la riserva per l'Ucraina nell'arco del periodo 2024-2027. Al fine di garantire piena attuazione e flessibilità tra un anno e l'altro, negli anni a venire fino al 2027 dovrebbe essere possibile utilizzare la quota dell'importo annuo non utilizzata in un dato anno.</w:t>
      </w:r>
    </w:p>
    <w:p w14:paraId="01C0129E" w14:textId="77777777" w:rsidR="005455C2" w:rsidRPr="003C392F" w:rsidRDefault="005455C2" w:rsidP="005455C2">
      <w:pPr>
        <w:pStyle w:val="ManualConsidrant"/>
      </w:pPr>
      <w:r w:rsidRPr="003C392F">
        <w:br w:type="page"/>
      </w:r>
      <w:r w:rsidRPr="003C392F">
        <w:lastRenderedPageBreak/>
        <w:t>(10)</w:t>
      </w:r>
      <w:r w:rsidRPr="003C392F">
        <w:tab/>
        <w:t>Dal 2022 l'Unione e la maggior parte delle grandi economie hanno registrato un'impennata dei tassi di interesse per tutti gli emittenti di obbligazioni, compresa l'Unione. Di conseguenza i costi di finanziamento dell'assunzione di prestiti nell'ambito dello strumento dell'Unione europea per la ripresa NextGenerationEU ("EURI"), che a norma dell'articolo 5, paragrafo 2, della decisione (UE, Euratom) 2020/2053 del Consiglio</w:t>
      </w:r>
      <w:r w:rsidRPr="003C392F">
        <w:rPr>
          <w:noProof/>
          <w:vertAlign w:val="superscript"/>
        </w:rPr>
        <w:footnoteReference w:id="8"/>
      </w:r>
      <w:r w:rsidRPr="003C392F">
        <w:t xml:space="preserve"> sono a carico del bilancio dell'Unione europea, dovrebbero risultare superiori alle stime inizialmente programmate nell'ambito dei massimali fissati nel QFP al momento della sua adozione nel dicembre 2020, pari rispettivamente a 2 332 milioni di EUR nel 2025 (a prezzi 2018), 3 196 milioni di EUR nel 2026 (a prezzi 2018) e 4 168 milioni di EUR nel 2027 (a prezzi 2018).</w:t>
      </w:r>
    </w:p>
    <w:p w14:paraId="4096E508" w14:textId="77777777" w:rsidR="005455C2" w:rsidRPr="003C392F" w:rsidRDefault="005455C2" w:rsidP="005455C2">
      <w:pPr>
        <w:pStyle w:val="ManualConsidrant"/>
        <w:rPr>
          <w:color w:val="000000" w:themeColor="text1"/>
        </w:rPr>
      </w:pPr>
      <w:r w:rsidRPr="003C392F">
        <w:t>(11)</w:t>
      </w:r>
      <w:r w:rsidRPr="003C392F">
        <w:tab/>
        <w:t>Data l'incertezza relativa all'andamento futuro dei tassi di interesse in circostanze di mercato in evoluzione, come anche il fabbisogno di prestiti generale per il finanziamento dei programmi dell'Unione in corso finanziati dall'EURI, è opportuno prevedere, nel quadro delle disposizioni utili per il corretto svolgimento della procedura annuale di bilancio e per vigilare sulla disponibilità dei mezzi finanziari necessari a consentire all'Unione di rispettare i propri obblighi giuridici, uno strumento eccezionale e temporaneo, limitato alla durata dell'attuale QFP, per coprire i costi di finanziamento dell'assunzione di prestiti nell'ambito dell'EURI che superano gli importi inizialmente programmati.</w:t>
      </w:r>
      <w:r w:rsidRPr="003C392F">
        <w:rPr>
          <w:color w:val="000000"/>
        </w:rPr>
        <w:t xml:space="preserve"> Dovrebbe pertanto essere creato un nuovo strumento speciale tematico, denominato "strumento EURI", avente come unico obiettivo unico quello di coprire gli sforamenti residui dei costi. </w:t>
      </w:r>
      <w:r w:rsidRPr="003C392F">
        <w:rPr>
          <w:color w:val="000000" w:themeColor="text1"/>
        </w:rPr>
        <w:t>Tale strumento dovrebbe essere eccezionale e non potrebbe fungere da precedente per futuri accordi relativi a QFP post-2027, segnatamente per coprire i costi dei pagamenti di interessi e dei rimborsi del capitale dei prestiti contratti sui mercati per finanziare l'EURI.</w:t>
      </w:r>
    </w:p>
    <w:p w14:paraId="77DD2F22" w14:textId="77777777" w:rsidR="005455C2" w:rsidRPr="003C392F" w:rsidRDefault="005455C2" w:rsidP="005455C2">
      <w:pPr>
        <w:pStyle w:val="ManualConsidrant"/>
        <w:rPr>
          <w:color w:val="000000"/>
          <w:shd w:val="clear" w:color="auto" w:fill="FFFFFF"/>
        </w:rPr>
      </w:pPr>
      <w:r w:rsidRPr="003C392F">
        <w:br w:type="page"/>
      </w:r>
      <w:r w:rsidRPr="003C392F">
        <w:rPr>
          <w:color w:val="000000" w:themeColor="text1"/>
        </w:rPr>
        <w:lastRenderedPageBreak/>
        <w:t>(12)</w:t>
      </w:r>
      <w:r w:rsidRPr="003C392F">
        <w:tab/>
        <w:t xml:space="preserve">Lo strumento </w:t>
      </w:r>
      <w:r w:rsidRPr="003C392F">
        <w:rPr>
          <w:color w:val="000000" w:themeColor="text1"/>
        </w:rPr>
        <w:t xml:space="preserve">EURI dovrebbe essere mobilitato </w:t>
      </w:r>
      <w:r w:rsidRPr="003C392F">
        <w:t xml:space="preserve">dall'autorità di bilancio </w:t>
      </w:r>
      <w:r w:rsidRPr="003C392F">
        <w:rPr>
          <w:color w:val="000000"/>
        </w:rPr>
        <w:t>durante la procedura annuale di bilancio, solo se necessario</w:t>
      </w:r>
      <w:r w:rsidRPr="003C392F">
        <w:rPr>
          <w:color w:val="000000" w:themeColor="text1"/>
        </w:rPr>
        <w:t xml:space="preserve">. Fatte salve le prerogative dell'autorità di bilancio, </w:t>
      </w:r>
      <w:r w:rsidRPr="003C392F">
        <w:t>dovrebbe inoltre essere mobilitato previa ricerca di altre possibilità di finanziamento</w:t>
      </w:r>
      <w:r w:rsidRPr="003C392F">
        <w:rPr>
          <w:color w:val="000000"/>
        </w:rPr>
        <w:t>, compreso mediante margine creato dall'esecuzione del bilancio dei programmi e dalla ridefinizione delle priorità nonché mediante strumenti speciali non tematici, per coprire una parte sostanziale degli importi necessari</w:t>
      </w:r>
      <w:r w:rsidRPr="003C392F">
        <w:t xml:space="preserve"> che superano gli importi inizialmente </w:t>
      </w:r>
      <w:r w:rsidRPr="003C392F">
        <w:rPr>
          <w:color w:val="000000" w:themeColor="text1"/>
        </w:rPr>
        <w:t>iscritti nell'attuale linea di bilancio EURI della rubrica 2b), nella misura del possibile, al fine di mobilitare un importo equivalente a circa il 50 % degli sforamenti del costo inerente ai pagamenti degli interessi dell'EURI come parametro di riferimento</w:t>
      </w:r>
      <w:r w:rsidRPr="003C392F">
        <w:rPr>
          <w:color w:val="000000"/>
        </w:rPr>
        <w:t xml:space="preserve">. </w:t>
      </w:r>
      <w:r w:rsidRPr="003C392F">
        <w:t>Ciò avverrà conformemente alle norme settoriali applicabili e agli altri obblighi giuridici e tenendo conto delle priorità, di un approccio prudente nell'elaborazione del bilancio e di una sana gestione finanziaria, che richiedono in particolare adeguati margini di sicurezza per le spese impreviste.</w:t>
      </w:r>
      <w:r w:rsidRPr="003C392F">
        <w:rPr>
          <w:color w:val="000000"/>
        </w:rPr>
        <w:t xml:space="preserve"> Le dotazioni nazionali degli Stati membri che sono state impegnate giuridicamente, in particolare quelle a titolo della politica agricola comune e della politica di coesione, non saranno interessate. Gli stanziamenti di impegno e i corrispondenti stanziamenti di pagamento dello "strumento EURI" nel bilancio dell'Unione dovrebbero essere resi disponibili al di sopra dei massimali fissati nel QFP.</w:t>
      </w:r>
      <w:r w:rsidRPr="003C392F">
        <w:t xml:space="preserve"> Nel quadro dello strumento EURI</w:t>
      </w:r>
      <w:r w:rsidRPr="003C392F">
        <w:rPr>
          <w:color w:val="000000" w:themeColor="text1"/>
        </w:rPr>
        <w:t xml:space="preserve"> dovrebbe essere utilizzato per primo</w:t>
      </w:r>
      <w:r w:rsidRPr="003C392F">
        <w:t xml:space="preserve"> un importo equivalente ai disimpegni di stanziamenti intervenuti dall'inizio dell'attuale QFP, diversi dalle entrate con destinazione specifica esterne. Gli importi dei disimpegni resi nuovamente disponibili in conformità delle pertinenti disposizioni vigenti non dovrebbero essere presi in considerazione.</w:t>
      </w:r>
      <w:r w:rsidRPr="003C392F">
        <w:rPr>
          <w:color w:val="000000"/>
        </w:rPr>
        <w:t xml:space="preserve"> L'importo disponibile dei disimpegni per lo strumento EURI dovrebbe essere calcolato ogni anno nell'ambito dell'adeguamento tecnico del QFP, indicando chiaramente le disponibilità generali e gli importi già presi in considerazione nelle precedenti mobilitazioni dello strumento EURI.</w:t>
      </w:r>
      <w:r w:rsidRPr="003C392F">
        <w:t xml:space="preserve"> </w:t>
      </w:r>
      <w:r w:rsidRPr="003C392F">
        <w:rPr>
          <w:color w:val="000000" w:themeColor="text1"/>
        </w:rPr>
        <w:t xml:space="preserve">Nella situazione imprevista e improbabile in cui vi sia uno sforamento residuo, l'importo supplementare necessario per finanziare integralmente i costi dovrebbe essere mobilitato attraverso lo strumento EURI a titolo di sostegno come misura di ultima istanza. Qualora, in via eccezionale, uno o più Stati membri ritengano che vi siano gravi problematiche riguardo alla mobilitazione di tale sostegno, essi potrebbero chiedere al presidente del Consiglio europeo di rinviare la questione alla successiva riunione del Consiglio europeo. Tale processo, di norma, </w:t>
      </w:r>
      <w:r w:rsidRPr="003C392F">
        <w:rPr>
          <w:color w:val="000000" w:themeColor="text1"/>
        </w:rPr>
        <w:lastRenderedPageBreak/>
        <w:t>non dovrebbe durare più di un mese e dovrebbe avvenire nel pieno rispetto delle prerogative delle istituzioni previste dai trattati.</w:t>
      </w:r>
    </w:p>
    <w:p w14:paraId="7B662A47" w14:textId="410E495C" w:rsidR="005455C2" w:rsidRPr="003C392F" w:rsidRDefault="005455C2" w:rsidP="005455C2">
      <w:pPr>
        <w:pStyle w:val="ManualConsidrant"/>
      </w:pPr>
      <w:r w:rsidRPr="003C392F">
        <w:br w:type="page"/>
      </w:r>
      <w:r w:rsidRPr="003C392F">
        <w:lastRenderedPageBreak/>
        <w:t>(13)</w:t>
      </w:r>
      <w:r w:rsidRPr="003C392F">
        <w:tab/>
        <w:t>Tenuto conto delle catastrofi naturali che hanno colpito gli Stati membri e i paesi coinvolti nei negoziati con l'Unione, e delle catastrofi naturali e crisi umanitarie nei paesi terzi e al fine di assicurare adeguati finanziamenti a entrambi, l'attuale riserva di solidarietà e per gli aiuti d'urgenza dovrebbe essere rafforzata e suddivisa in due strumenti distinti nel modo seguente: la "riserva di solidarietà europea", per prestare sostegno ai paesi e alle regioni colpiti nell'ambito del Fondo di solidarietà dell'Unione europea istitu</w:t>
      </w:r>
      <w:r w:rsidR="00B77D39">
        <w:t>ito dal regolamento (CE) n. 2012</w:t>
      </w:r>
      <w:r w:rsidRPr="003C392F">
        <w:t>/2002 del Consiglio</w:t>
      </w:r>
      <w:r w:rsidRPr="003C392F">
        <w:rPr>
          <w:vertAlign w:val="superscript"/>
        </w:rPr>
        <w:footnoteReference w:id="9"/>
      </w:r>
      <w:r w:rsidRPr="003C392F">
        <w:t>, e la "riserva per gli aiuti d'urgenza", per fornire rafforzamenti di bilancio ai pertinenti programmi dell'Unione in risposta a crisi ed emergenze all'interno e al di fuori dell'Unione.</w:t>
      </w:r>
    </w:p>
    <w:p w14:paraId="1970DA9C" w14:textId="77777777" w:rsidR="005455C2" w:rsidRPr="003C392F" w:rsidRDefault="005455C2" w:rsidP="005455C2">
      <w:pPr>
        <w:pStyle w:val="ManualConsidrant"/>
        <w:rPr>
          <w:noProof/>
        </w:rPr>
      </w:pPr>
      <w:r w:rsidRPr="003C392F">
        <w:t>(14)</w:t>
      </w:r>
      <w:r w:rsidRPr="003C392F">
        <w:tab/>
        <w:t>Lo strumento di flessibilità dovrebbe essere rafforzato al fine di mantenere una capacità sufficiente per consentire all'Unione di reagire a circostanze impreviste fino al 2027. Gli importi annullati dalla riserva di solidarietà europea e dalla riserva per gli aiuti d'urgenza dovrebbero essere resi disponibili per lo strumento di flessibilità a partire dal 2024.</w:t>
      </w:r>
    </w:p>
    <w:p w14:paraId="197F4D0B" w14:textId="77777777" w:rsidR="005455C2" w:rsidRPr="003C392F" w:rsidRDefault="005455C2" w:rsidP="005455C2">
      <w:pPr>
        <w:pStyle w:val="ManualConsidrant"/>
        <w:rPr>
          <w:noProof/>
        </w:rPr>
      </w:pPr>
      <w:r w:rsidRPr="003C392F">
        <w:t>(15)</w:t>
      </w:r>
      <w:r w:rsidRPr="003C392F">
        <w:tab/>
        <w:t>Alla luce di tali eventi imprevisti e nuove sfide, è necessario rivedere il QFP; è pertanto opportuno modificare il regolamento (UE, Euratom) 2020/2093 di conseguenza.</w:t>
      </w:r>
    </w:p>
    <w:p w14:paraId="43BB6594" w14:textId="77777777" w:rsidR="005455C2" w:rsidRPr="003C392F" w:rsidRDefault="005455C2" w:rsidP="005455C2">
      <w:pPr>
        <w:pStyle w:val="ManualConsidrant"/>
        <w:rPr>
          <w:noProof/>
        </w:rPr>
      </w:pPr>
      <w:r w:rsidRPr="003C392F">
        <w:br w:type="page"/>
      </w:r>
      <w:r w:rsidRPr="003C392F">
        <w:lastRenderedPageBreak/>
        <w:t>(16)</w:t>
      </w:r>
      <w:r w:rsidRPr="003C392F">
        <w:tab/>
        <w:t>Le modifiche del regolamento (UE, Euratom) 2020/2093 lasciano impregiudicato l'obbligo di rispettare i massimali delle risorse proprie fissati all'articolo 3, paragrafo 1, e all'articolo 6 della decisione (UE, Euratom) 2020/2053 del Consiglio.</w:t>
      </w:r>
    </w:p>
    <w:p w14:paraId="0734BCA8" w14:textId="77777777" w:rsidR="005455C2" w:rsidRPr="003C392F" w:rsidRDefault="005455C2" w:rsidP="005455C2">
      <w:pPr>
        <w:pStyle w:val="ManualConsidrant"/>
      </w:pPr>
      <w:r w:rsidRPr="003C392F">
        <w:t>(17)</w:t>
      </w:r>
      <w:r w:rsidRPr="003C392F">
        <w:tab/>
        <w:t xml:space="preserve">Alla luce della situazione in Ucraina, il presente regolamento dovrebbe entrare in vigore con urgenza il giorno della pubblicazione nella </w:t>
      </w:r>
      <w:r w:rsidRPr="003C392F">
        <w:rPr>
          <w:i/>
          <w:iCs/>
        </w:rPr>
        <w:t>Gazzetta ufficiale dell'Unione europea</w:t>
      </w:r>
      <w:r w:rsidRPr="003C392F">
        <w:t xml:space="preserve"> e dovrebbe applicarsi con effetto retroattivo dal 1º gennaio 2024,</w:t>
      </w:r>
    </w:p>
    <w:p w14:paraId="0D361D00" w14:textId="77777777" w:rsidR="005455C2" w:rsidRPr="003C392F" w:rsidRDefault="005455C2" w:rsidP="005455C2">
      <w:pPr>
        <w:pStyle w:val="Formuledadoption"/>
      </w:pPr>
      <w:r w:rsidRPr="003C392F">
        <w:t>HA ADOTTATO IL PRESENTE REGOLAMENTO:</w:t>
      </w:r>
    </w:p>
    <w:p w14:paraId="700343AB" w14:textId="77777777" w:rsidR="005455C2" w:rsidRPr="003C392F" w:rsidRDefault="005455C2" w:rsidP="005455C2">
      <w:pPr>
        <w:pStyle w:val="Titrearticle"/>
      </w:pPr>
      <w:r w:rsidRPr="003C392F">
        <w:br w:type="page"/>
      </w:r>
      <w:r w:rsidRPr="003C392F">
        <w:lastRenderedPageBreak/>
        <w:t>Articolo 1</w:t>
      </w:r>
    </w:p>
    <w:p w14:paraId="4847D994" w14:textId="77777777" w:rsidR="005455C2" w:rsidRPr="003C392F" w:rsidRDefault="005455C2" w:rsidP="005455C2">
      <w:pPr>
        <w:pStyle w:val="NormalLeft"/>
        <w:rPr>
          <w:noProof/>
        </w:rPr>
      </w:pPr>
      <w:r w:rsidRPr="003C392F">
        <w:t>Il regolamento (UE, Euratom) 2020/2093 è così modificato:</w:t>
      </w:r>
    </w:p>
    <w:p w14:paraId="0772D052" w14:textId="77777777" w:rsidR="005455C2" w:rsidRPr="003C392F" w:rsidRDefault="005455C2" w:rsidP="005455C2">
      <w:pPr>
        <w:pStyle w:val="Point0"/>
        <w:rPr>
          <w:noProof/>
        </w:rPr>
      </w:pPr>
      <w:r w:rsidRPr="003C392F">
        <w:t>1)</w:t>
      </w:r>
      <w:r w:rsidRPr="003C392F">
        <w:tab/>
        <w:t>l'articolo 2 è così modificato:</w:t>
      </w:r>
    </w:p>
    <w:p w14:paraId="5AAE8D30" w14:textId="77777777" w:rsidR="005455C2" w:rsidRPr="003C392F" w:rsidRDefault="005455C2" w:rsidP="005455C2">
      <w:pPr>
        <w:pStyle w:val="Point1"/>
        <w:rPr>
          <w:noProof/>
        </w:rPr>
      </w:pPr>
      <w:r w:rsidRPr="003C392F">
        <w:t>a)</w:t>
      </w:r>
      <w:r w:rsidRPr="003C392F">
        <w:tab/>
        <w:t>al paragrafo 2, il primo comma è sostituito dal seguente:</w:t>
      </w:r>
    </w:p>
    <w:p w14:paraId="756B5B80" w14:textId="77777777" w:rsidR="005455C2" w:rsidRPr="003C392F" w:rsidRDefault="005455C2" w:rsidP="005455C2">
      <w:pPr>
        <w:pStyle w:val="Point2"/>
      </w:pPr>
      <w:r w:rsidRPr="003C392F">
        <w:t>"2.</w:t>
      </w:r>
      <w:r w:rsidRPr="003C392F">
        <w:tab/>
        <w:t>Ove risulti necessario l'utilizzo delle risorse degli strumenti speciali di cui agli articoli 8, 9, 10, 10 bis, 10 ter e 12, gli stanziamenti di impegno e i corrispondenti stanziamenti di pagamento sono iscritti a bilancio al di sopra dei massimali fissati nel QFP.";</w:t>
      </w:r>
    </w:p>
    <w:p w14:paraId="32A24160" w14:textId="77777777" w:rsidR="005455C2" w:rsidRPr="003C392F" w:rsidRDefault="005455C2" w:rsidP="005455C2">
      <w:pPr>
        <w:pStyle w:val="Point1"/>
        <w:rPr>
          <w:noProof/>
        </w:rPr>
      </w:pPr>
      <w:r w:rsidRPr="003C392F">
        <w:t>b)</w:t>
      </w:r>
      <w:r w:rsidRPr="003C392F">
        <w:tab/>
        <w:t>al paragrafo 3, è aggiunto il comma successivo:</w:t>
      </w:r>
    </w:p>
    <w:p w14:paraId="15B2CDBA" w14:textId="77777777" w:rsidR="005455C2" w:rsidRPr="003C392F" w:rsidRDefault="005455C2" w:rsidP="005455C2">
      <w:pPr>
        <w:pStyle w:val="Text2"/>
      </w:pPr>
      <w:r w:rsidRPr="003C392F">
        <w:t>"Se è necessario attivare una garanzia per l'assistenza finanziaria all'Ucraina disponibile per gli anni dal 2023 al 2027 per un importo complessivo di prestiti fino a 33 000 milioni di EUR a prezzi correnti come indicato nel regolamento (UE) 2024/… del Parlamento europeo e del Consiglio</w:t>
      </w:r>
      <w:r w:rsidRPr="003C392F">
        <w:rPr>
          <w:vertAlign w:val="superscript"/>
        </w:rPr>
        <w:t>*</w:t>
      </w:r>
      <w:r w:rsidRPr="003C392F">
        <w:rPr>
          <w:rStyle w:val="FootnoteReference"/>
        </w:rPr>
        <w:footnoteReference w:customMarkFollows="1" w:id="10"/>
        <w:t>+</w:t>
      </w:r>
      <w:r w:rsidRPr="003C392F">
        <w:t xml:space="preserve"> e autorizzata conformemente all'articolo 220, paragrafo 1, del regolamento finanziario, l'importo necessario viene attivato al di sopra dei massimali fissati nel QFP.</w:t>
      </w:r>
    </w:p>
    <w:p w14:paraId="078B27D9" w14:textId="77777777" w:rsidR="005455C2" w:rsidRPr="003C392F" w:rsidRDefault="005455C2" w:rsidP="005455C2">
      <w:pPr>
        <w:pStyle w:val="Text2"/>
        <w:rPr>
          <w:color w:val="000000" w:themeColor="text1"/>
        </w:rPr>
      </w:pPr>
      <w:r w:rsidRPr="003C392F">
        <w:rPr>
          <w:color w:val="000000" w:themeColor="text1"/>
        </w:rPr>
        <w:t>_______________</w:t>
      </w:r>
    </w:p>
    <w:p w14:paraId="00846A0E" w14:textId="77777777" w:rsidR="005455C2" w:rsidRPr="003C392F" w:rsidRDefault="005455C2" w:rsidP="005455C2">
      <w:pPr>
        <w:pStyle w:val="Text2"/>
        <w:spacing w:before="0" w:after="0" w:line="240" w:lineRule="auto"/>
        <w:ind w:left="1985" w:hanging="567"/>
        <w:rPr>
          <w:color w:val="000000" w:themeColor="text1"/>
        </w:rPr>
      </w:pPr>
      <w:r w:rsidRPr="003C392F">
        <w:rPr>
          <w:vertAlign w:val="superscript"/>
        </w:rPr>
        <w:t>*</w:t>
      </w:r>
      <w:r w:rsidRPr="003C392F">
        <w:tab/>
        <w:t>Regolamento (UE) 2024/… del Parlamento europeo e del Consiglio del … relativo all'istituzione dello strumento per l'Ucraina (GU L, …, ELI: …).";</w:t>
      </w:r>
    </w:p>
    <w:p w14:paraId="72E553BB" w14:textId="77777777" w:rsidR="005455C2" w:rsidRPr="003C392F" w:rsidRDefault="005455C2" w:rsidP="005455C2">
      <w:pPr>
        <w:pStyle w:val="Point0"/>
      </w:pPr>
      <w:r w:rsidRPr="003C392F">
        <w:br w:type="page"/>
      </w:r>
      <w:r w:rsidRPr="003C392F">
        <w:lastRenderedPageBreak/>
        <w:t>2)</w:t>
      </w:r>
      <w:r w:rsidRPr="003C392F">
        <w:tab/>
        <w:t>all'articolo 4, paragrafo 1, sono aggiunte le seguenti lettere:</w:t>
      </w:r>
    </w:p>
    <w:p w14:paraId="62CA130F" w14:textId="77777777" w:rsidR="005455C2" w:rsidRPr="003C392F" w:rsidRDefault="005455C2" w:rsidP="005455C2">
      <w:pPr>
        <w:pStyle w:val="Point1"/>
      </w:pPr>
      <w:r w:rsidRPr="003C392F">
        <w:t>"f)</w:t>
      </w:r>
      <w:r w:rsidRPr="003C392F">
        <w:tab/>
        <w:t>un calcolo dell'importo disponibile per lo strumento EURI conformemente all'articolo 10 bis, paragrafo 3, lettera a);</w:t>
      </w:r>
    </w:p>
    <w:p w14:paraId="7D4A2201" w14:textId="77777777" w:rsidR="005455C2" w:rsidRPr="003C392F" w:rsidRDefault="005455C2" w:rsidP="005455C2">
      <w:pPr>
        <w:pStyle w:val="Point1"/>
      </w:pPr>
      <w:r w:rsidRPr="003C392F">
        <w:rPr>
          <w:color w:val="231F20"/>
          <w:szCs w:val="19"/>
        </w:rPr>
        <w:t>g)</w:t>
      </w:r>
      <w:r w:rsidRPr="003C392F">
        <w:rPr>
          <w:color w:val="231F20"/>
          <w:szCs w:val="19"/>
        </w:rPr>
        <w:tab/>
      </w:r>
      <w:r w:rsidRPr="003C392F">
        <w:t>un calcolo degli importi da rendere disponibili per lo strumento di flessibilità a norma dell'articolo 12, paragrafo 1, secondo comma.";</w:t>
      </w:r>
    </w:p>
    <w:p w14:paraId="20076E5C" w14:textId="77777777" w:rsidR="005455C2" w:rsidRPr="003C392F" w:rsidRDefault="005455C2" w:rsidP="005455C2">
      <w:pPr>
        <w:pStyle w:val="Point0"/>
      </w:pPr>
      <w:r w:rsidRPr="003C392F">
        <w:t>3)</w:t>
      </w:r>
      <w:r w:rsidRPr="003C392F">
        <w:tab/>
        <w:t>all'articolo 5, paragrafo 1, il secondo comma è sostituito dal seguente:</w:t>
      </w:r>
    </w:p>
    <w:p w14:paraId="58218BC6" w14:textId="77777777" w:rsidR="005455C2" w:rsidRPr="003C392F" w:rsidRDefault="005455C2" w:rsidP="005455C2">
      <w:pPr>
        <w:pStyle w:val="Text1"/>
      </w:pPr>
      <w:r w:rsidRPr="003C392F">
        <w:t>"L'importo totale delle dotazioni aggiuntive per gli stanziamenti di impegno e di pagamento per il periodo dal 2022 al 2027 è rispettivamente di 10 155 milioni di EUR (a prezzi 2018). Per ognuno degli anni dal 2022 al 2026, l'importo annuale delle dotazioni aggiuntive per gli stanziamenti di impegno e di pagamento è rispettivamente di minimo 1 500 milioni di EUR (a prezzi 2018) e non supera i 2 000 milioni (a prezzi 2018).";</w:t>
      </w:r>
    </w:p>
    <w:p w14:paraId="19FC084B" w14:textId="77777777" w:rsidR="005455C2" w:rsidRPr="003C392F" w:rsidRDefault="005455C2" w:rsidP="005455C2">
      <w:pPr>
        <w:pStyle w:val="Point0"/>
      </w:pPr>
      <w:r w:rsidRPr="003C392F">
        <w:br w:type="page"/>
      </w:r>
      <w:r w:rsidRPr="003C392F">
        <w:lastRenderedPageBreak/>
        <w:t>4)</w:t>
      </w:r>
      <w:r w:rsidRPr="003C392F">
        <w:tab/>
        <w:t xml:space="preserve">gli articoli 8 e 9 </w:t>
      </w:r>
      <w:bookmarkStart w:id="11" w:name="_Hlk158736577"/>
      <w:r w:rsidRPr="003C392F">
        <w:t>sono sostituiti dal seguente:</w:t>
      </w:r>
    </w:p>
    <w:bookmarkEnd w:id="11"/>
    <w:p w14:paraId="74D6E528" w14:textId="77777777" w:rsidR="005455C2" w:rsidRPr="003C392F" w:rsidRDefault="005455C2" w:rsidP="005455C2">
      <w:pPr>
        <w:pStyle w:val="Text1"/>
        <w:rPr>
          <w:noProof/>
        </w:rPr>
      </w:pPr>
      <w:r w:rsidRPr="003C392F">
        <w:t>"</w:t>
      </w:r>
      <w:r w:rsidRPr="003C392F">
        <w:rPr>
          <w:i/>
          <w:iCs/>
        </w:rPr>
        <w:t>Articolo 8</w:t>
      </w:r>
      <w:r w:rsidRPr="003C392F">
        <w:rPr>
          <w:i/>
          <w:iCs/>
        </w:rPr>
        <w:br/>
        <w:t>Fondo europeo di adeguamento alla globalizzazione</w:t>
      </w:r>
    </w:p>
    <w:p w14:paraId="73222D68" w14:textId="77777777" w:rsidR="005455C2" w:rsidRPr="003C392F" w:rsidRDefault="005455C2" w:rsidP="005455C2">
      <w:pPr>
        <w:pStyle w:val="Point1"/>
        <w:rPr>
          <w:noProof/>
        </w:rPr>
      </w:pPr>
      <w:r w:rsidRPr="003C392F">
        <w:t>1.</w:t>
      </w:r>
      <w:r w:rsidRPr="003C392F">
        <w:tab/>
        <w:t>Il Fondo europeo di adeguamento alla globalizzazione, i cui obiettivi e ambito di applicazione sono definiti nel regolamento (UE) 2021/691 del Parlamento europeo e del Consiglio</w:t>
      </w:r>
      <w:r w:rsidRPr="003C392F">
        <w:rPr>
          <w:vertAlign w:val="superscript"/>
        </w:rPr>
        <w:t>*</w:t>
      </w:r>
      <w:r w:rsidRPr="003C392F">
        <w:t>, non supera un importo annuo massimo di 30 milioni di EUR (a prezzi 2018).</w:t>
      </w:r>
    </w:p>
    <w:p w14:paraId="0134F4FB" w14:textId="77777777" w:rsidR="005455C2" w:rsidRPr="003C392F" w:rsidRDefault="005455C2" w:rsidP="005455C2">
      <w:pPr>
        <w:pStyle w:val="Point1"/>
      </w:pPr>
      <w:r w:rsidRPr="003C392F">
        <w:t>2.</w:t>
      </w:r>
      <w:r w:rsidRPr="003C392F">
        <w:tab/>
        <w:t>Gli stanziamenti per il Fondo europeo di adeguamento alla globalizzazione sono iscritti nel bilancio generale dell'Unione a titolo di stanziamento accantonato.</w:t>
      </w:r>
    </w:p>
    <w:p w14:paraId="67A700F2" w14:textId="77777777" w:rsidR="005455C2" w:rsidRPr="003C392F" w:rsidRDefault="005455C2" w:rsidP="005455C2">
      <w:pPr>
        <w:pStyle w:val="Text1"/>
        <w:rPr>
          <w:noProof/>
        </w:rPr>
      </w:pPr>
      <w:r w:rsidRPr="003C392F">
        <w:rPr>
          <w:i/>
          <w:iCs/>
        </w:rPr>
        <w:t>Articolo 9</w:t>
      </w:r>
      <w:r w:rsidRPr="003C392F">
        <w:rPr>
          <w:i/>
          <w:iCs/>
        </w:rPr>
        <w:br/>
        <w:t>Riserva di solidarietà e per gli aiuti d'urgenza</w:t>
      </w:r>
    </w:p>
    <w:p w14:paraId="0CDC33DD" w14:textId="77777777" w:rsidR="005455C2" w:rsidRPr="003C392F" w:rsidRDefault="005455C2" w:rsidP="005455C2">
      <w:pPr>
        <w:pStyle w:val="Point1"/>
      </w:pPr>
      <w:r w:rsidRPr="003C392F">
        <w:t>1.</w:t>
      </w:r>
      <w:r w:rsidRPr="003C392F">
        <w:tab/>
        <w:t>La riserva di solidarietà e per gli aiuti d'urgenza è costituita da due strumenti che possono essere utilizzati per finanziare, rispettivamente:</w:t>
      </w:r>
    </w:p>
    <w:p w14:paraId="76BE4C18" w14:textId="77777777" w:rsidR="005455C2" w:rsidRPr="003C392F" w:rsidRDefault="005455C2" w:rsidP="005455C2">
      <w:pPr>
        <w:pStyle w:val="Point2"/>
      </w:pPr>
      <w:r w:rsidRPr="003C392F">
        <w:t>a)</w:t>
      </w:r>
      <w:r w:rsidRPr="003C392F">
        <w:tab/>
        <w:t>l'assistenza per rispondere a situazioni di emergenza derivanti da gravi catastrofi contemplate dal Fondo di solidarietà dell'Unione europea, i cui obiettivi e ambito di applicazione sono definiti nel regolamento (CE) n. 2012/2002 del Consiglio</w:t>
      </w:r>
      <w:r w:rsidRPr="003C392F">
        <w:rPr>
          <w:vertAlign w:val="superscript"/>
        </w:rPr>
        <w:t>**</w:t>
      </w:r>
      <w:r w:rsidRPr="003C392F">
        <w:t xml:space="preserve"> ("riserva di solidarietà europea"); e</w:t>
      </w:r>
    </w:p>
    <w:p w14:paraId="7D7A385D" w14:textId="77777777" w:rsidR="005455C2" w:rsidRPr="003C392F" w:rsidRDefault="005455C2" w:rsidP="005455C2">
      <w:pPr>
        <w:pStyle w:val="Point2"/>
        <w:rPr>
          <w:noProof/>
        </w:rPr>
      </w:pPr>
      <w:r w:rsidRPr="003C392F">
        <w:br w:type="page"/>
      </w:r>
      <w:r w:rsidRPr="003C392F">
        <w:lastRenderedPageBreak/>
        <w:t>b)</w:t>
      </w:r>
      <w:r w:rsidRPr="003C392F">
        <w:tab/>
        <w:t>risposte rapide a specifiche necessità urgenti all'interno dell'Unione o nei paesi terzi in seguito a eventi che non potevano essere previsti al momento della formazione del bilancio, in particolare per gli interventi di emergenza e le operazioni di supporto a seguito di catastrofi naturali non contemplate dalla lettera a), catastrofi provocate dall'uomo, crisi umanitarie in caso di minacce su ampia scala per la sanità pubblica o per la salute degli animali e delle piante, nonché in situazioni di particolare pressione alle frontiere esterne dell'Unione dovute ai flussi migratori, se le circostanze lo richiedono (la "riserva per gli aiuti d'urgenza").</w:t>
      </w:r>
    </w:p>
    <w:p w14:paraId="54D14D88" w14:textId="77777777" w:rsidR="005455C2" w:rsidRPr="003C392F" w:rsidRDefault="005455C2" w:rsidP="005455C2">
      <w:pPr>
        <w:pStyle w:val="Point1"/>
        <w:rPr>
          <w:noProof/>
        </w:rPr>
      </w:pPr>
      <w:r w:rsidRPr="003C392F">
        <w:t>2.</w:t>
      </w:r>
      <w:r w:rsidRPr="003C392F">
        <w:tab/>
        <w:t>La riserva di solidarietà europea non supera un importo annuo massimo di 1 016 milioni di EUR (a prezzi 2018).</w:t>
      </w:r>
      <w:r w:rsidRPr="003C392F">
        <w:rPr>
          <w:color w:val="231F20"/>
        </w:rPr>
        <w:t xml:space="preserve"> Qualsiasi quota dell'importo annuo non utilizzata nell'anno n può essere utilizzata fino all'anno n+1. La quota dell'importo annuo derivante dall'esercizio precedente viene utilizzata per prima. Qualsiasi quota dell'importo annuo dell'anno n non utilizzata nell'anno n+1 viene annullata.</w:t>
      </w:r>
    </w:p>
    <w:p w14:paraId="7C983D15" w14:textId="77777777" w:rsidR="005455C2" w:rsidRPr="003C392F" w:rsidRDefault="005455C2" w:rsidP="005455C2">
      <w:pPr>
        <w:pStyle w:val="Text2"/>
      </w:pPr>
      <w:r w:rsidRPr="003C392F">
        <w:t>Il 1º ottobre di ciascun anno almeno un quarto dell'importo annuo della riserva di solidarietà europea rimane ancora disponibile per far fronte al fabbisogno che può presentarsi entro la fine di tale anno.</w:t>
      </w:r>
    </w:p>
    <w:p w14:paraId="776C574C" w14:textId="77777777" w:rsidR="005455C2" w:rsidRPr="003C392F" w:rsidRDefault="005455C2" w:rsidP="005455C2">
      <w:pPr>
        <w:pStyle w:val="Text2"/>
      </w:pPr>
      <w:r w:rsidRPr="003C392F">
        <w:br w:type="page"/>
      </w:r>
      <w:r w:rsidRPr="003C392F">
        <w:lastRenderedPageBreak/>
        <w:t>In casi eccezionali e se le residue risorse finanziarie non sono sufficienti a coprire gli importi ritenuti necessari nell'anno in cui si verifica una catastrofe di cui al paragrafo 1, lettera a), la Commissione può proporre di finanziare la differenza attingendo all'importo annuo di cui al primo comma del presente paragrafo a disposizione nell'anno successivo, fino a un importo massimo di 400 milioni di EUR (a prezzi 2018).</w:t>
      </w:r>
    </w:p>
    <w:p w14:paraId="125DE471" w14:textId="77777777" w:rsidR="005455C2" w:rsidRPr="003C392F" w:rsidRDefault="005455C2" w:rsidP="005455C2">
      <w:pPr>
        <w:pStyle w:val="Point1"/>
        <w:rPr>
          <w:lang w:eastAsia="en-IE"/>
        </w:rPr>
      </w:pPr>
      <w:r w:rsidRPr="003C392F">
        <w:rPr>
          <w:lang w:eastAsia="en-IE"/>
        </w:rPr>
        <w:t>3.</w:t>
      </w:r>
      <w:r w:rsidRPr="003C392F">
        <w:rPr>
          <w:lang w:eastAsia="en-IE"/>
        </w:rPr>
        <w:tab/>
        <w:t>La riserva per gli aiuti d'urgenza non supera un importo annuo massimo di 508 milioni di EUR (a prezzi 2018). Qualsiasi quota dell'importo annuo non utilizzata nell'anno n può essere utilizzata fino all'anno n+1. La quota dell'importo annuo derivante dall'esercizio precedente viene utilizzata per prima. Qualsiasi quota dell'importo annuo dell'anno n non utilizzata nell'anno n+1 viene annullata.</w:t>
      </w:r>
    </w:p>
    <w:p w14:paraId="371170D5" w14:textId="77777777" w:rsidR="005455C2" w:rsidRPr="003C392F" w:rsidRDefault="005455C2" w:rsidP="005455C2">
      <w:pPr>
        <w:pStyle w:val="Point1"/>
        <w:ind w:left="1418"/>
      </w:pPr>
      <w:r w:rsidRPr="003C392F">
        <w:t>4.</w:t>
      </w:r>
      <w:r w:rsidRPr="003C392F">
        <w:rPr>
          <w:rFonts w:ascii="Calibri" w:hAnsi="Calibri"/>
        </w:rPr>
        <w:tab/>
      </w:r>
      <w:r w:rsidRPr="003C392F">
        <w:t>Gli stanziamenti per la riserva di solidarietà europea e per la riserva per gli aiuti d'urgenza sono iscritti nel bilancio generale dell'Unione a titolo di stanziamenti accantonati.</w:t>
      </w:r>
    </w:p>
    <w:p w14:paraId="3322748B" w14:textId="77777777" w:rsidR="005455C2" w:rsidRPr="003C392F" w:rsidRDefault="005455C2" w:rsidP="005455C2">
      <w:pPr>
        <w:pStyle w:val="Point1"/>
      </w:pPr>
      <w:r w:rsidRPr="003C392F">
        <w:t>_________________</w:t>
      </w:r>
    </w:p>
    <w:p w14:paraId="4BDDD82E" w14:textId="77777777" w:rsidR="005455C2" w:rsidRPr="003C392F" w:rsidRDefault="005455C2" w:rsidP="005455C2">
      <w:pPr>
        <w:pStyle w:val="Point1"/>
        <w:spacing w:before="0" w:after="0" w:line="240" w:lineRule="auto"/>
        <w:ind w:left="1418"/>
      </w:pPr>
      <w:r w:rsidRPr="003C392F">
        <w:rPr>
          <w:vertAlign w:val="superscript"/>
        </w:rPr>
        <w:t>*</w:t>
      </w:r>
      <w:r w:rsidRPr="003C392F">
        <w:rPr>
          <w:vertAlign w:val="superscript"/>
        </w:rPr>
        <w:tab/>
      </w:r>
      <w:r w:rsidRPr="003C392F">
        <w:t>Regolamento (UE) 2021/691 del Parlamento europeo e del Consiglio del 28 aprile 2021 sul Fondo europeo di adeguamento alla globalizzazione per i lavoratori espulsi dal lavoro (FEG) e che abroga il regolamento (UE) n. 1309/2013 (GU L 153 del 3.5.2021, pag. 48).</w:t>
      </w:r>
    </w:p>
    <w:p w14:paraId="18BB34D4" w14:textId="77777777" w:rsidR="005455C2" w:rsidRPr="003C392F" w:rsidRDefault="005455C2" w:rsidP="005455C2">
      <w:pPr>
        <w:pStyle w:val="Point1"/>
        <w:spacing w:before="0" w:after="0" w:line="240" w:lineRule="auto"/>
        <w:ind w:left="1418"/>
      </w:pPr>
      <w:r w:rsidRPr="003C392F">
        <w:rPr>
          <w:vertAlign w:val="superscript"/>
        </w:rPr>
        <w:t>**</w:t>
      </w:r>
      <w:r w:rsidRPr="003C392F">
        <w:rPr>
          <w:vertAlign w:val="superscript"/>
        </w:rPr>
        <w:tab/>
      </w:r>
      <w:r w:rsidRPr="003C392F">
        <w:t>Regolamento (CE) n. 2012/2002 del Consiglio, dell'11 novembre 2002, che istituisce il Fondo di solidarietà dell'Unione europea (GU L 311 del 14.11.2002, pag. 3).";</w:t>
      </w:r>
    </w:p>
    <w:p w14:paraId="60E673DE" w14:textId="77777777" w:rsidR="005455C2" w:rsidRPr="003C392F" w:rsidRDefault="005455C2" w:rsidP="005455C2">
      <w:pPr>
        <w:pStyle w:val="Point0"/>
        <w:spacing w:before="240"/>
        <w:ind w:left="851" w:hanging="851"/>
        <w:rPr>
          <w:noProof/>
        </w:rPr>
      </w:pPr>
      <w:r w:rsidRPr="003C392F">
        <w:t>5)</w:t>
      </w:r>
      <w:r w:rsidRPr="003C392F">
        <w:tab/>
        <w:t>all'articolo 10, il paragrafo 2 è sostituito dal seguente:</w:t>
      </w:r>
    </w:p>
    <w:p w14:paraId="03F7F719" w14:textId="77777777" w:rsidR="005455C2" w:rsidRPr="003C392F" w:rsidRDefault="005455C2" w:rsidP="005455C2">
      <w:pPr>
        <w:pStyle w:val="Point1"/>
        <w:rPr>
          <w:noProof/>
        </w:rPr>
      </w:pPr>
      <w:r w:rsidRPr="003C392F">
        <w:t>"2.</w:t>
      </w:r>
      <w:r w:rsidRPr="003C392F">
        <w:tab/>
        <w:t>La riserva di adeguamento alla Brexit non supera un importo di 4 491 milioni di EUR (a prezzi 2018).";</w:t>
      </w:r>
    </w:p>
    <w:p w14:paraId="5ACF3FB0" w14:textId="77777777" w:rsidR="005455C2" w:rsidRPr="003C392F" w:rsidRDefault="005455C2" w:rsidP="005455C2">
      <w:pPr>
        <w:pStyle w:val="Point0"/>
        <w:rPr>
          <w:noProof/>
        </w:rPr>
      </w:pPr>
      <w:r w:rsidRPr="003C392F">
        <w:br w:type="page"/>
      </w:r>
      <w:r w:rsidRPr="003C392F">
        <w:lastRenderedPageBreak/>
        <w:t>6)</w:t>
      </w:r>
      <w:r w:rsidRPr="003C392F">
        <w:tab/>
        <w:t>sono inseriti gli articoli seguenti:</w:t>
      </w:r>
    </w:p>
    <w:p w14:paraId="5BCB3953" w14:textId="77777777" w:rsidR="005455C2" w:rsidRPr="003C392F" w:rsidRDefault="005455C2" w:rsidP="005455C2">
      <w:pPr>
        <w:pStyle w:val="Text1"/>
        <w:rPr>
          <w:noProof/>
        </w:rPr>
      </w:pPr>
      <w:r w:rsidRPr="003C392F">
        <w:t>"</w:t>
      </w:r>
      <w:r w:rsidRPr="003C392F">
        <w:rPr>
          <w:i/>
          <w:iCs/>
        </w:rPr>
        <w:t>Articolo 10 bis</w:t>
      </w:r>
      <w:r w:rsidRPr="003C392F">
        <w:rPr>
          <w:i/>
          <w:iCs/>
        </w:rPr>
        <w:br/>
        <w:t>Strumento EURI</w:t>
      </w:r>
    </w:p>
    <w:p w14:paraId="1E62FEB2" w14:textId="77777777" w:rsidR="005455C2" w:rsidRPr="003C392F" w:rsidRDefault="005455C2" w:rsidP="005455C2">
      <w:pPr>
        <w:pStyle w:val="Point1"/>
        <w:rPr>
          <w:noProof/>
        </w:rPr>
      </w:pPr>
      <w:r w:rsidRPr="003C392F">
        <w:t>1.</w:t>
      </w:r>
      <w:r w:rsidRPr="003C392F">
        <w:tab/>
        <w:t>A decorrere dal 2025, lo strumento EURI può essere utilizzato per finanziare, per un dato esercizio, una parte dei costi inerenti al pagamento di interessi e cedole dovuti su prestiti contratti sui mercati dei capitali a norma dell'articolo 5, paragrafo 2, della decisione (UE, Euratom) 2020/2053 del Consiglio</w:t>
      </w:r>
      <w:r w:rsidRPr="003C392F">
        <w:rPr>
          <w:vertAlign w:val="superscript"/>
        </w:rPr>
        <w:t>*</w:t>
      </w:r>
      <w:r w:rsidRPr="003C392F">
        <w:t>. Lo strumento EURI può essere mobilitato in un dato esercizio, conformemente a quanto specificato nei paragrafi seguenti, solo per coprire l'importo di tali costi che superano i seguenti importi (a prezzi 2018):</w:t>
      </w:r>
    </w:p>
    <w:p w14:paraId="56D1A876" w14:textId="77777777" w:rsidR="005455C2" w:rsidRPr="003C392F" w:rsidRDefault="005455C2" w:rsidP="005455C2">
      <w:pPr>
        <w:pStyle w:val="Tiret2"/>
        <w:rPr>
          <w:noProof/>
        </w:rPr>
      </w:pPr>
      <w:r w:rsidRPr="003C392F">
        <w:t>2025 – 2 332 milioni di EUR;</w:t>
      </w:r>
    </w:p>
    <w:p w14:paraId="4438A0BE" w14:textId="77777777" w:rsidR="005455C2" w:rsidRPr="003C392F" w:rsidRDefault="005455C2" w:rsidP="005455C2">
      <w:pPr>
        <w:pStyle w:val="Tiret2"/>
        <w:rPr>
          <w:noProof/>
        </w:rPr>
      </w:pPr>
      <w:r w:rsidRPr="003C392F">
        <w:t>2026 – 3 196 milioni di EUR;</w:t>
      </w:r>
    </w:p>
    <w:p w14:paraId="4B7B65C0" w14:textId="77777777" w:rsidR="005455C2" w:rsidRPr="003C392F" w:rsidRDefault="005455C2" w:rsidP="005455C2">
      <w:pPr>
        <w:pStyle w:val="Tiret2"/>
        <w:rPr>
          <w:noProof/>
        </w:rPr>
      </w:pPr>
      <w:r w:rsidRPr="003C392F">
        <w:t>2027 – 4 168 milioni di EUR.</w:t>
      </w:r>
    </w:p>
    <w:p w14:paraId="57FB5096" w14:textId="77777777" w:rsidR="005455C2" w:rsidRPr="003C392F" w:rsidRDefault="005455C2" w:rsidP="005455C2">
      <w:pPr>
        <w:pStyle w:val="Point1"/>
        <w:rPr>
          <w:color w:val="000000"/>
        </w:rPr>
      </w:pPr>
      <w:r w:rsidRPr="003C392F">
        <w:t>2.</w:t>
      </w:r>
      <w:r w:rsidRPr="003C392F">
        <w:tab/>
        <w:t xml:space="preserve">Lo strumento EURI può essere mobilitato dal Parlamento europeo e dal Consiglio nel quadro della procedura di bilancio prevista all'articolo 314 TFUE solo previa ricerca di altri mezzi di finanziamento, </w:t>
      </w:r>
      <w:r w:rsidRPr="003C392F">
        <w:rPr>
          <w:color w:val="000000"/>
        </w:rPr>
        <w:t>'</w:t>
      </w:r>
      <w:r w:rsidRPr="003C392F">
        <w:t>al fine di coprire una parte sostanziale degli importi che superano gli importi di cui al paragrafo 1 del presente articolo, conformemente alle norme settoriali applicabili e agli altri obblighi giuridici, tenendo conto nel contempo delle priorità e di un approccio prudente nell'elaborazione del bilancio.</w:t>
      </w:r>
    </w:p>
    <w:p w14:paraId="5F4F8287" w14:textId="77777777" w:rsidR="005455C2" w:rsidRPr="003C392F" w:rsidRDefault="005455C2" w:rsidP="005455C2">
      <w:pPr>
        <w:pStyle w:val="Text2"/>
      </w:pPr>
      <w:r w:rsidRPr="003C392F">
        <w:br w:type="page"/>
      </w:r>
      <w:r w:rsidRPr="003C392F">
        <w:lastRenderedPageBreak/>
        <w:t>Gli stanziamenti per lo strumento EURI sono resi disponibili al di sopra dei massimali fissati nel QFP.</w:t>
      </w:r>
    </w:p>
    <w:p w14:paraId="084F4E70" w14:textId="77777777" w:rsidR="005455C2" w:rsidRPr="003C392F" w:rsidRDefault="005455C2" w:rsidP="005455C2">
      <w:pPr>
        <w:pStyle w:val="Point1"/>
        <w:rPr>
          <w:rFonts w:asciiTheme="majorBidi" w:hAnsiTheme="majorBidi" w:cstheme="majorBidi"/>
          <w:szCs w:val="24"/>
        </w:rPr>
      </w:pPr>
      <w:r w:rsidRPr="003C392F">
        <w:t>3.</w:t>
      </w:r>
      <w:r w:rsidRPr="003C392F">
        <w:tab/>
        <w:t>Lo strumento EURI comprende:</w:t>
      </w:r>
    </w:p>
    <w:p w14:paraId="6580C68C" w14:textId="77777777" w:rsidR="005455C2" w:rsidRPr="003C392F" w:rsidRDefault="005455C2" w:rsidP="005455C2">
      <w:pPr>
        <w:pStyle w:val="Point2"/>
      </w:pPr>
      <w:r w:rsidRPr="003C392F">
        <w:t>a)</w:t>
      </w:r>
      <w:r w:rsidRPr="003C392F">
        <w:tab/>
        <w:t>un importo equivalente ai disimpegni di stanziamenti, diversi dalle entrate con destinazione specifica esterne, intervenuti cumulativamente dal 2021 e non mobilitati nell'ambito del presente strumento negli anni precedenti, ad esclusione degli importi dei disimpegni resi nuovamente disponibili in forza delle disposizioni dell'articolo 15 del regolamento finanziario e delle norme specifiche sulla ricostituzione degli stanziamenti di cui ai pertinenti atti di base. Tale importo è utilizzato per primo;</w:t>
      </w:r>
    </w:p>
    <w:p w14:paraId="184DDAFA" w14:textId="77777777" w:rsidR="005455C2" w:rsidRPr="003C392F" w:rsidRDefault="005455C2" w:rsidP="005455C2">
      <w:pPr>
        <w:pStyle w:val="Point2"/>
      </w:pPr>
      <w:r w:rsidRPr="003C392F">
        <w:t>b)</w:t>
      </w:r>
      <w:r w:rsidRPr="003C392F">
        <w:tab/>
        <w:t>solo se l'importo di cui alla lettera a) del presente paragrafo è insufficiente, un importo supplementare necessario per finanziare integralmente i costi di cui al paragrafo 1 nell'esercizio interessato.</w:t>
      </w:r>
    </w:p>
    <w:p w14:paraId="7DD674CB" w14:textId="77777777" w:rsidR="005455C2" w:rsidRPr="003C392F" w:rsidRDefault="005455C2" w:rsidP="005455C2">
      <w:pPr>
        <w:pStyle w:val="Text2"/>
      </w:pPr>
      <w:r w:rsidRPr="003C392F">
        <w:t>Ogni anno, nell'ambito dell'adeguamento tecnico di cui all'articolo 4, la Commissione calcola l'importo disponibile sulla base del primo comma, lettera a), del presente paragrafo, tenendo conto degli importi presi in considerazione a tal fine negli esercizi precedenti.</w:t>
      </w:r>
    </w:p>
    <w:p w14:paraId="274B96FE" w14:textId="77777777" w:rsidR="005455C2" w:rsidRPr="003C392F" w:rsidRDefault="005455C2" w:rsidP="005455C2">
      <w:pPr>
        <w:pStyle w:val="Text1"/>
        <w:rPr>
          <w:noProof/>
        </w:rPr>
      </w:pPr>
      <w:r w:rsidRPr="003C392F">
        <w:rPr>
          <w:i/>
          <w:iCs/>
        </w:rPr>
        <w:br w:type="page"/>
      </w:r>
      <w:r w:rsidRPr="003C392F">
        <w:rPr>
          <w:i/>
          <w:iCs/>
        </w:rPr>
        <w:lastRenderedPageBreak/>
        <w:t>Articolo 10 ter</w:t>
      </w:r>
      <w:r w:rsidRPr="003C392F">
        <w:rPr>
          <w:i/>
          <w:iCs/>
        </w:rPr>
        <w:br/>
        <w:t>Riserva per l'Ucraina</w:t>
      </w:r>
    </w:p>
    <w:p w14:paraId="19EC62DF" w14:textId="77777777" w:rsidR="005455C2" w:rsidRPr="003C392F" w:rsidRDefault="005455C2" w:rsidP="005455C2">
      <w:pPr>
        <w:pStyle w:val="Point1"/>
        <w:rPr>
          <w:noProof/>
        </w:rPr>
      </w:pPr>
      <w:r w:rsidRPr="003C392F">
        <w:t>1.</w:t>
      </w:r>
      <w:r w:rsidRPr="003C392F">
        <w:tab/>
        <w:t>La riserva per l'Ucraina può essere mobilitata al solo scopo di finanziare spese ai sensi del regolamento (UE) 2024/…</w:t>
      </w:r>
      <w:r w:rsidRPr="003C392F">
        <w:rPr>
          <w:rStyle w:val="FootnoteReference"/>
        </w:rPr>
        <w:footnoteReference w:customMarkFollows="1" w:id="11"/>
        <w:t>+</w:t>
      </w:r>
      <w:r w:rsidRPr="003C392F">
        <w:t>.</w:t>
      </w:r>
    </w:p>
    <w:p w14:paraId="1C99BB43" w14:textId="77777777" w:rsidR="005455C2" w:rsidRPr="003C392F" w:rsidRDefault="005455C2" w:rsidP="005455C2">
      <w:pPr>
        <w:pStyle w:val="Point1"/>
        <w:rPr>
          <w:noProof/>
        </w:rPr>
      </w:pPr>
      <w:r w:rsidRPr="003C392F">
        <w:t>2.</w:t>
      </w:r>
      <w:r w:rsidRPr="003C392F">
        <w:tab/>
        <w:t>La riserva per l'Ucraina non supera l'importo di [17 000] milioni di EUR a prezzi correnti per il periodo 2024-2027.</w:t>
      </w:r>
    </w:p>
    <w:p w14:paraId="50B1C04C" w14:textId="77777777" w:rsidR="005455C2" w:rsidRPr="003C392F" w:rsidRDefault="005455C2" w:rsidP="005455C2">
      <w:pPr>
        <w:pStyle w:val="Point1"/>
        <w:rPr>
          <w:noProof/>
        </w:rPr>
      </w:pPr>
      <w:r w:rsidRPr="003C392F">
        <w:t>3.</w:t>
      </w:r>
      <w:r w:rsidRPr="003C392F">
        <w:tab/>
        <w:t>L'importo annuo mobilitato nell'ambito della riserva per l'Ucraina in un dato anno non supera [5 000] milioni di EUR a prezzi correnti. Fatto salvo l'importo complessivo di cui al paragrafo 2, la quota dell'importo annuo non utilizzata in un dato anno può essere utilizzata negli anni successivi, fino al 2027.</w:t>
      </w:r>
    </w:p>
    <w:p w14:paraId="4E2AFDF9" w14:textId="77777777" w:rsidR="005455C2" w:rsidRPr="003C392F" w:rsidRDefault="005455C2" w:rsidP="005455C2">
      <w:pPr>
        <w:pStyle w:val="Point1"/>
      </w:pPr>
      <w:r w:rsidRPr="003C392F">
        <w:t>4.</w:t>
      </w:r>
      <w:r w:rsidRPr="003C392F">
        <w:tab/>
        <w:t>La riserva per l'Ucraina può essere mobilitata dal Parlamento europeo e dal Consiglio nel quadro della procedura di bilancio prevista all'articolo 314 TFUE.</w:t>
      </w:r>
    </w:p>
    <w:p w14:paraId="625E158B" w14:textId="77777777" w:rsidR="005455C2" w:rsidRPr="003C392F" w:rsidRDefault="005455C2" w:rsidP="005455C2">
      <w:pPr>
        <w:pStyle w:val="Text1"/>
      </w:pPr>
      <w:r w:rsidRPr="003C392F">
        <w:t>_____________________</w:t>
      </w:r>
    </w:p>
    <w:p w14:paraId="4E6D5867" w14:textId="77777777" w:rsidR="005455C2" w:rsidRPr="003C392F" w:rsidRDefault="005455C2" w:rsidP="005455C2">
      <w:pPr>
        <w:pStyle w:val="Point2"/>
        <w:spacing w:before="0" w:after="0" w:line="240" w:lineRule="auto"/>
        <w:ind w:left="1418"/>
      </w:pPr>
      <w:r w:rsidRPr="003C392F">
        <w:rPr>
          <w:vertAlign w:val="superscript"/>
        </w:rPr>
        <w:t>*</w:t>
      </w:r>
      <w:r w:rsidRPr="003C392F">
        <w:rPr>
          <w:vertAlign w:val="superscript"/>
        </w:rPr>
        <w:tab/>
      </w:r>
      <w:r w:rsidRPr="003C392F">
        <w:t>Decisione (UE, Euratom) 2020/2053 del Consiglio, del 14 dicembre 2020, relativa al sistema delle risorse proprie dell'Unione europea e che abroga la decisione 2014/335/UE, Euratom (GU L 424 del 15.12.2020, pag. 1).";</w:t>
      </w:r>
    </w:p>
    <w:p w14:paraId="53E53844" w14:textId="77777777" w:rsidR="005455C2" w:rsidRPr="003C392F" w:rsidRDefault="005455C2" w:rsidP="005455C2">
      <w:pPr>
        <w:pStyle w:val="Point0"/>
      </w:pPr>
      <w:r w:rsidRPr="003C392F">
        <w:br w:type="page"/>
      </w:r>
      <w:r w:rsidRPr="003C392F">
        <w:lastRenderedPageBreak/>
        <w:t>7)</w:t>
      </w:r>
      <w:r w:rsidRPr="003C392F">
        <w:tab/>
        <w:t>all'articolo 11, è inserito il paragrafo seguente:</w:t>
      </w:r>
    </w:p>
    <w:p w14:paraId="1BAC622C" w14:textId="77777777" w:rsidR="005455C2" w:rsidRPr="003C392F" w:rsidRDefault="005455C2" w:rsidP="005455C2">
      <w:pPr>
        <w:pStyle w:val="Point1"/>
      </w:pPr>
      <w:r w:rsidRPr="003C392F">
        <w:t>"3 bis.</w:t>
      </w:r>
      <w:r w:rsidRPr="003C392F">
        <w:tab/>
        <w:t>L'importo massimo per l'adeguamento annuale di cui al paragrafo 3 del presente articolo per l'esercizio 2026, aumentato dell'importo di cui all'articolo 5, paragrafo 2, secondo comma, sarà adeguato dell'importo equivalente alla parte non utilizzata dell'importo massimo per l'esercizio 2025.</w:t>
      </w:r>
      <w:r w:rsidRPr="003C392F" w:rsidDel="009363F3">
        <w:t xml:space="preserve"> </w:t>
      </w:r>
      <w:r w:rsidRPr="003C392F">
        <w:t>";</w:t>
      </w:r>
    </w:p>
    <w:p w14:paraId="3F3EE0D1" w14:textId="77777777" w:rsidR="005455C2" w:rsidRPr="003C392F" w:rsidRDefault="005455C2" w:rsidP="005455C2">
      <w:pPr>
        <w:pStyle w:val="Point0"/>
        <w:rPr>
          <w:noProof/>
        </w:rPr>
      </w:pPr>
      <w:r w:rsidRPr="003C392F">
        <w:t>8)</w:t>
      </w:r>
      <w:r w:rsidRPr="003C392F">
        <w:tab/>
        <w:t>l'articolo 12 è sostituito dal seguente:</w:t>
      </w:r>
    </w:p>
    <w:p w14:paraId="6A43798E" w14:textId="77777777" w:rsidR="005455C2" w:rsidRPr="003C392F" w:rsidRDefault="005455C2" w:rsidP="005455C2">
      <w:pPr>
        <w:pStyle w:val="Text1"/>
        <w:rPr>
          <w:noProof/>
        </w:rPr>
      </w:pPr>
      <w:r w:rsidRPr="003C392F">
        <w:t>"</w:t>
      </w:r>
      <w:r w:rsidRPr="003C392F">
        <w:rPr>
          <w:i/>
          <w:iCs/>
        </w:rPr>
        <w:t>Articolo 12</w:t>
      </w:r>
      <w:r w:rsidRPr="003C392F">
        <w:rPr>
          <w:i/>
          <w:iCs/>
        </w:rPr>
        <w:br/>
        <w:t>Strumento di flessibilità</w:t>
      </w:r>
    </w:p>
    <w:p w14:paraId="399B2F4D" w14:textId="77777777" w:rsidR="005455C2" w:rsidRPr="003C392F" w:rsidRDefault="005455C2" w:rsidP="005455C2">
      <w:pPr>
        <w:pStyle w:val="Point1"/>
      </w:pPr>
      <w:r w:rsidRPr="003C392F">
        <w:t>1.</w:t>
      </w:r>
      <w:r w:rsidRPr="003C392F">
        <w:tab/>
        <w:t>Lo strumento di flessibilità può essere utilizzato per il finanziamento di spese impreviste specifiche in stanziamenti di impegno e in corrispondenti stanziamenti di pagamento per un dato esercizio che non possono essere finanziate all'interno dei massimali disponibili di una o più altre rubriche. Il massimale annuo disponibile per lo strumento di flessibilità negli anni dal 2021 al 2023 è pari a 915 milioni di EUR (a prezzi 2018). Il massimale annuo disponibile per lo strumento di flessibilità negli anni dal 2024 al 2027 è pari a 1 346 milioni di EUR (a prezzi 2018).</w:t>
      </w:r>
    </w:p>
    <w:p w14:paraId="11727A56" w14:textId="77777777" w:rsidR="005455C2" w:rsidRPr="003C392F" w:rsidRDefault="005455C2" w:rsidP="005455C2">
      <w:pPr>
        <w:pStyle w:val="Text2"/>
      </w:pPr>
      <w:r w:rsidRPr="003C392F">
        <w:t>Ogni anno, l'importo annuo disponibile per lo strumento di flessibilità è aumentato di un importo equivalente alle quote degli importi annui della riserva di solidarietà europea e della riserva per gli aiuti d'urgenza annullate nell'esercizio precedente a norma dell'articolo 9.</w:t>
      </w:r>
    </w:p>
    <w:p w14:paraId="6FCBF527" w14:textId="77777777" w:rsidR="005455C2" w:rsidRPr="003C392F" w:rsidRDefault="005455C2" w:rsidP="005455C2">
      <w:pPr>
        <w:pStyle w:val="Point1"/>
      </w:pPr>
      <w:r w:rsidRPr="003C392F">
        <w:br w:type="page"/>
      </w:r>
      <w:r w:rsidRPr="003C392F">
        <w:lastRenderedPageBreak/>
        <w:t>2.</w:t>
      </w:r>
      <w:r w:rsidRPr="003C392F">
        <w:rPr>
          <w:color w:val="231F20"/>
          <w:sz w:val="19"/>
          <w:szCs w:val="19"/>
        </w:rPr>
        <w:tab/>
      </w:r>
      <w:r w:rsidRPr="003C392F">
        <w:t>La quota dell'importo annuo dello strumento di flessibilità non utilizzata può essere utilizzata fino all'anno n+2. Qualsiasi quota dell'importo annuo derivante dagli esercizi precedenti viene utilizzata per prima, in ordine cronologico. Qualsiasi quota dell'importo annuo dell'anno n non utilizzata nell'anno n+2 viene annullata.";</w:t>
      </w:r>
    </w:p>
    <w:p w14:paraId="7E88D70B" w14:textId="77777777" w:rsidR="005455C2" w:rsidRPr="003C392F" w:rsidRDefault="005455C2" w:rsidP="005455C2">
      <w:pPr>
        <w:pStyle w:val="Point0"/>
        <w:rPr>
          <w:noProof/>
        </w:rPr>
      </w:pPr>
      <w:r w:rsidRPr="003C392F">
        <w:t>9)</w:t>
      </w:r>
      <w:r w:rsidRPr="003C392F">
        <w:tab/>
        <w:t>gli allegati I e II sono sostituiti dal testo che figura nell'allegato del presente regolamento.</w:t>
      </w:r>
    </w:p>
    <w:p w14:paraId="62AEC731" w14:textId="77777777" w:rsidR="005455C2" w:rsidRPr="003C392F" w:rsidRDefault="005455C2" w:rsidP="005455C2">
      <w:pPr>
        <w:pStyle w:val="Titrearticle"/>
        <w:rPr>
          <w:noProof/>
        </w:rPr>
      </w:pPr>
      <w:r w:rsidRPr="003C392F">
        <w:t>Articolo 2</w:t>
      </w:r>
    </w:p>
    <w:p w14:paraId="661C88ED" w14:textId="77777777" w:rsidR="005455C2" w:rsidRPr="003C392F" w:rsidRDefault="005455C2" w:rsidP="005455C2">
      <w:pPr>
        <w:pStyle w:val="NormalLeft"/>
        <w:rPr>
          <w:noProof/>
        </w:rPr>
      </w:pPr>
      <w:r w:rsidRPr="003C392F">
        <w:t xml:space="preserve">Il presente regolamento entra in vigore il giorno della pubblicazione nella </w:t>
      </w:r>
      <w:r w:rsidRPr="003C392F">
        <w:rPr>
          <w:i/>
        </w:rPr>
        <w:t>Gazzetta ufficiale dell'Unione europea</w:t>
      </w:r>
      <w:r w:rsidRPr="003C392F">
        <w:t>.</w:t>
      </w:r>
    </w:p>
    <w:p w14:paraId="6FBDDC0A" w14:textId="77777777" w:rsidR="005455C2" w:rsidRPr="003C392F" w:rsidRDefault="005455C2" w:rsidP="005455C2">
      <w:pPr>
        <w:rPr>
          <w:noProof/>
        </w:rPr>
      </w:pPr>
      <w:r w:rsidRPr="003C392F">
        <w:t>Esso si applica a decorrere dal 1º gennaio 2024.</w:t>
      </w:r>
    </w:p>
    <w:p w14:paraId="61AF53B5" w14:textId="77777777" w:rsidR="005455C2" w:rsidRPr="003C392F" w:rsidRDefault="005455C2" w:rsidP="005455C2">
      <w:pPr>
        <w:pStyle w:val="Applicationdirecte"/>
        <w:rPr>
          <w:noProof/>
        </w:rPr>
      </w:pPr>
      <w:r w:rsidRPr="003C392F">
        <w:t>Il presente regolamento è obbligatorio in tutti i suoi elementi e direttamente applicabile in ciascuno degli Stati membri.</w:t>
      </w:r>
    </w:p>
    <w:p w14:paraId="1E2B2C22" w14:textId="77777777" w:rsidR="005455C2" w:rsidRPr="003C392F" w:rsidRDefault="005455C2" w:rsidP="005455C2">
      <w:pPr>
        <w:pStyle w:val="Fait"/>
      </w:pPr>
      <w:r w:rsidRPr="003C392F">
        <w:t>Fatto a …,</w:t>
      </w:r>
    </w:p>
    <w:p w14:paraId="7948E4F9" w14:textId="77777777" w:rsidR="005455C2" w:rsidRPr="003C392F" w:rsidRDefault="005455C2" w:rsidP="005455C2">
      <w:pPr>
        <w:pStyle w:val="Institutionquisigne"/>
      </w:pPr>
      <w:r w:rsidRPr="003C392F">
        <w:tab/>
        <w:t>Per il Consiglio</w:t>
      </w:r>
    </w:p>
    <w:p w14:paraId="7C850F60" w14:textId="77777777" w:rsidR="005455C2" w:rsidRPr="003C392F" w:rsidRDefault="005455C2" w:rsidP="005455C2">
      <w:pPr>
        <w:pStyle w:val="Personnequisigne"/>
      </w:pPr>
      <w:r w:rsidRPr="003C392F">
        <w:tab/>
        <w:t>Il presidente</w:t>
      </w:r>
    </w:p>
    <w:p w14:paraId="17ABDDDF" w14:textId="77777777" w:rsidR="005455C2" w:rsidRPr="003C392F" w:rsidRDefault="005455C2" w:rsidP="005455C2">
      <w:pPr>
        <w:pStyle w:val="Lignefinal"/>
      </w:pPr>
    </w:p>
    <w:p w14:paraId="376B8190" w14:textId="77777777" w:rsidR="00C015C4" w:rsidRPr="003C392F" w:rsidRDefault="00C015C4" w:rsidP="005455C2">
      <w:pPr>
        <w:pStyle w:val="Annexetitre"/>
        <w:sectPr w:rsidR="00C015C4" w:rsidRPr="003C392F" w:rsidSect="00D3714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32564B14" w14:textId="77777777" w:rsidR="005455C2" w:rsidRPr="003C392F" w:rsidRDefault="005455C2" w:rsidP="005455C2">
      <w:pPr>
        <w:pStyle w:val="Annexetitre"/>
      </w:pPr>
    </w:p>
    <w:p w14:paraId="338B08F8" w14:textId="77777777" w:rsidR="005455C2" w:rsidRPr="003C392F" w:rsidRDefault="005455C2" w:rsidP="005455C2">
      <w:pPr>
        <w:pStyle w:val="Annexetitre"/>
      </w:pPr>
      <w:r w:rsidRPr="003C392F">
        <w:t>ALLEGATO</w:t>
      </w:r>
    </w:p>
    <w:p w14:paraId="77E3EF9A" w14:textId="77777777" w:rsidR="005455C2" w:rsidRPr="003C392F" w:rsidRDefault="005455C2" w:rsidP="005455C2">
      <w:pPr>
        <w:pStyle w:val="NormalCentered"/>
      </w:pPr>
      <w:r w:rsidRPr="003C392F">
        <w:t>"ALLEGATO I</w:t>
      </w:r>
    </w:p>
    <w:p w14:paraId="7E6BDB28" w14:textId="77777777" w:rsidR="005455C2" w:rsidRPr="003C392F" w:rsidRDefault="005455C2" w:rsidP="005455C2">
      <w:pPr>
        <w:jc w:val="center"/>
        <w:rPr>
          <w:rFonts w:eastAsia="Calibri"/>
        </w:rPr>
      </w:pPr>
      <w:r w:rsidRPr="003C392F">
        <w:rPr>
          <w:rFonts w:eastAsia="Calibri"/>
        </w:rPr>
        <w:t>QUADRO FINANZIARIO PLURIENNALE (UE-27)</w:t>
      </w:r>
    </w:p>
    <w:tbl>
      <w:tblPr>
        <w:tblW w:w="5073" w:type="pct"/>
        <w:tblLayout w:type="fixed"/>
        <w:tblLook w:val="04A0" w:firstRow="1" w:lastRow="0" w:firstColumn="1" w:lastColumn="0" w:noHBand="0" w:noVBand="1"/>
      </w:tblPr>
      <w:tblGrid>
        <w:gridCol w:w="5585"/>
        <w:gridCol w:w="1006"/>
        <w:gridCol w:w="1015"/>
        <w:gridCol w:w="1015"/>
        <w:gridCol w:w="1015"/>
        <w:gridCol w:w="1012"/>
        <w:gridCol w:w="1009"/>
        <w:gridCol w:w="986"/>
        <w:gridCol w:w="1852"/>
      </w:tblGrid>
      <w:tr w:rsidR="005455C2" w:rsidRPr="003C392F" w14:paraId="7D3A00E5" w14:textId="77777777" w:rsidTr="00C33BCC">
        <w:trPr>
          <w:trHeight w:val="315"/>
          <w:tblHeader/>
        </w:trPr>
        <w:tc>
          <w:tcPr>
            <w:tcW w:w="1927" w:type="pct"/>
            <w:tcBorders>
              <w:top w:val="nil"/>
              <w:left w:val="nil"/>
              <w:bottom w:val="nil"/>
              <w:right w:val="nil"/>
            </w:tcBorders>
            <w:shd w:val="clear" w:color="auto" w:fill="auto"/>
            <w:noWrap/>
            <w:vAlign w:val="bottom"/>
            <w:hideMark/>
          </w:tcPr>
          <w:p w14:paraId="0AC3833F" w14:textId="77777777" w:rsidR="005455C2" w:rsidRPr="003C392F" w:rsidRDefault="005455C2" w:rsidP="00C33BCC">
            <w:pPr>
              <w:spacing w:before="60" w:after="60"/>
              <w:rPr>
                <w:rFonts w:eastAsia="Calibri"/>
              </w:rPr>
            </w:pPr>
          </w:p>
        </w:tc>
        <w:tc>
          <w:tcPr>
            <w:tcW w:w="347" w:type="pct"/>
            <w:tcBorders>
              <w:top w:val="nil"/>
              <w:left w:val="nil"/>
              <w:bottom w:val="nil"/>
              <w:right w:val="nil"/>
            </w:tcBorders>
            <w:shd w:val="clear" w:color="auto" w:fill="auto"/>
            <w:noWrap/>
            <w:vAlign w:val="bottom"/>
            <w:hideMark/>
          </w:tcPr>
          <w:p w14:paraId="098EC927" w14:textId="77777777" w:rsidR="005455C2" w:rsidRPr="003C392F" w:rsidRDefault="005455C2" w:rsidP="00C33BCC">
            <w:pPr>
              <w:spacing w:before="60" w:after="60"/>
              <w:rPr>
                <w:rFonts w:eastAsia="Calibri"/>
              </w:rPr>
            </w:pPr>
          </w:p>
        </w:tc>
        <w:tc>
          <w:tcPr>
            <w:tcW w:w="350" w:type="pct"/>
            <w:tcBorders>
              <w:top w:val="nil"/>
              <w:left w:val="nil"/>
              <w:bottom w:val="nil"/>
              <w:right w:val="nil"/>
            </w:tcBorders>
            <w:shd w:val="clear" w:color="auto" w:fill="auto"/>
            <w:noWrap/>
            <w:vAlign w:val="bottom"/>
            <w:hideMark/>
          </w:tcPr>
          <w:p w14:paraId="45C798A9" w14:textId="77777777" w:rsidR="005455C2" w:rsidRPr="003C392F" w:rsidRDefault="005455C2" w:rsidP="00C33BCC">
            <w:pPr>
              <w:spacing w:before="60" w:after="60"/>
              <w:rPr>
                <w:rFonts w:eastAsia="Calibri"/>
              </w:rPr>
            </w:pPr>
          </w:p>
        </w:tc>
        <w:tc>
          <w:tcPr>
            <w:tcW w:w="350" w:type="pct"/>
            <w:tcBorders>
              <w:top w:val="nil"/>
              <w:left w:val="nil"/>
              <w:bottom w:val="nil"/>
              <w:right w:val="nil"/>
            </w:tcBorders>
            <w:shd w:val="clear" w:color="auto" w:fill="auto"/>
            <w:noWrap/>
            <w:vAlign w:val="bottom"/>
            <w:hideMark/>
          </w:tcPr>
          <w:p w14:paraId="15386DC7" w14:textId="77777777" w:rsidR="005455C2" w:rsidRPr="003C392F" w:rsidRDefault="005455C2" w:rsidP="00C33BCC">
            <w:pPr>
              <w:spacing w:before="60" w:after="60"/>
              <w:rPr>
                <w:rFonts w:eastAsia="Calibri"/>
              </w:rPr>
            </w:pPr>
          </w:p>
        </w:tc>
        <w:tc>
          <w:tcPr>
            <w:tcW w:w="350" w:type="pct"/>
            <w:tcBorders>
              <w:top w:val="nil"/>
              <w:left w:val="nil"/>
              <w:bottom w:val="nil"/>
              <w:right w:val="nil"/>
            </w:tcBorders>
            <w:shd w:val="clear" w:color="auto" w:fill="auto"/>
            <w:noWrap/>
            <w:vAlign w:val="bottom"/>
            <w:hideMark/>
          </w:tcPr>
          <w:p w14:paraId="30D831BA" w14:textId="77777777" w:rsidR="005455C2" w:rsidRPr="003C392F" w:rsidRDefault="005455C2" w:rsidP="00C33BCC">
            <w:pPr>
              <w:spacing w:before="60" w:after="60"/>
              <w:rPr>
                <w:rFonts w:eastAsia="Calibri"/>
              </w:rPr>
            </w:pPr>
          </w:p>
        </w:tc>
        <w:tc>
          <w:tcPr>
            <w:tcW w:w="349" w:type="pct"/>
            <w:tcBorders>
              <w:top w:val="nil"/>
              <w:left w:val="nil"/>
              <w:bottom w:val="nil"/>
              <w:right w:val="nil"/>
            </w:tcBorders>
            <w:shd w:val="clear" w:color="auto" w:fill="auto"/>
            <w:noWrap/>
            <w:vAlign w:val="bottom"/>
            <w:hideMark/>
          </w:tcPr>
          <w:p w14:paraId="70F87C84" w14:textId="77777777" w:rsidR="005455C2" w:rsidRPr="003C392F" w:rsidRDefault="005455C2" w:rsidP="00C33BCC">
            <w:pPr>
              <w:spacing w:before="60" w:after="60"/>
              <w:rPr>
                <w:rFonts w:eastAsia="Calibri"/>
              </w:rPr>
            </w:pPr>
          </w:p>
        </w:tc>
        <w:tc>
          <w:tcPr>
            <w:tcW w:w="1327" w:type="pct"/>
            <w:gridSpan w:val="3"/>
            <w:tcBorders>
              <w:top w:val="nil"/>
              <w:left w:val="nil"/>
              <w:bottom w:val="nil"/>
              <w:right w:val="nil"/>
            </w:tcBorders>
            <w:shd w:val="clear" w:color="auto" w:fill="auto"/>
            <w:noWrap/>
            <w:vAlign w:val="center"/>
            <w:hideMark/>
          </w:tcPr>
          <w:p w14:paraId="07CDCCE4" w14:textId="77777777" w:rsidR="005455C2" w:rsidRPr="003C392F" w:rsidRDefault="005455C2" w:rsidP="00C33BCC">
            <w:pPr>
              <w:spacing w:before="60" w:after="60"/>
              <w:jc w:val="right"/>
              <w:rPr>
                <w:rFonts w:eastAsia="Calibri"/>
              </w:rPr>
            </w:pPr>
            <w:r w:rsidRPr="003C392F">
              <w:rPr>
                <w:rFonts w:eastAsia="Calibri"/>
              </w:rPr>
              <w:t>(</w:t>
            </w:r>
            <w:r w:rsidRPr="003C392F">
              <w:rPr>
                <w:rFonts w:eastAsia="Calibri"/>
                <w:i/>
                <w:iCs/>
              </w:rPr>
              <w:t>milioni di EUR — prezzi 2018</w:t>
            </w:r>
            <w:r w:rsidRPr="003C392F">
              <w:rPr>
                <w:rFonts w:eastAsia="Calibri"/>
              </w:rPr>
              <w:t>)</w:t>
            </w:r>
          </w:p>
        </w:tc>
      </w:tr>
      <w:tr w:rsidR="005455C2" w:rsidRPr="003C392F" w14:paraId="4CB362F7" w14:textId="77777777" w:rsidTr="00C33BCC">
        <w:trPr>
          <w:trHeight w:val="645"/>
          <w:tblHeader/>
        </w:trPr>
        <w:tc>
          <w:tcPr>
            <w:tcW w:w="1927"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354148A1" w14:textId="77777777" w:rsidR="005455C2" w:rsidRPr="003C392F" w:rsidRDefault="005455C2" w:rsidP="00C33BCC">
            <w:pPr>
              <w:spacing w:before="60" w:after="60"/>
              <w:jc w:val="center"/>
              <w:rPr>
                <w:rFonts w:eastAsia="Calibri"/>
                <w:b/>
                <w:bCs/>
              </w:rPr>
            </w:pPr>
            <w:r w:rsidRPr="003C392F">
              <w:rPr>
                <w:rFonts w:eastAsia="Calibri"/>
                <w:b/>
                <w:bCs/>
              </w:rPr>
              <w:t>STANZIAMENTI DI IMPEGNO</w:t>
            </w:r>
          </w:p>
        </w:tc>
        <w:tc>
          <w:tcPr>
            <w:tcW w:w="347" w:type="pct"/>
            <w:tcBorders>
              <w:top w:val="single" w:sz="8" w:space="0" w:color="auto"/>
              <w:left w:val="nil"/>
              <w:bottom w:val="single" w:sz="8" w:space="0" w:color="auto"/>
              <w:right w:val="nil"/>
            </w:tcBorders>
            <w:shd w:val="clear" w:color="auto" w:fill="auto"/>
            <w:noWrap/>
            <w:vAlign w:val="center"/>
            <w:hideMark/>
          </w:tcPr>
          <w:p w14:paraId="248C10A5" w14:textId="77777777" w:rsidR="005455C2" w:rsidRPr="003C392F" w:rsidRDefault="005455C2" w:rsidP="00C33BCC">
            <w:pPr>
              <w:spacing w:before="60" w:after="60"/>
              <w:jc w:val="center"/>
              <w:rPr>
                <w:rFonts w:eastAsia="Calibri"/>
                <w:b/>
                <w:bCs/>
              </w:rPr>
            </w:pPr>
            <w:r w:rsidRPr="003C392F">
              <w:rPr>
                <w:rFonts w:eastAsia="Calibri"/>
                <w:b/>
                <w:bCs/>
              </w:rPr>
              <w:t>2021</w:t>
            </w:r>
          </w:p>
        </w:tc>
        <w:tc>
          <w:tcPr>
            <w:tcW w:w="350" w:type="pct"/>
            <w:tcBorders>
              <w:top w:val="single" w:sz="8" w:space="0" w:color="auto"/>
              <w:left w:val="nil"/>
              <w:bottom w:val="single" w:sz="8" w:space="0" w:color="auto"/>
              <w:right w:val="nil"/>
            </w:tcBorders>
            <w:shd w:val="clear" w:color="auto" w:fill="auto"/>
            <w:noWrap/>
            <w:vAlign w:val="center"/>
            <w:hideMark/>
          </w:tcPr>
          <w:p w14:paraId="2C6760B6" w14:textId="77777777" w:rsidR="005455C2" w:rsidRPr="003C392F" w:rsidRDefault="005455C2" w:rsidP="00C33BCC">
            <w:pPr>
              <w:spacing w:before="60" w:after="60"/>
              <w:jc w:val="center"/>
              <w:rPr>
                <w:rFonts w:eastAsia="Calibri"/>
                <w:b/>
                <w:bCs/>
              </w:rPr>
            </w:pPr>
            <w:r w:rsidRPr="003C392F">
              <w:rPr>
                <w:rFonts w:eastAsia="Calibri"/>
                <w:b/>
                <w:bCs/>
              </w:rPr>
              <w:t>2022</w:t>
            </w:r>
          </w:p>
        </w:tc>
        <w:tc>
          <w:tcPr>
            <w:tcW w:w="350" w:type="pct"/>
            <w:tcBorders>
              <w:top w:val="single" w:sz="8" w:space="0" w:color="auto"/>
              <w:left w:val="nil"/>
              <w:bottom w:val="single" w:sz="8" w:space="0" w:color="auto"/>
              <w:right w:val="nil"/>
            </w:tcBorders>
            <w:shd w:val="clear" w:color="auto" w:fill="auto"/>
            <w:noWrap/>
            <w:vAlign w:val="center"/>
            <w:hideMark/>
          </w:tcPr>
          <w:p w14:paraId="14F5E6A2" w14:textId="77777777" w:rsidR="005455C2" w:rsidRPr="003C392F" w:rsidRDefault="005455C2" w:rsidP="00C33BCC">
            <w:pPr>
              <w:spacing w:before="60" w:after="60"/>
              <w:jc w:val="center"/>
              <w:rPr>
                <w:rFonts w:eastAsia="Calibri"/>
                <w:b/>
                <w:bCs/>
              </w:rPr>
            </w:pPr>
            <w:r w:rsidRPr="003C392F">
              <w:rPr>
                <w:rFonts w:eastAsia="Calibri"/>
                <w:b/>
                <w:bCs/>
              </w:rPr>
              <w:t>2023</w:t>
            </w:r>
          </w:p>
        </w:tc>
        <w:tc>
          <w:tcPr>
            <w:tcW w:w="350" w:type="pct"/>
            <w:tcBorders>
              <w:top w:val="single" w:sz="8" w:space="0" w:color="auto"/>
              <w:left w:val="nil"/>
              <w:bottom w:val="single" w:sz="8" w:space="0" w:color="auto"/>
              <w:right w:val="nil"/>
            </w:tcBorders>
            <w:shd w:val="clear" w:color="auto" w:fill="auto"/>
            <w:noWrap/>
            <w:vAlign w:val="center"/>
            <w:hideMark/>
          </w:tcPr>
          <w:p w14:paraId="389D9763" w14:textId="77777777" w:rsidR="005455C2" w:rsidRPr="003C392F" w:rsidRDefault="005455C2" w:rsidP="00C33BCC">
            <w:pPr>
              <w:spacing w:before="60" w:after="60"/>
              <w:jc w:val="center"/>
              <w:rPr>
                <w:rFonts w:eastAsia="Calibri"/>
                <w:b/>
                <w:bCs/>
              </w:rPr>
            </w:pPr>
            <w:r w:rsidRPr="003C392F">
              <w:rPr>
                <w:rFonts w:eastAsia="Calibri"/>
                <w:b/>
                <w:bCs/>
              </w:rPr>
              <w:t>2024</w:t>
            </w:r>
          </w:p>
        </w:tc>
        <w:tc>
          <w:tcPr>
            <w:tcW w:w="349" w:type="pct"/>
            <w:tcBorders>
              <w:top w:val="single" w:sz="8" w:space="0" w:color="auto"/>
              <w:left w:val="nil"/>
              <w:bottom w:val="single" w:sz="8" w:space="0" w:color="auto"/>
              <w:right w:val="nil"/>
            </w:tcBorders>
            <w:shd w:val="clear" w:color="auto" w:fill="auto"/>
            <w:noWrap/>
            <w:vAlign w:val="center"/>
            <w:hideMark/>
          </w:tcPr>
          <w:p w14:paraId="10C59632" w14:textId="77777777" w:rsidR="005455C2" w:rsidRPr="003C392F" w:rsidRDefault="005455C2" w:rsidP="00C33BCC">
            <w:pPr>
              <w:spacing w:before="60" w:after="60"/>
              <w:jc w:val="center"/>
              <w:rPr>
                <w:rFonts w:eastAsia="Calibri"/>
                <w:b/>
                <w:bCs/>
              </w:rPr>
            </w:pPr>
            <w:r w:rsidRPr="003C392F">
              <w:rPr>
                <w:rFonts w:eastAsia="Calibri"/>
                <w:b/>
                <w:bCs/>
              </w:rPr>
              <w:t>2025</w:t>
            </w:r>
          </w:p>
        </w:tc>
        <w:tc>
          <w:tcPr>
            <w:tcW w:w="348" w:type="pct"/>
            <w:tcBorders>
              <w:top w:val="single" w:sz="8" w:space="0" w:color="auto"/>
              <w:left w:val="nil"/>
              <w:bottom w:val="single" w:sz="8" w:space="0" w:color="auto"/>
              <w:right w:val="nil"/>
            </w:tcBorders>
            <w:shd w:val="clear" w:color="auto" w:fill="auto"/>
            <w:noWrap/>
            <w:vAlign w:val="center"/>
            <w:hideMark/>
          </w:tcPr>
          <w:p w14:paraId="071FBEDB" w14:textId="77777777" w:rsidR="005455C2" w:rsidRPr="003C392F" w:rsidRDefault="005455C2" w:rsidP="00C33BCC">
            <w:pPr>
              <w:spacing w:before="60" w:after="60"/>
              <w:jc w:val="center"/>
              <w:rPr>
                <w:rFonts w:eastAsia="Calibri"/>
                <w:b/>
                <w:bCs/>
              </w:rPr>
            </w:pPr>
            <w:r w:rsidRPr="003C392F">
              <w:rPr>
                <w:rFonts w:eastAsia="Calibri"/>
                <w:b/>
                <w:bCs/>
              </w:rPr>
              <w:t>2026</w:t>
            </w:r>
          </w:p>
        </w:tc>
        <w:tc>
          <w:tcPr>
            <w:tcW w:w="340" w:type="pct"/>
            <w:tcBorders>
              <w:top w:val="single" w:sz="8" w:space="0" w:color="auto"/>
              <w:left w:val="nil"/>
              <w:bottom w:val="single" w:sz="8" w:space="0" w:color="auto"/>
              <w:right w:val="nil"/>
            </w:tcBorders>
            <w:shd w:val="clear" w:color="auto" w:fill="auto"/>
            <w:noWrap/>
            <w:vAlign w:val="center"/>
            <w:hideMark/>
          </w:tcPr>
          <w:p w14:paraId="67E97DFF" w14:textId="77777777" w:rsidR="005455C2" w:rsidRPr="003C392F" w:rsidRDefault="005455C2" w:rsidP="00C33BCC">
            <w:pPr>
              <w:spacing w:before="60" w:after="60"/>
              <w:jc w:val="center"/>
              <w:rPr>
                <w:rFonts w:eastAsia="Calibri"/>
                <w:b/>
                <w:bCs/>
              </w:rPr>
            </w:pPr>
            <w:r w:rsidRPr="003C392F">
              <w:rPr>
                <w:rFonts w:eastAsia="Calibri"/>
                <w:b/>
                <w:bCs/>
              </w:rPr>
              <w:t>2027</w:t>
            </w:r>
          </w:p>
        </w:tc>
        <w:tc>
          <w:tcPr>
            <w:tcW w:w="639" w:type="pct"/>
            <w:tcBorders>
              <w:top w:val="single" w:sz="8" w:space="0" w:color="auto"/>
              <w:left w:val="single" w:sz="4" w:space="0" w:color="auto"/>
              <w:bottom w:val="single" w:sz="8" w:space="0" w:color="auto"/>
              <w:right w:val="single" w:sz="8" w:space="0" w:color="auto"/>
            </w:tcBorders>
            <w:shd w:val="clear" w:color="auto" w:fill="auto"/>
            <w:vAlign w:val="center"/>
            <w:hideMark/>
          </w:tcPr>
          <w:p w14:paraId="03938073" w14:textId="77777777" w:rsidR="005455C2" w:rsidRPr="003C392F" w:rsidRDefault="005455C2" w:rsidP="00C33BCC">
            <w:pPr>
              <w:spacing w:before="60" w:after="60"/>
              <w:jc w:val="center"/>
              <w:rPr>
                <w:rFonts w:eastAsia="Calibri"/>
                <w:b/>
                <w:bCs/>
              </w:rPr>
            </w:pPr>
            <w:r w:rsidRPr="003C392F">
              <w:rPr>
                <w:rFonts w:eastAsia="Calibri"/>
                <w:b/>
                <w:bCs/>
              </w:rPr>
              <w:t>Totale</w:t>
            </w:r>
            <w:r w:rsidRPr="003C392F">
              <w:rPr>
                <w:rFonts w:eastAsia="Calibri"/>
                <w:b/>
                <w:bCs/>
              </w:rPr>
              <w:br/>
              <w:t>2021-2027</w:t>
            </w:r>
          </w:p>
        </w:tc>
      </w:tr>
      <w:tr w:rsidR="005455C2" w:rsidRPr="003C392F" w14:paraId="0D8C7A5E" w14:textId="77777777" w:rsidTr="00C33BCC">
        <w:trPr>
          <w:trHeight w:val="300"/>
        </w:trPr>
        <w:tc>
          <w:tcPr>
            <w:tcW w:w="1927" w:type="pct"/>
            <w:tcBorders>
              <w:top w:val="nil"/>
              <w:left w:val="single" w:sz="8" w:space="0" w:color="auto"/>
              <w:bottom w:val="nil"/>
              <w:right w:val="single" w:sz="4" w:space="0" w:color="auto"/>
            </w:tcBorders>
            <w:shd w:val="clear" w:color="auto" w:fill="auto"/>
            <w:noWrap/>
            <w:vAlign w:val="center"/>
            <w:hideMark/>
          </w:tcPr>
          <w:p w14:paraId="18E8777F" w14:textId="77777777" w:rsidR="005455C2" w:rsidRPr="003C392F" w:rsidRDefault="005455C2" w:rsidP="00C33BCC">
            <w:pPr>
              <w:spacing w:before="60" w:after="60"/>
              <w:rPr>
                <w:rFonts w:eastAsia="Calibri"/>
                <w:b/>
                <w:bCs/>
              </w:rPr>
            </w:pPr>
            <w:r w:rsidRPr="003C392F">
              <w:rPr>
                <w:rFonts w:eastAsia="Calibri"/>
                <w:b/>
                <w:bCs/>
              </w:rPr>
              <w:t>1.</w:t>
            </w:r>
            <w:r w:rsidRPr="003C392F">
              <w:rPr>
                <w:rFonts w:eastAsia="Calibri"/>
                <w:b/>
                <w:bCs/>
              </w:rPr>
              <w:tab/>
              <w:t>Mercato unico, innovazione e agenda digitale</w:t>
            </w:r>
          </w:p>
        </w:tc>
        <w:tc>
          <w:tcPr>
            <w:tcW w:w="347" w:type="pct"/>
            <w:tcBorders>
              <w:top w:val="nil"/>
              <w:left w:val="nil"/>
              <w:bottom w:val="nil"/>
              <w:right w:val="nil"/>
            </w:tcBorders>
            <w:shd w:val="clear" w:color="auto" w:fill="auto"/>
            <w:noWrap/>
            <w:vAlign w:val="center"/>
            <w:hideMark/>
          </w:tcPr>
          <w:p w14:paraId="293D0DD8" w14:textId="77777777" w:rsidR="005455C2" w:rsidRPr="003C392F" w:rsidRDefault="005455C2" w:rsidP="00C33BCC">
            <w:pPr>
              <w:spacing w:before="60" w:after="60"/>
              <w:jc w:val="right"/>
              <w:rPr>
                <w:rFonts w:eastAsia="Calibri"/>
                <w:b/>
                <w:bCs/>
              </w:rPr>
            </w:pPr>
            <w:r w:rsidRPr="003C392F">
              <w:rPr>
                <w:rFonts w:eastAsia="Calibri"/>
                <w:b/>
                <w:bCs/>
              </w:rPr>
              <w:t>19 712</w:t>
            </w:r>
          </w:p>
        </w:tc>
        <w:tc>
          <w:tcPr>
            <w:tcW w:w="350" w:type="pct"/>
            <w:tcBorders>
              <w:top w:val="nil"/>
              <w:left w:val="nil"/>
              <w:bottom w:val="nil"/>
              <w:right w:val="nil"/>
            </w:tcBorders>
            <w:shd w:val="clear" w:color="auto" w:fill="auto"/>
            <w:noWrap/>
            <w:vAlign w:val="center"/>
            <w:hideMark/>
          </w:tcPr>
          <w:p w14:paraId="2648CE9E" w14:textId="77777777" w:rsidR="005455C2" w:rsidRPr="003C392F" w:rsidRDefault="005455C2" w:rsidP="00C33BCC">
            <w:pPr>
              <w:spacing w:before="60" w:after="60"/>
              <w:jc w:val="right"/>
              <w:rPr>
                <w:rFonts w:eastAsia="Calibri"/>
                <w:b/>
                <w:bCs/>
              </w:rPr>
            </w:pPr>
            <w:r w:rsidRPr="003C392F">
              <w:rPr>
                <w:rFonts w:eastAsia="Calibri"/>
                <w:b/>
                <w:bCs/>
              </w:rPr>
              <w:t>20 211</w:t>
            </w:r>
          </w:p>
        </w:tc>
        <w:tc>
          <w:tcPr>
            <w:tcW w:w="350" w:type="pct"/>
            <w:tcBorders>
              <w:top w:val="nil"/>
              <w:left w:val="nil"/>
              <w:bottom w:val="nil"/>
              <w:right w:val="nil"/>
            </w:tcBorders>
            <w:shd w:val="clear" w:color="auto" w:fill="auto"/>
            <w:noWrap/>
            <w:vAlign w:val="center"/>
            <w:hideMark/>
          </w:tcPr>
          <w:p w14:paraId="522B5140" w14:textId="77777777" w:rsidR="005455C2" w:rsidRPr="003C392F" w:rsidRDefault="005455C2" w:rsidP="00C33BCC">
            <w:pPr>
              <w:spacing w:before="60" w:after="60"/>
              <w:jc w:val="right"/>
              <w:rPr>
                <w:rFonts w:eastAsia="Calibri"/>
                <w:b/>
                <w:bCs/>
              </w:rPr>
            </w:pPr>
            <w:r w:rsidRPr="003C392F">
              <w:rPr>
                <w:rFonts w:eastAsia="Calibri"/>
                <w:b/>
                <w:bCs/>
              </w:rPr>
              <w:t>19 678</w:t>
            </w:r>
          </w:p>
        </w:tc>
        <w:tc>
          <w:tcPr>
            <w:tcW w:w="350" w:type="pct"/>
            <w:tcBorders>
              <w:top w:val="nil"/>
              <w:left w:val="nil"/>
              <w:bottom w:val="nil"/>
              <w:right w:val="nil"/>
            </w:tcBorders>
            <w:shd w:val="clear" w:color="auto" w:fill="auto"/>
            <w:noWrap/>
            <w:vAlign w:val="center"/>
            <w:hideMark/>
          </w:tcPr>
          <w:p w14:paraId="62D8D386" w14:textId="77777777" w:rsidR="005455C2" w:rsidRPr="003C392F" w:rsidRDefault="005455C2" w:rsidP="00C33BCC">
            <w:pPr>
              <w:spacing w:before="60" w:after="60"/>
              <w:jc w:val="right"/>
              <w:rPr>
                <w:rFonts w:eastAsia="Calibri"/>
                <w:b/>
                <w:bCs/>
              </w:rPr>
            </w:pPr>
            <w:r w:rsidRPr="003C392F">
              <w:rPr>
                <w:rFonts w:eastAsia="Calibri"/>
                <w:b/>
                <w:bCs/>
              </w:rPr>
              <w:t>19 178</w:t>
            </w:r>
          </w:p>
        </w:tc>
        <w:tc>
          <w:tcPr>
            <w:tcW w:w="349" w:type="pct"/>
            <w:tcBorders>
              <w:top w:val="nil"/>
              <w:left w:val="nil"/>
              <w:bottom w:val="nil"/>
              <w:right w:val="nil"/>
            </w:tcBorders>
            <w:shd w:val="clear" w:color="auto" w:fill="auto"/>
            <w:noWrap/>
            <w:vAlign w:val="center"/>
            <w:hideMark/>
          </w:tcPr>
          <w:p w14:paraId="33379C43" w14:textId="77777777" w:rsidR="005455C2" w:rsidRPr="003C392F" w:rsidRDefault="005455C2" w:rsidP="00C33BCC">
            <w:pPr>
              <w:spacing w:before="60" w:after="60"/>
              <w:jc w:val="right"/>
              <w:rPr>
                <w:rFonts w:eastAsia="Calibri"/>
                <w:b/>
                <w:bCs/>
              </w:rPr>
            </w:pPr>
            <w:r w:rsidRPr="003C392F">
              <w:rPr>
                <w:rFonts w:eastAsia="Calibri"/>
                <w:b/>
                <w:bCs/>
              </w:rPr>
              <w:t>18 173</w:t>
            </w:r>
          </w:p>
        </w:tc>
        <w:tc>
          <w:tcPr>
            <w:tcW w:w="348" w:type="pct"/>
            <w:tcBorders>
              <w:top w:val="nil"/>
              <w:left w:val="nil"/>
              <w:bottom w:val="nil"/>
              <w:right w:val="nil"/>
            </w:tcBorders>
            <w:shd w:val="clear" w:color="auto" w:fill="auto"/>
            <w:noWrap/>
            <w:vAlign w:val="center"/>
            <w:hideMark/>
          </w:tcPr>
          <w:p w14:paraId="77729559" w14:textId="77777777" w:rsidR="005455C2" w:rsidRPr="003C392F" w:rsidRDefault="005455C2" w:rsidP="00C33BCC">
            <w:pPr>
              <w:spacing w:before="60" w:after="60"/>
              <w:jc w:val="right"/>
              <w:rPr>
                <w:rFonts w:eastAsia="Calibri"/>
                <w:b/>
                <w:bCs/>
              </w:rPr>
            </w:pPr>
            <w:r w:rsidRPr="003C392F">
              <w:rPr>
                <w:rFonts w:eastAsia="Calibri"/>
                <w:b/>
                <w:bCs/>
              </w:rPr>
              <w:t>18 120</w:t>
            </w:r>
          </w:p>
        </w:tc>
        <w:tc>
          <w:tcPr>
            <w:tcW w:w="340" w:type="pct"/>
            <w:tcBorders>
              <w:top w:val="nil"/>
              <w:left w:val="nil"/>
              <w:bottom w:val="nil"/>
              <w:right w:val="nil"/>
            </w:tcBorders>
            <w:shd w:val="clear" w:color="auto" w:fill="auto"/>
            <w:noWrap/>
            <w:vAlign w:val="center"/>
            <w:hideMark/>
          </w:tcPr>
          <w:p w14:paraId="01D85D77" w14:textId="77777777" w:rsidR="005455C2" w:rsidRPr="003C392F" w:rsidRDefault="005455C2" w:rsidP="00C33BCC">
            <w:pPr>
              <w:spacing w:before="60" w:after="60"/>
              <w:jc w:val="right"/>
              <w:rPr>
                <w:rFonts w:eastAsia="Calibri"/>
                <w:b/>
                <w:bCs/>
              </w:rPr>
            </w:pPr>
            <w:r w:rsidRPr="003C392F">
              <w:rPr>
                <w:rFonts w:eastAsia="Calibri"/>
                <w:b/>
                <w:bCs/>
              </w:rPr>
              <w:t>17 565</w:t>
            </w:r>
          </w:p>
        </w:tc>
        <w:tc>
          <w:tcPr>
            <w:tcW w:w="639" w:type="pct"/>
            <w:tcBorders>
              <w:top w:val="nil"/>
              <w:left w:val="single" w:sz="4" w:space="0" w:color="auto"/>
              <w:bottom w:val="nil"/>
              <w:right w:val="single" w:sz="8" w:space="0" w:color="auto"/>
            </w:tcBorders>
            <w:shd w:val="clear" w:color="auto" w:fill="auto"/>
            <w:noWrap/>
            <w:vAlign w:val="center"/>
            <w:hideMark/>
          </w:tcPr>
          <w:p w14:paraId="64864185" w14:textId="77777777" w:rsidR="005455C2" w:rsidRPr="003C392F" w:rsidRDefault="005455C2" w:rsidP="00C33BCC">
            <w:pPr>
              <w:spacing w:before="60" w:after="60"/>
              <w:jc w:val="right"/>
              <w:rPr>
                <w:rFonts w:eastAsia="Calibri"/>
                <w:b/>
                <w:bCs/>
              </w:rPr>
            </w:pPr>
            <w:r w:rsidRPr="003C392F">
              <w:rPr>
                <w:rFonts w:eastAsia="Calibri"/>
                <w:b/>
                <w:bCs/>
              </w:rPr>
              <w:t>132 637</w:t>
            </w:r>
          </w:p>
        </w:tc>
      </w:tr>
      <w:tr w:rsidR="005455C2" w:rsidRPr="003C392F" w14:paraId="7C5E7534" w14:textId="77777777" w:rsidTr="00C33BCC">
        <w:trPr>
          <w:trHeight w:val="300"/>
        </w:trPr>
        <w:tc>
          <w:tcPr>
            <w:tcW w:w="1927" w:type="pct"/>
            <w:tcBorders>
              <w:top w:val="nil"/>
              <w:left w:val="single" w:sz="8" w:space="0" w:color="auto"/>
              <w:bottom w:val="nil"/>
              <w:right w:val="single" w:sz="4" w:space="0" w:color="auto"/>
            </w:tcBorders>
            <w:shd w:val="clear" w:color="auto" w:fill="auto"/>
            <w:noWrap/>
            <w:vAlign w:val="center"/>
            <w:hideMark/>
          </w:tcPr>
          <w:p w14:paraId="613F139B" w14:textId="77777777" w:rsidR="005455C2" w:rsidRPr="003C392F" w:rsidRDefault="005455C2" w:rsidP="00C33BCC">
            <w:pPr>
              <w:spacing w:before="60" w:after="60"/>
              <w:rPr>
                <w:rFonts w:eastAsia="Calibri"/>
                <w:b/>
                <w:bCs/>
              </w:rPr>
            </w:pPr>
            <w:r w:rsidRPr="003C392F">
              <w:rPr>
                <w:rFonts w:eastAsia="Calibri"/>
                <w:b/>
                <w:bCs/>
              </w:rPr>
              <w:t>2.</w:t>
            </w:r>
            <w:r w:rsidRPr="003C392F">
              <w:rPr>
                <w:rFonts w:eastAsia="Calibri"/>
                <w:b/>
                <w:bCs/>
              </w:rPr>
              <w:tab/>
              <w:t>Coesione, resilienza e valori</w:t>
            </w:r>
          </w:p>
        </w:tc>
        <w:tc>
          <w:tcPr>
            <w:tcW w:w="347" w:type="pct"/>
            <w:tcBorders>
              <w:top w:val="nil"/>
              <w:left w:val="nil"/>
              <w:bottom w:val="nil"/>
              <w:right w:val="nil"/>
            </w:tcBorders>
            <w:shd w:val="clear" w:color="auto" w:fill="auto"/>
            <w:noWrap/>
            <w:vAlign w:val="center"/>
            <w:hideMark/>
          </w:tcPr>
          <w:p w14:paraId="4BE008A2" w14:textId="77777777" w:rsidR="005455C2" w:rsidRPr="003C392F" w:rsidRDefault="005455C2" w:rsidP="00C33BCC">
            <w:pPr>
              <w:spacing w:before="60" w:after="60"/>
              <w:jc w:val="right"/>
              <w:rPr>
                <w:rFonts w:eastAsia="Calibri"/>
                <w:b/>
                <w:bCs/>
              </w:rPr>
            </w:pPr>
            <w:r w:rsidRPr="003C392F">
              <w:rPr>
                <w:rFonts w:eastAsia="Calibri"/>
                <w:b/>
                <w:bCs/>
              </w:rPr>
              <w:t>5 996</w:t>
            </w:r>
          </w:p>
        </w:tc>
        <w:tc>
          <w:tcPr>
            <w:tcW w:w="350" w:type="pct"/>
            <w:tcBorders>
              <w:top w:val="nil"/>
              <w:left w:val="nil"/>
              <w:bottom w:val="nil"/>
              <w:right w:val="nil"/>
            </w:tcBorders>
            <w:shd w:val="clear" w:color="auto" w:fill="auto"/>
            <w:noWrap/>
            <w:vAlign w:val="center"/>
            <w:hideMark/>
          </w:tcPr>
          <w:p w14:paraId="6CB81B32" w14:textId="77777777" w:rsidR="005455C2" w:rsidRPr="003C392F" w:rsidRDefault="005455C2" w:rsidP="00C33BCC">
            <w:pPr>
              <w:spacing w:before="60" w:after="60"/>
              <w:jc w:val="right"/>
              <w:rPr>
                <w:rFonts w:eastAsia="Calibri"/>
                <w:b/>
                <w:bCs/>
              </w:rPr>
            </w:pPr>
            <w:r w:rsidRPr="003C392F">
              <w:rPr>
                <w:rFonts w:eastAsia="Calibri"/>
                <w:b/>
                <w:bCs/>
              </w:rPr>
              <w:t>62 642</w:t>
            </w:r>
          </w:p>
        </w:tc>
        <w:tc>
          <w:tcPr>
            <w:tcW w:w="350" w:type="pct"/>
            <w:tcBorders>
              <w:top w:val="nil"/>
              <w:left w:val="nil"/>
              <w:bottom w:val="nil"/>
              <w:right w:val="nil"/>
            </w:tcBorders>
            <w:shd w:val="clear" w:color="auto" w:fill="auto"/>
            <w:noWrap/>
            <w:vAlign w:val="center"/>
            <w:hideMark/>
          </w:tcPr>
          <w:p w14:paraId="6DF84007" w14:textId="77777777" w:rsidR="005455C2" w:rsidRPr="003C392F" w:rsidRDefault="005455C2" w:rsidP="00C33BCC">
            <w:pPr>
              <w:spacing w:before="60" w:after="60"/>
              <w:jc w:val="right"/>
              <w:rPr>
                <w:rFonts w:eastAsia="Calibri"/>
                <w:b/>
                <w:bCs/>
              </w:rPr>
            </w:pPr>
            <w:r w:rsidRPr="003C392F">
              <w:rPr>
                <w:rFonts w:eastAsia="Calibri"/>
                <w:b/>
                <w:bCs/>
              </w:rPr>
              <w:t>63 525</w:t>
            </w:r>
          </w:p>
        </w:tc>
        <w:tc>
          <w:tcPr>
            <w:tcW w:w="350" w:type="pct"/>
            <w:tcBorders>
              <w:top w:val="nil"/>
              <w:left w:val="nil"/>
              <w:bottom w:val="nil"/>
              <w:right w:val="nil"/>
            </w:tcBorders>
            <w:shd w:val="clear" w:color="auto" w:fill="auto"/>
            <w:noWrap/>
            <w:vAlign w:val="center"/>
            <w:hideMark/>
          </w:tcPr>
          <w:p w14:paraId="67BD37EA" w14:textId="77777777" w:rsidR="005455C2" w:rsidRPr="003C392F" w:rsidRDefault="005455C2" w:rsidP="00C33BCC">
            <w:pPr>
              <w:spacing w:before="60" w:after="60"/>
              <w:jc w:val="right"/>
              <w:rPr>
                <w:rFonts w:eastAsia="Calibri"/>
                <w:b/>
                <w:bCs/>
              </w:rPr>
            </w:pPr>
            <w:r w:rsidRPr="003C392F">
              <w:rPr>
                <w:b/>
                <w:bCs/>
              </w:rPr>
              <w:t>65 079</w:t>
            </w:r>
          </w:p>
        </w:tc>
        <w:tc>
          <w:tcPr>
            <w:tcW w:w="349" w:type="pct"/>
            <w:tcBorders>
              <w:top w:val="nil"/>
              <w:left w:val="nil"/>
              <w:bottom w:val="nil"/>
              <w:right w:val="nil"/>
            </w:tcBorders>
            <w:shd w:val="clear" w:color="auto" w:fill="auto"/>
            <w:noWrap/>
            <w:vAlign w:val="center"/>
            <w:hideMark/>
          </w:tcPr>
          <w:p w14:paraId="6116F116" w14:textId="77777777" w:rsidR="005455C2" w:rsidRPr="003C392F" w:rsidRDefault="005455C2" w:rsidP="00C33BCC">
            <w:pPr>
              <w:spacing w:before="60" w:after="60"/>
              <w:jc w:val="right"/>
              <w:rPr>
                <w:rFonts w:eastAsia="Calibri"/>
                <w:b/>
                <w:bCs/>
              </w:rPr>
            </w:pPr>
            <w:r w:rsidRPr="003C392F">
              <w:rPr>
                <w:b/>
                <w:bCs/>
              </w:rPr>
              <w:t>65 184</w:t>
            </w:r>
          </w:p>
        </w:tc>
        <w:tc>
          <w:tcPr>
            <w:tcW w:w="348" w:type="pct"/>
            <w:tcBorders>
              <w:top w:val="nil"/>
              <w:left w:val="nil"/>
              <w:bottom w:val="nil"/>
              <w:right w:val="nil"/>
            </w:tcBorders>
            <w:shd w:val="clear" w:color="auto" w:fill="auto"/>
            <w:noWrap/>
            <w:vAlign w:val="center"/>
            <w:hideMark/>
          </w:tcPr>
          <w:p w14:paraId="482BB41B" w14:textId="77777777" w:rsidR="005455C2" w:rsidRPr="003C392F" w:rsidRDefault="005455C2" w:rsidP="00C33BCC">
            <w:pPr>
              <w:spacing w:before="60" w:after="60"/>
              <w:jc w:val="right"/>
              <w:rPr>
                <w:rFonts w:eastAsia="Calibri"/>
                <w:b/>
                <w:bCs/>
              </w:rPr>
            </w:pPr>
            <w:r w:rsidRPr="003C392F">
              <w:rPr>
                <w:b/>
                <w:bCs/>
              </w:rPr>
              <w:t>56 675</w:t>
            </w:r>
          </w:p>
        </w:tc>
        <w:tc>
          <w:tcPr>
            <w:tcW w:w="340" w:type="pct"/>
            <w:tcBorders>
              <w:top w:val="nil"/>
              <w:left w:val="nil"/>
              <w:bottom w:val="nil"/>
              <w:right w:val="nil"/>
            </w:tcBorders>
            <w:shd w:val="clear" w:color="auto" w:fill="auto"/>
            <w:noWrap/>
            <w:vAlign w:val="center"/>
            <w:hideMark/>
          </w:tcPr>
          <w:p w14:paraId="4FA944DA" w14:textId="77777777" w:rsidR="005455C2" w:rsidRPr="003C392F" w:rsidRDefault="005455C2" w:rsidP="00C33BCC">
            <w:pPr>
              <w:spacing w:before="60" w:after="60"/>
              <w:jc w:val="right"/>
              <w:rPr>
                <w:rFonts w:eastAsia="Calibri"/>
                <w:b/>
                <w:bCs/>
              </w:rPr>
            </w:pPr>
            <w:r w:rsidRPr="003C392F">
              <w:rPr>
                <w:rFonts w:eastAsia="Calibri"/>
                <w:b/>
                <w:bCs/>
              </w:rPr>
              <w:t>58 680</w:t>
            </w:r>
          </w:p>
        </w:tc>
        <w:tc>
          <w:tcPr>
            <w:tcW w:w="639" w:type="pct"/>
            <w:tcBorders>
              <w:top w:val="nil"/>
              <w:left w:val="single" w:sz="4" w:space="0" w:color="auto"/>
              <w:bottom w:val="nil"/>
              <w:right w:val="single" w:sz="8" w:space="0" w:color="auto"/>
            </w:tcBorders>
            <w:shd w:val="clear" w:color="auto" w:fill="auto"/>
            <w:noWrap/>
            <w:vAlign w:val="center"/>
            <w:hideMark/>
          </w:tcPr>
          <w:p w14:paraId="2BC33F41" w14:textId="77777777" w:rsidR="005455C2" w:rsidRPr="003C392F" w:rsidRDefault="005455C2" w:rsidP="00C33BCC">
            <w:pPr>
              <w:spacing w:before="60" w:after="60"/>
              <w:jc w:val="right"/>
              <w:rPr>
                <w:rFonts w:eastAsia="Calibri"/>
                <w:b/>
                <w:bCs/>
              </w:rPr>
            </w:pPr>
            <w:r w:rsidRPr="003C392F">
              <w:rPr>
                <w:b/>
                <w:bCs/>
              </w:rPr>
              <w:t>377 781</w:t>
            </w:r>
          </w:p>
        </w:tc>
      </w:tr>
      <w:tr w:rsidR="005455C2" w:rsidRPr="003C392F" w14:paraId="5304FDA3" w14:textId="77777777" w:rsidTr="00C33BCC">
        <w:trPr>
          <w:trHeight w:val="300"/>
        </w:trPr>
        <w:tc>
          <w:tcPr>
            <w:tcW w:w="1927" w:type="pct"/>
            <w:tcBorders>
              <w:top w:val="nil"/>
              <w:left w:val="single" w:sz="8" w:space="0" w:color="auto"/>
              <w:bottom w:val="nil"/>
              <w:right w:val="single" w:sz="4" w:space="0" w:color="auto"/>
            </w:tcBorders>
            <w:shd w:val="clear" w:color="auto" w:fill="auto"/>
            <w:noWrap/>
            <w:vAlign w:val="center"/>
            <w:hideMark/>
          </w:tcPr>
          <w:p w14:paraId="4EC34EDD" w14:textId="77777777" w:rsidR="005455C2" w:rsidRPr="003C392F" w:rsidRDefault="005455C2" w:rsidP="00C33BCC">
            <w:pPr>
              <w:spacing w:before="60" w:after="60"/>
              <w:ind w:left="720"/>
              <w:rPr>
                <w:rFonts w:eastAsia="Calibri"/>
              </w:rPr>
            </w:pPr>
            <w:r w:rsidRPr="003C392F">
              <w:rPr>
                <w:rFonts w:eastAsia="Calibri"/>
              </w:rPr>
              <w:t>2 bis.</w:t>
            </w:r>
            <w:r w:rsidRPr="003C392F">
              <w:rPr>
                <w:rFonts w:eastAsia="Calibri"/>
              </w:rPr>
              <w:tab/>
              <w:t>Coesione economica, sociale e territoriale</w:t>
            </w:r>
          </w:p>
        </w:tc>
        <w:tc>
          <w:tcPr>
            <w:tcW w:w="347" w:type="pct"/>
            <w:tcBorders>
              <w:top w:val="nil"/>
              <w:left w:val="nil"/>
              <w:bottom w:val="nil"/>
              <w:right w:val="nil"/>
            </w:tcBorders>
            <w:shd w:val="clear" w:color="auto" w:fill="auto"/>
            <w:noWrap/>
            <w:vAlign w:val="center"/>
            <w:hideMark/>
          </w:tcPr>
          <w:p w14:paraId="35B5619B" w14:textId="77777777" w:rsidR="005455C2" w:rsidRPr="003C392F" w:rsidRDefault="005455C2" w:rsidP="00C33BCC">
            <w:pPr>
              <w:spacing w:before="60" w:after="60"/>
              <w:jc w:val="right"/>
              <w:rPr>
                <w:rFonts w:eastAsia="Calibri"/>
              </w:rPr>
            </w:pPr>
            <w:r w:rsidRPr="003C392F">
              <w:rPr>
                <w:rFonts w:eastAsia="Calibri"/>
              </w:rPr>
              <w:t>1 666</w:t>
            </w:r>
          </w:p>
        </w:tc>
        <w:tc>
          <w:tcPr>
            <w:tcW w:w="350" w:type="pct"/>
            <w:tcBorders>
              <w:top w:val="nil"/>
              <w:left w:val="nil"/>
              <w:bottom w:val="nil"/>
              <w:right w:val="nil"/>
            </w:tcBorders>
            <w:shd w:val="clear" w:color="auto" w:fill="auto"/>
            <w:noWrap/>
            <w:vAlign w:val="center"/>
            <w:hideMark/>
          </w:tcPr>
          <w:p w14:paraId="0A6E51AD" w14:textId="77777777" w:rsidR="005455C2" w:rsidRPr="003C392F" w:rsidRDefault="005455C2" w:rsidP="00C33BCC">
            <w:pPr>
              <w:spacing w:before="60" w:after="60"/>
              <w:jc w:val="right"/>
              <w:rPr>
                <w:rFonts w:eastAsia="Calibri"/>
              </w:rPr>
            </w:pPr>
            <w:r w:rsidRPr="003C392F">
              <w:rPr>
                <w:rFonts w:eastAsia="Calibri"/>
              </w:rPr>
              <w:t>56 673</w:t>
            </w:r>
          </w:p>
        </w:tc>
        <w:tc>
          <w:tcPr>
            <w:tcW w:w="350" w:type="pct"/>
            <w:tcBorders>
              <w:top w:val="nil"/>
              <w:left w:val="nil"/>
              <w:bottom w:val="nil"/>
              <w:right w:val="nil"/>
            </w:tcBorders>
            <w:shd w:val="clear" w:color="auto" w:fill="auto"/>
            <w:noWrap/>
            <w:vAlign w:val="center"/>
            <w:hideMark/>
          </w:tcPr>
          <w:p w14:paraId="45400F92" w14:textId="77777777" w:rsidR="005455C2" w:rsidRPr="003C392F" w:rsidRDefault="005455C2" w:rsidP="00C33BCC">
            <w:pPr>
              <w:spacing w:before="60" w:after="60"/>
              <w:jc w:val="right"/>
              <w:rPr>
                <w:rFonts w:eastAsia="Calibri"/>
              </w:rPr>
            </w:pPr>
            <w:r w:rsidRPr="003C392F">
              <w:rPr>
                <w:rFonts w:eastAsia="Calibri"/>
              </w:rPr>
              <w:t>57 005</w:t>
            </w:r>
          </w:p>
        </w:tc>
        <w:tc>
          <w:tcPr>
            <w:tcW w:w="350" w:type="pct"/>
            <w:tcBorders>
              <w:top w:val="nil"/>
              <w:left w:val="nil"/>
              <w:bottom w:val="nil"/>
              <w:right w:val="nil"/>
            </w:tcBorders>
            <w:shd w:val="clear" w:color="auto" w:fill="auto"/>
            <w:noWrap/>
            <w:vAlign w:val="center"/>
            <w:hideMark/>
          </w:tcPr>
          <w:p w14:paraId="45A236F2" w14:textId="77777777" w:rsidR="005455C2" w:rsidRPr="003C392F" w:rsidRDefault="005455C2" w:rsidP="00C33BCC">
            <w:pPr>
              <w:spacing w:before="60" w:after="60"/>
              <w:jc w:val="right"/>
              <w:rPr>
                <w:rFonts w:eastAsia="Calibri"/>
              </w:rPr>
            </w:pPr>
            <w:r w:rsidRPr="003C392F">
              <w:rPr>
                <w:rFonts w:eastAsia="Calibri"/>
              </w:rPr>
              <w:t>57 436</w:t>
            </w:r>
          </w:p>
        </w:tc>
        <w:tc>
          <w:tcPr>
            <w:tcW w:w="349" w:type="pct"/>
            <w:tcBorders>
              <w:top w:val="nil"/>
              <w:left w:val="nil"/>
              <w:bottom w:val="nil"/>
              <w:right w:val="nil"/>
            </w:tcBorders>
            <w:shd w:val="clear" w:color="auto" w:fill="auto"/>
            <w:noWrap/>
            <w:vAlign w:val="center"/>
            <w:hideMark/>
          </w:tcPr>
          <w:p w14:paraId="7B22B2C2" w14:textId="77777777" w:rsidR="005455C2" w:rsidRPr="003C392F" w:rsidRDefault="005455C2" w:rsidP="00C33BCC">
            <w:pPr>
              <w:spacing w:before="60" w:after="60"/>
              <w:jc w:val="right"/>
              <w:rPr>
                <w:rFonts w:eastAsia="Calibri"/>
              </w:rPr>
            </w:pPr>
            <w:r w:rsidRPr="003C392F">
              <w:t>57 772</w:t>
            </w:r>
          </w:p>
        </w:tc>
        <w:tc>
          <w:tcPr>
            <w:tcW w:w="348" w:type="pct"/>
            <w:tcBorders>
              <w:top w:val="nil"/>
              <w:left w:val="nil"/>
              <w:bottom w:val="nil"/>
              <w:right w:val="nil"/>
            </w:tcBorders>
            <w:shd w:val="clear" w:color="auto" w:fill="auto"/>
            <w:noWrap/>
            <w:vAlign w:val="center"/>
            <w:hideMark/>
          </w:tcPr>
          <w:p w14:paraId="7D30BC4D" w14:textId="77777777" w:rsidR="005455C2" w:rsidRPr="003C392F" w:rsidRDefault="005455C2" w:rsidP="00C33BCC">
            <w:pPr>
              <w:spacing w:before="60" w:after="60"/>
              <w:jc w:val="right"/>
              <w:rPr>
                <w:rFonts w:eastAsia="Calibri"/>
              </w:rPr>
            </w:pPr>
            <w:r w:rsidRPr="003C392F">
              <w:t>48 302</w:t>
            </w:r>
          </w:p>
        </w:tc>
        <w:tc>
          <w:tcPr>
            <w:tcW w:w="340" w:type="pct"/>
            <w:tcBorders>
              <w:top w:val="nil"/>
              <w:left w:val="nil"/>
              <w:bottom w:val="nil"/>
              <w:right w:val="nil"/>
            </w:tcBorders>
            <w:shd w:val="clear" w:color="auto" w:fill="auto"/>
            <w:noWrap/>
            <w:vAlign w:val="center"/>
            <w:hideMark/>
          </w:tcPr>
          <w:p w14:paraId="51B4D1AE" w14:textId="77777777" w:rsidR="005455C2" w:rsidRPr="003C392F" w:rsidRDefault="005455C2" w:rsidP="00C33BCC">
            <w:pPr>
              <w:spacing w:before="60" w:after="60"/>
              <w:jc w:val="right"/>
              <w:rPr>
                <w:rFonts w:eastAsia="Calibri"/>
              </w:rPr>
            </w:pPr>
            <w:r w:rsidRPr="003C392F">
              <w:t>48 937</w:t>
            </w:r>
          </w:p>
        </w:tc>
        <w:tc>
          <w:tcPr>
            <w:tcW w:w="639" w:type="pct"/>
            <w:tcBorders>
              <w:top w:val="nil"/>
              <w:left w:val="single" w:sz="4" w:space="0" w:color="auto"/>
              <w:bottom w:val="nil"/>
              <w:right w:val="single" w:sz="8" w:space="0" w:color="auto"/>
            </w:tcBorders>
            <w:shd w:val="clear" w:color="auto" w:fill="auto"/>
            <w:noWrap/>
            <w:vAlign w:val="center"/>
            <w:hideMark/>
          </w:tcPr>
          <w:p w14:paraId="20DCD5DB" w14:textId="77777777" w:rsidR="005455C2" w:rsidRPr="003C392F" w:rsidRDefault="005455C2" w:rsidP="00C33BCC">
            <w:pPr>
              <w:spacing w:before="60" w:after="60"/>
              <w:jc w:val="right"/>
              <w:rPr>
                <w:rFonts w:eastAsia="Calibri"/>
              </w:rPr>
            </w:pPr>
            <w:r w:rsidRPr="003C392F">
              <w:rPr>
                <w:rFonts w:eastAsia="Calibri"/>
              </w:rPr>
              <w:t>327 791</w:t>
            </w:r>
          </w:p>
        </w:tc>
      </w:tr>
      <w:tr w:rsidR="005455C2" w:rsidRPr="003C392F" w14:paraId="7CB70986" w14:textId="77777777" w:rsidTr="00C33BCC">
        <w:trPr>
          <w:trHeight w:val="300"/>
        </w:trPr>
        <w:tc>
          <w:tcPr>
            <w:tcW w:w="1927" w:type="pct"/>
            <w:tcBorders>
              <w:top w:val="nil"/>
              <w:left w:val="single" w:sz="8" w:space="0" w:color="auto"/>
              <w:bottom w:val="nil"/>
              <w:right w:val="single" w:sz="4" w:space="0" w:color="auto"/>
            </w:tcBorders>
            <w:shd w:val="clear" w:color="auto" w:fill="auto"/>
            <w:noWrap/>
            <w:vAlign w:val="center"/>
            <w:hideMark/>
          </w:tcPr>
          <w:p w14:paraId="01833035" w14:textId="77777777" w:rsidR="005455C2" w:rsidRPr="003C392F" w:rsidRDefault="005455C2" w:rsidP="00C33BCC">
            <w:pPr>
              <w:spacing w:before="60" w:after="60"/>
              <w:ind w:left="720"/>
              <w:rPr>
                <w:rFonts w:eastAsia="Calibri"/>
              </w:rPr>
            </w:pPr>
            <w:r w:rsidRPr="003C392F">
              <w:rPr>
                <w:rFonts w:eastAsia="Calibri"/>
              </w:rPr>
              <w:t>2 ter.</w:t>
            </w:r>
            <w:r w:rsidRPr="003C392F">
              <w:rPr>
                <w:rFonts w:eastAsia="Calibri"/>
              </w:rPr>
              <w:tab/>
              <w:t>Resilienza e valori</w:t>
            </w:r>
          </w:p>
        </w:tc>
        <w:tc>
          <w:tcPr>
            <w:tcW w:w="347" w:type="pct"/>
            <w:tcBorders>
              <w:top w:val="nil"/>
              <w:left w:val="nil"/>
              <w:bottom w:val="nil"/>
              <w:right w:val="nil"/>
            </w:tcBorders>
            <w:shd w:val="clear" w:color="auto" w:fill="auto"/>
            <w:noWrap/>
            <w:vAlign w:val="center"/>
            <w:hideMark/>
          </w:tcPr>
          <w:p w14:paraId="20DD1A80" w14:textId="77777777" w:rsidR="005455C2" w:rsidRPr="003C392F" w:rsidRDefault="005455C2" w:rsidP="00C33BCC">
            <w:pPr>
              <w:spacing w:before="60" w:after="60"/>
              <w:jc w:val="right"/>
              <w:rPr>
                <w:rFonts w:eastAsia="Calibri"/>
              </w:rPr>
            </w:pPr>
            <w:r w:rsidRPr="003C392F">
              <w:rPr>
                <w:rFonts w:eastAsia="Calibri"/>
              </w:rPr>
              <w:t>4 330</w:t>
            </w:r>
          </w:p>
        </w:tc>
        <w:tc>
          <w:tcPr>
            <w:tcW w:w="350" w:type="pct"/>
            <w:tcBorders>
              <w:top w:val="nil"/>
              <w:left w:val="nil"/>
              <w:bottom w:val="nil"/>
              <w:right w:val="nil"/>
            </w:tcBorders>
            <w:shd w:val="clear" w:color="auto" w:fill="auto"/>
            <w:noWrap/>
            <w:vAlign w:val="center"/>
            <w:hideMark/>
          </w:tcPr>
          <w:p w14:paraId="5D4E71A6" w14:textId="77777777" w:rsidR="005455C2" w:rsidRPr="003C392F" w:rsidRDefault="005455C2" w:rsidP="00C33BCC">
            <w:pPr>
              <w:spacing w:before="60" w:after="60"/>
              <w:jc w:val="right"/>
              <w:rPr>
                <w:rFonts w:eastAsia="Calibri"/>
              </w:rPr>
            </w:pPr>
            <w:r w:rsidRPr="003C392F">
              <w:rPr>
                <w:rFonts w:eastAsia="Calibri"/>
              </w:rPr>
              <w:t>5 969</w:t>
            </w:r>
          </w:p>
        </w:tc>
        <w:tc>
          <w:tcPr>
            <w:tcW w:w="350" w:type="pct"/>
            <w:tcBorders>
              <w:top w:val="nil"/>
              <w:left w:val="nil"/>
              <w:bottom w:val="nil"/>
              <w:right w:val="nil"/>
            </w:tcBorders>
            <w:shd w:val="clear" w:color="auto" w:fill="auto"/>
            <w:noWrap/>
            <w:vAlign w:val="center"/>
            <w:hideMark/>
          </w:tcPr>
          <w:p w14:paraId="256AC7C8" w14:textId="77777777" w:rsidR="005455C2" w:rsidRPr="003C392F" w:rsidRDefault="005455C2" w:rsidP="00C33BCC">
            <w:pPr>
              <w:spacing w:before="60" w:after="60"/>
              <w:jc w:val="right"/>
              <w:rPr>
                <w:rFonts w:eastAsia="Calibri"/>
              </w:rPr>
            </w:pPr>
            <w:r w:rsidRPr="003C392F">
              <w:rPr>
                <w:rFonts w:eastAsia="Calibri"/>
              </w:rPr>
              <w:t>6 520</w:t>
            </w:r>
          </w:p>
        </w:tc>
        <w:tc>
          <w:tcPr>
            <w:tcW w:w="350" w:type="pct"/>
            <w:tcBorders>
              <w:top w:val="nil"/>
              <w:left w:val="nil"/>
              <w:bottom w:val="nil"/>
              <w:right w:val="nil"/>
            </w:tcBorders>
            <w:shd w:val="clear" w:color="auto" w:fill="auto"/>
            <w:noWrap/>
            <w:vAlign w:val="center"/>
            <w:hideMark/>
          </w:tcPr>
          <w:p w14:paraId="0C7F16FB" w14:textId="77777777" w:rsidR="005455C2" w:rsidRPr="003C392F" w:rsidRDefault="005455C2" w:rsidP="00C33BCC">
            <w:pPr>
              <w:spacing w:before="60" w:after="60"/>
              <w:jc w:val="right"/>
              <w:rPr>
                <w:rFonts w:eastAsia="Calibri"/>
              </w:rPr>
            </w:pPr>
            <w:r w:rsidRPr="003C392F">
              <w:t>7 643</w:t>
            </w:r>
          </w:p>
        </w:tc>
        <w:tc>
          <w:tcPr>
            <w:tcW w:w="349" w:type="pct"/>
            <w:tcBorders>
              <w:top w:val="nil"/>
              <w:left w:val="nil"/>
              <w:bottom w:val="nil"/>
              <w:right w:val="nil"/>
            </w:tcBorders>
            <w:shd w:val="clear" w:color="auto" w:fill="auto"/>
            <w:noWrap/>
            <w:vAlign w:val="center"/>
            <w:hideMark/>
          </w:tcPr>
          <w:p w14:paraId="02A14E10" w14:textId="77777777" w:rsidR="005455C2" w:rsidRPr="003C392F" w:rsidRDefault="005455C2" w:rsidP="00C33BCC">
            <w:pPr>
              <w:spacing w:before="60" w:after="60"/>
              <w:jc w:val="right"/>
              <w:rPr>
                <w:rFonts w:eastAsia="Calibri"/>
              </w:rPr>
            </w:pPr>
            <w:r w:rsidRPr="003C392F">
              <w:t>7 412</w:t>
            </w:r>
          </w:p>
        </w:tc>
        <w:tc>
          <w:tcPr>
            <w:tcW w:w="348" w:type="pct"/>
            <w:tcBorders>
              <w:top w:val="nil"/>
              <w:left w:val="nil"/>
              <w:bottom w:val="nil"/>
              <w:right w:val="nil"/>
            </w:tcBorders>
            <w:shd w:val="clear" w:color="auto" w:fill="auto"/>
            <w:noWrap/>
            <w:vAlign w:val="center"/>
            <w:hideMark/>
          </w:tcPr>
          <w:p w14:paraId="013C7C1B" w14:textId="77777777" w:rsidR="005455C2" w:rsidRPr="003C392F" w:rsidRDefault="005455C2" w:rsidP="00C33BCC">
            <w:pPr>
              <w:spacing w:before="60" w:after="60"/>
              <w:jc w:val="right"/>
              <w:rPr>
                <w:rFonts w:eastAsia="Calibri"/>
              </w:rPr>
            </w:pPr>
            <w:r w:rsidRPr="003C392F">
              <w:t>8 373</w:t>
            </w:r>
          </w:p>
        </w:tc>
        <w:tc>
          <w:tcPr>
            <w:tcW w:w="340" w:type="pct"/>
            <w:tcBorders>
              <w:top w:val="nil"/>
              <w:left w:val="nil"/>
              <w:bottom w:val="nil"/>
              <w:right w:val="nil"/>
            </w:tcBorders>
            <w:shd w:val="clear" w:color="auto" w:fill="auto"/>
            <w:noWrap/>
            <w:vAlign w:val="center"/>
            <w:hideMark/>
          </w:tcPr>
          <w:p w14:paraId="0871C572" w14:textId="77777777" w:rsidR="005455C2" w:rsidRPr="003C392F" w:rsidRDefault="005455C2" w:rsidP="00C33BCC">
            <w:pPr>
              <w:spacing w:before="60" w:after="60"/>
              <w:jc w:val="right"/>
              <w:rPr>
                <w:rFonts w:eastAsia="Calibri"/>
              </w:rPr>
            </w:pPr>
            <w:r w:rsidRPr="003C392F">
              <w:t>9 743</w:t>
            </w:r>
          </w:p>
        </w:tc>
        <w:tc>
          <w:tcPr>
            <w:tcW w:w="639" w:type="pct"/>
            <w:tcBorders>
              <w:top w:val="nil"/>
              <w:left w:val="single" w:sz="4" w:space="0" w:color="auto"/>
              <w:bottom w:val="nil"/>
              <w:right w:val="single" w:sz="8" w:space="0" w:color="auto"/>
            </w:tcBorders>
            <w:shd w:val="clear" w:color="auto" w:fill="auto"/>
            <w:noWrap/>
            <w:vAlign w:val="center"/>
            <w:hideMark/>
          </w:tcPr>
          <w:p w14:paraId="0FB06247" w14:textId="77777777" w:rsidR="005455C2" w:rsidRPr="003C392F" w:rsidRDefault="005455C2" w:rsidP="00C33BCC">
            <w:pPr>
              <w:spacing w:before="60" w:after="60"/>
              <w:jc w:val="right"/>
              <w:rPr>
                <w:rFonts w:eastAsia="Calibri"/>
              </w:rPr>
            </w:pPr>
            <w:r w:rsidRPr="003C392F">
              <w:t>49 990</w:t>
            </w:r>
          </w:p>
        </w:tc>
      </w:tr>
      <w:tr w:rsidR="005455C2" w:rsidRPr="003C392F" w14:paraId="57EFC853" w14:textId="77777777" w:rsidTr="00C33BCC">
        <w:trPr>
          <w:trHeight w:val="300"/>
        </w:trPr>
        <w:tc>
          <w:tcPr>
            <w:tcW w:w="1927" w:type="pct"/>
            <w:tcBorders>
              <w:top w:val="nil"/>
              <w:left w:val="single" w:sz="8" w:space="0" w:color="auto"/>
              <w:bottom w:val="nil"/>
              <w:right w:val="single" w:sz="4" w:space="0" w:color="auto"/>
            </w:tcBorders>
            <w:shd w:val="clear" w:color="auto" w:fill="auto"/>
            <w:noWrap/>
            <w:vAlign w:val="center"/>
            <w:hideMark/>
          </w:tcPr>
          <w:p w14:paraId="14F553DF" w14:textId="77777777" w:rsidR="005455C2" w:rsidRPr="003C392F" w:rsidRDefault="005455C2" w:rsidP="00C33BCC">
            <w:pPr>
              <w:spacing w:before="60" w:after="60"/>
              <w:rPr>
                <w:rFonts w:eastAsia="Calibri"/>
                <w:b/>
                <w:bCs/>
              </w:rPr>
            </w:pPr>
            <w:r w:rsidRPr="003C392F">
              <w:rPr>
                <w:rFonts w:eastAsia="Calibri"/>
                <w:b/>
                <w:bCs/>
              </w:rPr>
              <w:t>3.</w:t>
            </w:r>
            <w:r w:rsidRPr="003C392F">
              <w:rPr>
                <w:rFonts w:eastAsia="Calibri"/>
                <w:b/>
                <w:bCs/>
              </w:rPr>
              <w:tab/>
              <w:t>Risorse naturali e ambiente</w:t>
            </w:r>
          </w:p>
        </w:tc>
        <w:tc>
          <w:tcPr>
            <w:tcW w:w="347" w:type="pct"/>
            <w:tcBorders>
              <w:top w:val="nil"/>
              <w:left w:val="nil"/>
              <w:bottom w:val="nil"/>
              <w:right w:val="nil"/>
            </w:tcBorders>
            <w:shd w:val="clear" w:color="auto" w:fill="auto"/>
            <w:noWrap/>
            <w:vAlign w:val="center"/>
            <w:hideMark/>
          </w:tcPr>
          <w:p w14:paraId="229F572C" w14:textId="77777777" w:rsidR="005455C2" w:rsidRPr="003C392F" w:rsidRDefault="005455C2" w:rsidP="00C33BCC">
            <w:pPr>
              <w:spacing w:before="60" w:after="60"/>
              <w:jc w:val="right"/>
              <w:rPr>
                <w:rFonts w:eastAsia="Calibri"/>
                <w:b/>
                <w:bCs/>
              </w:rPr>
            </w:pPr>
            <w:r w:rsidRPr="003C392F">
              <w:rPr>
                <w:rFonts w:eastAsia="Calibri"/>
                <w:b/>
                <w:bCs/>
              </w:rPr>
              <w:t>53 562</w:t>
            </w:r>
          </w:p>
        </w:tc>
        <w:tc>
          <w:tcPr>
            <w:tcW w:w="350" w:type="pct"/>
            <w:tcBorders>
              <w:top w:val="nil"/>
              <w:left w:val="nil"/>
              <w:bottom w:val="nil"/>
              <w:right w:val="nil"/>
            </w:tcBorders>
            <w:shd w:val="clear" w:color="auto" w:fill="auto"/>
            <w:noWrap/>
            <w:vAlign w:val="center"/>
            <w:hideMark/>
          </w:tcPr>
          <w:p w14:paraId="55DFFF8F" w14:textId="77777777" w:rsidR="005455C2" w:rsidRPr="003C392F" w:rsidRDefault="005455C2" w:rsidP="00C33BCC">
            <w:pPr>
              <w:spacing w:before="60" w:after="60"/>
              <w:jc w:val="right"/>
              <w:rPr>
                <w:rFonts w:eastAsia="Calibri"/>
                <w:b/>
                <w:bCs/>
              </w:rPr>
            </w:pPr>
            <w:r w:rsidRPr="003C392F">
              <w:rPr>
                <w:rFonts w:eastAsia="Calibri"/>
                <w:b/>
                <w:bCs/>
              </w:rPr>
              <w:t>52 626</w:t>
            </w:r>
          </w:p>
        </w:tc>
        <w:tc>
          <w:tcPr>
            <w:tcW w:w="350" w:type="pct"/>
            <w:tcBorders>
              <w:top w:val="nil"/>
              <w:left w:val="nil"/>
              <w:bottom w:val="nil"/>
              <w:right w:val="nil"/>
            </w:tcBorders>
            <w:shd w:val="clear" w:color="auto" w:fill="auto"/>
            <w:noWrap/>
            <w:vAlign w:val="center"/>
            <w:hideMark/>
          </w:tcPr>
          <w:p w14:paraId="0D5C0338" w14:textId="77777777" w:rsidR="005455C2" w:rsidRPr="003C392F" w:rsidRDefault="005455C2" w:rsidP="00C33BCC">
            <w:pPr>
              <w:spacing w:before="60" w:after="60"/>
              <w:jc w:val="right"/>
              <w:rPr>
                <w:rFonts w:eastAsia="Calibri"/>
                <w:b/>
                <w:bCs/>
              </w:rPr>
            </w:pPr>
            <w:r w:rsidRPr="003C392F">
              <w:rPr>
                <w:rFonts w:eastAsia="Calibri"/>
                <w:b/>
                <w:bCs/>
              </w:rPr>
              <w:t>51 893</w:t>
            </w:r>
          </w:p>
        </w:tc>
        <w:tc>
          <w:tcPr>
            <w:tcW w:w="350" w:type="pct"/>
            <w:tcBorders>
              <w:top w:val="nil"/>
              <w:left w:val="nil"/>
              <w:bottom w:val="nil"/>
              <w:right w:val="nil"/>
            </w:tcBorders>
            <w:shd w:val="clear" w:color="auto" w:fill="auto"/>
            <w:noWrap/>
            <w:vAlign w:val="center"/>
            <w:hideMark/>
          </w:tcPr>
          <w:p w14:paraId="1DF42EE6" w14:textId="77777777" w:rsidR="005455C2" w:rsidRPr="003C392F" w:rsidRDefault="005455C2" w:rsidP="00C33BCC">
            <w:pPr>
              <w:spacing w:before="60" w:after="60"/>
              <w:jc w:val="right"/>
              <w:rPr>
                <w:rFonts w:eastAsia="Calibri"/>
                <w:b/>
                <w:bCs/>
              </w:rPr>
            </w:pPr>
            <w:r w:rsidRPr="003C392F">
              <w:rPr>
                <w:rFonts w:eastAsia="Calibri"/>
                <w:b/>
                <w:bCs/>
              </w:rPr>
              <w:t>51 013</w:t>
            </w:r>
          </w:p>
        </w:tc>
        <w:tc>
          <w:tcPr>
            <w:tcW w:w="349" w:type="pct"/>
            <w:tcBorders>
              <w:top w:val="nil"/>
              <w:left w:val="nil"/>
              <w:bottom w:val="nil"/>
              <w:right w:val="nil"/>
            </w:tcBorders>
            <w:shd w:val="clear" w:color="auto" w:fill="auto"/>
            <w:noWrap/>
            <w:vAlign w:val="center"/>
            <w:hideMark/>
          </w:tcPr>
          <w:p w14:paraId="3BB7DFD5" w14:textId="77777777" w:rsidR="005455C2" w:rsidRPr="003C392F" w:rsidRDefault="005455C2" w:rsidP="00C33BCC">
            <w:pPr>
              <w:spacing w:before="60" w:after="60"/>
              <w:jc w:val="right"/>
              <w:rPr>
                <w:rFonts w:eastAsia="Calibri"/>
                <w:b/>
                <w:bCs/>
              </w:rPr>
            </w:pPr>
            <w:r w:rsidRPr="003C392F">
              <w:rPr>
                <w:rFonts w:eastAsia="Calibri"/>
                <w:b/>
                <w:bCs/>
              </w:rPr>
              <w:t>49 914</w:t>
            </w:r>
          </w:p>
        </w:tc>
        <w:tc>
          <w:tcPr>
            <w:tcW w:w="348" w:type="pct"/>
            <w:tcBorders>
              <w:top w:val="nil"/>
              <w:left w:val="nil"/>
              <w:bottom w:val="nil"/>
              <w:right w:val="nil"/>
            </w:tcBorders>
            <w:shd w:val="clear" w:color="auto" w:fill="auto"/>
            <w:noWrap/>
            <w:vAlign w:val="center"/>
            <w:hideMark/>
          </w:tcPr>
          <w:p w14:paraId="1812C3A6" w14:textId="77777777" w:rsidR="005455C2" w:rsidRPr="003C392F" w:rsidRDefault="005455C2" w:rsidP="00C33BCC">
            <w:pPr>
              <w:spacing w:before="60" w:after="60"/>
              <w:jc w:val="right"/>
              <w:rPr>
                <w:rFonts w:eastAsia="Calibri"/>
                <w:b/>
                <w:bCs/>
              </w:rPr>
            </w:pPr>
            <w:r w:rsidRPr="003C392F">
              <w:rPr>
                <w:rFonts w:eastAsia="Calibri"/>
                <w:b/>
                <w:bCs/>
              </w:rPr>
              <w:t>48 734</w:t>
            </w:r>
          </w:p>
        </w:tc>
        <w:tc>
          <w:tcPr>
            <w:tcW w:w="340" w:type="pct"/>
            <w:tcBorders>
              <w:top w:val="nil"/>
              <w:left w:val="nil"/>
              <w:bottom w:val="nil"/>
              <w:right w:val="nil"/>
            </w:tcBorders>
            <w:shd w:val="clear" w:color="auto" w:fill="auto"/>
            <w:noWrap/>
            <w:vAlign w:val="center"/>
            <w:hideMark/>
          </w:tcPr>
          <w:p w14:paraId="22E885E8" w14:textId="77777777" w:rsidR="005455C2" w:rsidRPr="003C392F" w:rsidRDefault="005455C2" w:rsidP="00C33BCC">
            <w:pPr>
              <w:spacing w:before="60" w:after="60"/>
              <w:jc w:val="right"/>
              <w:rPr>
                <w:rFonts w:eastAsia="Calibri"/>
                <w:b/>
                <w:bCs/>
              </w:rPr>
            </w:pPr>
            <w:r w:rsidRPr="003C392F">
              <w:rPr>
                <w:rFonts w:eastAsia="Calibri"/>
                <w:b/>
                <w:bCs/>
              </w:rPr>
              <w:t>47 960</w:t>
            </w:r>
          </w:p>
        </w:tc>
        <w:tc>
          <w:tcPr>
            <w:tcW w:w="639" w:type="pct"/>
            <w:tcBorders>
              <w:top w:val="nil"/>
              <w:left w:val="single" w:sz="4" w:space="0" w:color="auto"/>
              <w:bottom w:val="nil"/>
              <w:right w:val="single" w:sz="8" w:space="0" w:color="auto"/>
            </w:tcBorders>
            <w:shd w:val="clear" w:color="auto" w:fill="auto"/>
            <w:noWrap/>
            <w:vAlign w:val="center"/>
            <w:hideMark/>
          </w:tcPr>
          <w:p w14:paraId="4D65DD83" w14:textId="77777777" w:rsidR="005455C2" w:rsidRPr="003C392F" w:rsidRDefault="005455C2" w:rsidP="00C33BCC">
            <w:pPr>
              <w:spacing w:before="60" w:after="60"/>
              <w:jc w:val="right"/>
              <w:rPr>
                <w:rFonts w:eastAsia="Calibri"/>
                <w:b/>
                <w:bCs/>
              </w:rPr>
            </w:pPr>
            <w:r w:rsidRPr="003C392F">
              <w:rPr>
                <w:b/>
                <w:bCs/>
              </w:rPr>
              <w:t>355 702</w:t>
            </w:r>
          </w:p>
        </w:tc>
      </w:tr>
      <w:tr w:rsidR="005455C2" w:rsidRPr="003C392F" w14:paraId="73FCC547" w14:textId="77777777" w:rsidTr="00C33BCC">
        <w:trPr>
          <w:trHeight w:val="300"/>
        </w:trPr>
        <w:tc>
          <w:tcPr>
            <w:tcW w:w="1927" w:type="pct"/>
            <w:tcBorders>
              <w:top w:val="nil"/>
              <w:left w:val="single" w:sz="8" w:space="0" w:color="auto"/>
              <w:bottom w:val="nil"/>
              <w:right w:val="single" w:sz="4" w:space="0" w:color="auto"/>
            </w:tcBorders>
            <w:shd w:val="clear" w:color="auto" w:fill="auto"/>
            <w:noWrap/>
            <w:vAlign w:val="center"/>
            <w:hideMark/>
          </w:tcPr>
          <w:p w14:paraId="24E4FAE9" w14:textId="77777777" w:rsidR="005455C2" w:rsidRPr="003C392F" w:rsidRDefault="005455C2" w:rsidP="00C33BCC">
            <w:pPr>
              <w:spacing w:before="60" w:after="60"/>
              <w:ind w:left="720"/>
              <w:rPr>
                <w:rFonts w:eastAsia="Calibri"/>
              </w:rPr>
            </w:pPr>
            <w:r w:rsidRPr="003C392F">
              <w:rPr>
                <w:rFonts w:eastAsia="Calibri"/>
              </w:rPr>
              <w:t>di cui: spese connesse al mercato e pagamenti diretti</w:t>
            </w:r>
          </w:p>
        </w:tc>
        <w:tc>
          <w:tcPr>
            <w:tcW w:w="347" w:type="pct"/>
            <w:tcBorders>
              <w:top w:val="nil"/>
              <w:left w:val="nil"/>
              <w:bottom w:val="nil"/>
              <w:right w:val="nil"/>
            </w:tcBorders>
            <w:shd w:val="clear" w:color="auto" w:fill="auto"/>
            <w:noWrap/>
            <w:vAlign w:val="center"/>
            <w:hideMark/>
          </w:tcPr>
          <w:p w14:paraId="7F7A7F8D" w14:textId="77777777" w:rsidR="005455C2" w:rsidRPr="003C392F" w:rsidRDefault="005455C2" w:rsidP="00C33BCC">
            <w:pPr>
              <w:spacing w:before="60" w:after="60"/>
              <w:jc w:val="right"/>
              <w:rPr>
                <w:rFonts w:eastAsia="Calibri"/>
              </w:rPr>
            </w:pPr>
            <w:r w:rsidRPr="003C392F">
              <w:rPr>
                <w:rFonts w:eastAsia="Calibri"/>
              </w:rPr>
              <w:t>38 040</w:t>
            </w:r>
          </w:p>
        </w:tc>
        <w:tc>
          <w:tcPr>
            <w:tcW w:w="350" w:type="pct"/>
            <w:tcBorders>
              <w:top w:val="nil"/>
              <w:left w:val="nil"/>
              <w:bottom w:val="nil"/>
              <w:right w:val="nil"/>
            </w:tcBorders>
            <w:shd w:val="clear" w:color="auto" w:fill="auto"/>
            <w:noWrap/>
            <w:vAlign w:val="center"/>
            <w:hideMark/>
          </w:tcPr>
          <w:p w14:paraId="197C4C4C" w14:textId="77777777" w:rsidR="005455C2" w:rsidRPr="003C392F" w:rsidRDefault="005455C2" w:rsidP="00C33BCC">
            <w:pPr>
              <w:spacing w:before="60" w:after="60"/>
              <w:jc w:val="right"/>
              <w:rPr>
                <w:rFonts w:eastAsia="Calibri"/>
              </w:rPr>
            </w:pPr>
            <w:r w:rsidRPr="003C392F">
              <w:rPr>
                <w:rFonts w:eastAsia="Calibri"/>
              </w:rPr>
              <w:t>37 544</w:t>
            </w:r>
          </w:p>
        </w:tc>
        <w:tc>
          <w:tcPr>
            <w:tcW w:w="350" w:type="pct"/>
            <w:tcBorders>
              <w:top w:val="nil"/>
              <w:left w:val="nil"/>
              <w:bottom w:val="nil"/>
              <w:right w:val="nil"/>
            </w:tcBorders>
            <w:shd w:val="clear" w:color="auto" w:fill="auto"/>
            <w:noWrap/>
            <w:vAlign w:val="center"/>
            <w:hideMark/>
          </w:tcPr>
          <w:p w14:paraId="5087ADB1" w14:textId="77777777" w:rsidR="005455C2" w:rsidRPr="003C392F" w:rsidRDefault="005455C2" w:rsidP="00C33BCC">
            <w:pPr>
              <w:spacing w:before="60" w:after="60"/>
              <w:jc w:val="right"/>
              <w:rPr>
                <w:rFonts w:eastAsia="Calibri"/>
              </w:rPr>
            </w:pPr>
            <w:r w:rsidRPr="003C392F">
              <w:rPr>
                <w:rFonts w:eastAsia="Calibri"/>
              </w:rPr>
              <w:t>36 857</w:t>
            </w:r>
          </w:p>
        </w:tc>
        <w:tc>
          <w:tcPr>
            <w:tcW w:w="350" w:type="pct"/>
            <w:tcBorders>
              <w:top w:val="nil"/>
              <w:left w:val="nil"/>
              <w:bottom w:val="nil"/>
              <w:right w:val="nil"/>
            </w:tcBorders>
            <w:shd w:val="clear" w:color="auto" w:fill="auto"/>
            <w:noWrap/>
            <w:vAlign w:val="center"/>
            <w:hideMark/>
          </w:tcPr>
          <w:p w14:paraId="001F2DFB" w14:textId="77777777" w:rsidR="005455C2" w:rsidRPr="003C392F" w:rsidRDefault="005455C2" w:rsidP="00C33BCC">
            <w:pPr>
              <w:spacing w:before="60" w:after="60"/>
              <w:jc w:val="right"/>
              <w:rPr>
                <w:rFonts w:eastAsia="Calibri"/>
              </w:rPr>
            </w:pPr>
            <w:r w:rsidRPr="003C392F">
              <w:rPr>
                <w:rFonts w:eastAsia="Calibri"/>
              </w:rPr>
              <w:t>36 054</w:t>
            </w:r>
          </w:p>
        </w:tc>
        <w:tc>
          <w:tcPr>
            <w:tcW w:w="349" w:type="pct"/>
            <w:tcBorders>
              <w:top w:val="nil"/>
              <w:left w:val="nil"/>
              <w:bottom w:val="nil"/>
              <w:right w:val="nil"/>
            </w:tcBorders>
            <w:shd w:val="clear" w:color="auto" w:fill="auto"/>
            <w:noWrap/>
            <w:vAlign w:val="center"/>
            <w:hideMark/>
          </w:tcPr>
          <w:p w14:paraId="47339F05" w14:textId="77777777" w:rsidR="005455C2" w:rsidRPr="003C392F" w:rsidRDefault="005455C2" w:rsidP="00C33BCC">
            <w:pPr>
              <w:spacing w:before="60" w:after="60"/>
              <w:jc w:val="right"/>
              <w:rPr>
                <w:rFonts w:eastAsia="Calibri"/>
              </w:rPr>
            </w:pPr>
            <w:r w:rsidRPr="003C392F">
              <w:rPr>
                <w:rFonts w:eastAsia="Calibri"/>
              </w:rPr>
              <w:t>35 283</w:t>
            </w:r>
          </w:p>
        </w:tc>
        <w:tc>
          <w:tcPr>
            <w:tcW w:w="348" w:type="pct"/>
            <w:tcBorders>
              <w:top w:val="nil"/>
              <w:left w:val="nil"/>
              <w:bottom w:val="nil"/>
              <w:right w:val="nil"/>
            </w:tcBorders>
            <w:shd w:val="clear" w:color="auto" w:fill="auto"/>
            <w:noWrap/>
            <w:vAlign w:val="center"/>
            <w:hideMark/>
          </w:tcPr>
          <w:p w14:paraId="22685C6F" w14:textId="77777777" w:rsidR="005455C2" w:rsidRPr="003C392F" w:rsidRDefault="005455C2" w:rsidP="00C33BCC">
            <w:pPr>
              <w:spacing w:before="60" w:after="60"/>
              <w:jc w:val="right"/>
              <w:rPr>
                <w:rFonts w:eastAsia="Calibri"/>
              </w:rPr>
            </w:pPr>
            <w:r w:rsidRPr="003C392F">
              <w:rPr>
                <w:rFonts w:eastAsia="Calibri"/>
              </w:rPr>
              <w:t>34 602</w:t>
            </w:r>
          </w:p>
        </w:tc>
        <w:tc>
          <w:tcPr>
            <w:tcW w:w="340" w:type="pct"/>
            <w:tcBorders>
              <w:top w:val="nil"/>
              <w:left w:val="nil"/>
              <w:bottom w:val="nil"/>
              <w:right w:val="nil"/>
            </w:tcBorders>
            <w:shd w:val="clear" w:color="auto" w:fill="auto"/>
            <w:noWrap/>
            <w:vAlign w:val="center"/>
            <w:hideMark/>
          </w:tcPr>
          <w:p w14:paraId="18AED97B" w14:textId="77777777" w:rsidR="005455C2" w:rsidRPr="003C392F" w:rsidRDefault="005455C2" w:rsidP="00C33BCC">
            <w:pPr>
              <w:spacing w:before="60" w:after="60"/>
              <w:jc w:val="right"/>
              <w:rPr>
                <w:rFonts w:eastAsia="Calibri"/>
              </w:rPr>
            </w:pPr>
            <w:r w:rsidRPr="003C392F">
              <w:rPr>
                <w:rFonts w:eastAsia="Calibri"/>
              </w:rPr>
              <w:t>33 886</w:t>
            </w:r>
          </w:p>
        </w:tc>
        <w:tc>
          <w:tcPr>
            <w:tcW w:w="639" w:type="pct"/>
            <w:tcBorders>
              <w:top w:val="nil"/>
              <w:left w:val="single" w:sz="4" w:space="0" w:color="auto"/>
              <w:bottom w:val="nil"/>
              <w:right w:val="single" w:sz="8" w:space="0" w:color="auto"/>
            </w:tcBorders>
            <w:shd w:val="clear" w:color="auto" w:fill="auto"/>
            <w:noWrap/>
            <w:vAlign w:val="center"/>
            <w:hideMark/>
          </w:tcPr>
          <w:p w14:paraId="06D9FE48" w14:textId="77777777" w:rsidR="005455C2" w:rsidRPr="003C392F" w:rsidRDefault="005455C2" w:rsidP="00C33BCC">
            <w:pPr>
              <w:spacing w:before="60" w:after="60"/>
              <w:jc w:val="right"/>
              <w:rPr>
                <w:rFonts w:eastAsia="Calibri"/>
              </w:rPr>
            </w:pPr>
            <w:r w:rsidRPr="003C392F">
              <w:rPr>
                <w:rFonts w:eastAsia="Calibri"/>
              </w:rPr>
              <w:t>252 266</w:t>
            </w:r>
          </w:p>
        </w:tc>
      </w:tr>
      <w:tr w:rsidR="005455C2" w:rsidRPr="003C392F" w14:paraId="319BF46B" w14:textId="77777777" w:rsidTr="00C33BCC">
        <w:trPr>
          <w:trHeight w:val="300"/>
        </w:trPr>
        <w:tc>
          <w:tcPr>
            <w:tcW w:w="1927" w:type="pct"/>
            <w:tcBorders>
              <w:top w:val="nil"/>
              <w:left w:val="single" w:sz="8" w:space="0" w:color="auto"/>
              <w:bottom w:val="nil"/>
              <w:right w:val="single" w:sz="4" w:space="0" w:color="auto"/>
            </w:tcBorders>
            <w:shd w:val="clear" w:color="auto" w:fill="auto"/>
            <w:noWrap/>
            <w:vAlign w:val="center"/>
            <w:hideMark/>
          </w:tcPr>
          <w:p w14:paraId="43292CAE" w14:textId="77777777" w:rsidR="005455C2" w:rsidRPr="003C392F" w:rsidRDefault="005455C2" w:rsidP="00C33BCC">
            <w:pPr>
              <w:pageBreakBefore/>
              <w:spacing w:before="60" w:after="60"/>
              <w:rPr>
                <w:rFonts w:eastAsia="Calibri"/>
                <w:b/>
                <w:bCs/>
              </w:rPr>
            </w:pPr>
            <w:r w:rsidRPr="003C392F">
              <w:rPr>
                <w:rFonts w:eastAsia="Calibri"/>
                <w:b/>
                <w:bCs/>
              </w:rPr>
              <w:lastRenderedPageBreak/>
              <w:t>4.</w:t>
            </w:r>
            <w:r w:rsidRPr="003C392F">
              <w:rPr>
                <w:rFonts w:eastAsia="Calibri"/>
                <w:b/>
                <w:bCs/>
              </w:rPr>
              <w:tab/>
              <w:t>Migrazione e gestione delle frontiere</w:t>
            </w:r>
          </w:p>
        </w:tc>
        <w:tc>
          <w:tcPr>
            <w:tcW w:w="347" w:type="pct"/>
            <w:tcBorders>
              <w:top w:val="nil"/>
              <w:left w:val="nil"/>
              <w:bottom w:val="nil"/>
              <w:right w:val="nil"/>
            </w:tcBorders>
            <w:shd w:val="clear" w:color="auto" w:fill="auto"/>
            <w:noWrap/>
            <w:vAlign w:val="center"/>
            <w:hideMark/>
          </w:tcPr>
          <w:p w14:paraId="1DA3DAAB" w14:textId="77777777" w:rsidR="005455C2" w:rsidRPr="003C392F" w:rsidRDefault="005455C2" w:rsidP="00C33BCC">
            <w:pPr>
              <w:spacing w:before="60" w:after="60"/>
              <w:jc w:val="right"/>
              <w:rPr>
                <w:rFonts w:eastAsia="Calibri"/>
                <w:b/>
                <w:bCs/>
              </w:rPr>
            </w:pPr>
            <w:r w:rsidRPr="003C392F">
              <w:rPr>
                <w:rFonts w:eastAsia="Calibri"/>
                <w:b/>
                <w:bCs/>
              </w:rPr>
              <w:t>1 687</w:t>
            </w:r>
          </w:p>
        </w:tc>
        <w:tc>
          <w:tcPr>
            <w:tcW w:w="350" w:type="pct"/>
            <w:tcBorders>
              <w:top w:val="nil"/>
              <w:left w:val="nil"/>
              <w:bottom w:val="nil"/>
              <w:right w:val="nil"/>
            </w:tcBorders>
            <w:shd w:val="clear" w:color="auto" w:fill="auto"/>
            <w:noWrap/>
            <w:vAlign w:val="center"/>
            <w:hideMark/>
          </w:tcPr>
          <w:p w14:paraId="3208823A" w14:textId="77777777" w:rsidR="005455C2" w:rsidRPr="003C392F" w:rsidRDefault="005455C2" w:rsidP="00C33BCC">
            <w:pPr>
              <w:spacing w:before="60" w:after="60"/>
              <w:jc w:val="right"/>
              <w:rPr>
                <w:rFonts w:eastAsia="Calibri"/>
                <w:b/>
                <w:bCs/>
              </w:rPr>
            </w:pPr>
            <w:r w:rsidRPr="003C392F">
              <w:rPr>
                <w:rFonts w:eastAsia="Calibri"/>
                <w:b/>
                <w:bCs/>
              </w:rPr>
              <w:t>3 104</w:t>
            </w:r>
          </w:p>
        </w:tc>
        <w:tc>
          <w:tcPr>
            <w:tcW w:w="350" w:type="pct"/>
            <w:tcBorders>
              <w:top w:val="nil"/>
              <w:left w:val="nil"/>
              <w:bottom w:val="nil"/>
              <w:right w:val="nil"/>
            </w:tcBorders>
            <w:shd w:val="clear" w:color="auto" w:fill="auto"/>
            <w:noWrap/>
            <w:vAlign w:val="center"/>
            <w:hideMark/>
          </w:tcPr>
          <w:p w14:paraId="0B78B614" w14:textId="77777777" w:rsidR="005455C2" w:rsidRPr="003C392F" w:rsidRDefault="005455C2" w:rsidP="00C33BCC">
            <w:pPr>
              <w:spacing w:before="60" w:after="60"/>
              <w:jc w:val="right"/>
              <w:rPr>
                <w:rFonts w:eastAsia="Calibri"/>
                <w:b/>
                <w:bCs/>
              </w:rPr>
            </w:pPr>
            <w:r w:rsidRPr="003C392F">
              <w:rPr>
                <w:rFonts w:eastAsia="Calibri"/>
                <w:b/>
                <w:bCs/>
              </w:rPr>
              <w:t>3 454</w:t>
            </w:r>
          </w:p>
        </w:tc>
        <w:tc>
          <w:tcPr>
            <w:tcW w:w="350" w:type="pct"/>
            <w:tcBorders>
              <w:top w:val="nil"/>
              <w:left w:val="nil"/>
              <w:bottom w:val="nil"/>
              <w:right w:val="nil"/>
            </w:tcBorders>
            <w:shd w:val="clear" w:color="auto" w:fill="auto"/>
            <w:noWrap/>
            <w:vAlign w:val="center"/>
            <w:hideMark/>
          </w:tcPr>
          <w:p w14:paraId="30EDC9ED" w14:textId="77777777" w:rsidR="005455C2" w:rsidRPr="003C392F" w:rsidRDefault="005455C2" w:rsidP="00C33BCC">
            <w:pPr>
              <w:spacing w:before="60" w:after="60"/>
              <w:jc w:val="right"/>
              <w:rPr>
                <w:rFonts w:eastAsia="Calibri"/>
                <w:b/>
                <w:bCs/>
              </w:rPr>
            </w:pPr>
            <w:r w:rsidRPr="003C392F">
              <w:rPr>
                <w:rFonts w:eastAsia="Calibri"/>
                <w:b/>
                <w:bCs/>
              </w:rPr>
              <w:t>3 569</w:t>
            </w:r>
          </w:p>
        </w:tc>
        <w:tc>
          <w:tcPr>
            <w:tcW w:w="349" w:type="pct"/>
            <w:tcBorders>
              <w:top w:val="nil"/>
              <w:left w:val="nil"/>
              <w:bottom w:val="nil"/>
              <w:right w:val="nil"/>
            </w:tcBorders>
            <w:shd w:val="clear" w:color="auto" w:fill="auto"/>
            <w:noWrap/>
            <w:vAlign w:val="center"/>
            <w:hideMark/>
          </w:tcPr>
          <w:p w14:paraId="2D684677" w14:textId="77777777" w:rsidR="005455C2" w:rsidRPr="003C392F" w:rsidRDefault="005455C2" w:rsidP="00C33BCC">
            <w:pPr>
              <w:spacing w:before="60" w:after="60"/>
              <w:jc w:val="right"/>
              <w:rPr>
                <w:rFonts w:eastAsia="Calibri"/>
                <w:b/>
                <w:bCs/>
              </w:rPr>
            </w:pPr>
            <w:r w:rsidRPr="003C392F">
              <w:rPr>
                <w:rFonts w:eastAsia="Calibri"/>
                <w:b/>
                <w:bCs/>
              </w:rPr>
              <w:t>4 083</w:t>
            </w:r>
          </w:p>
        </w:tc>
        <w:tc>
          <w:tcPr>
            <w:tcW w:w="348" w:type="pct"/>
            <w:tcBorders>
              <w:top w:val="nil"/>
              <w:left w:val="nil"/>
              <w:bottom w:val="nil"/>
              <w:right w:val="nil"/>
            </w:tcBorders>
            <w:shd w:val="clear" w:color="auto" w:fill="auto"/>
            <w:noWrap/>
            <w:vAlign w:val="center"/>
            <w:hideMark/>
          </w:tcPr>
          <w:p w14:paraId="14641402" w14:textId="77777777" w:rsidR="005455C2" w:rsidRPr="003C392F" w:rsidRDefault="005455C2" w:rsidP="00C33BCC">
            <w:pPr>
              <w:spacing w:before="60" w:after="60"/>
              <w:jc w:val="right"/>
              <w:rPr>
                <w:rFonts w:eastAsia="Calibri"/>
                <w:b/>
                <w:bCs/>
              </w:rPr>
            </w:pPr>
            <w:r w:rsidRPr="003C392F">
              <w:rPr>
                <w:rFonts w:eastAsia="Calibri"/>
                <w:b/>
                <w:bCs/>
              </w:rPr>
              <w:t>4 145</w:t>
            </w:r>
          </w:p>
        </w:tc>
        <w:tc>
          <w:tcPr>
            <w:tcW w:w="340" w:type="pct"/>
            <w:tcBorders>
              <w:top w:val="nil"/>
              <w:left w:val="nil"/>
              <w:bottom w:val="nil"/>
              <w:right w:val="nil"/>
            </w:tcBorders>
            <w:shd w:val="clear" w:color="auto" w:fill="auto"/>
            <w:noWrap/>
            <w:vAlign w:val="center"/>
            <w:hideMark/>
          </w:tcPr>
          <w:p w14:paraId="5E603CDC" w14:textId="77777777" w:rsidR="005455C2" w:rsidRPr="003C392F" w:rsidRDefault="005455C2" w:rsidP="00C33BCC">
            <w:pPr>
              <w:spacing w:before="60" w:after="60"/>
              <w:jc w:val="right"/>
              <w:rPr>
                <w:rFonts w:eastAsia="Calibri"/>
                <w:b/>
                <w:bCs/>
              </w:rPr>
            </w:pPr>
            <w:r w:rsidRPr="003C392F">
              <w:rPr>
                <w:rFonts w:eastAsia="Calibri"/>
                <w:b/>
                <w:bCs/>
              </w:rPr>
              <w:t>4 701</w:t>
            </w:r>
          </w:p>
        </w:tc>
        <w:tc>
          <w:tcPr>
            <w:tcW w:w="639" w:type="pct"/>
            <w:tcBorders>
              <w:top w:val="nil"/>
              <w:left w:val="single" w:sz="4" w:space="0" w:color="auto"/>
              <w:bottom w:val="nil"/>
              <w:right w:val="single" w:sz="8" w:space="0" w:color="auto"/>
            </w:tcBorders>
            <w:shd w:val="clear" w:color="auto" w:fill="auto"/>
            <w:noWrap/>
            <w:vAlign w:val="center"/>
            <w:hideMark/>
          </w:tcPr>
          <w:p w14:paraId="2D0B9D3D" w14:textId="77777777" w:rsidR="005455C2" w:rsidRPr="003C392F" w:rsidRDefault="005455C2" w:rsidP="00C33BCC">
            <w:pPr>
              <w:spacing w:before="60" w:after="60"/>
              <w:jc w:val="right"/>
              <w:rPr>
                <w:rFonts w:eastAsia="Calibri"/>
                <w:b/>
                <w:bCs/>
              </w:rPr>
            </w:pPr>
            <w:r w:rsidRPr="003C392F">
              <w:rPr>
                <w:rFonts w:eastAsia="Calibri"/>
                <w:b/>
                <w:bCs/>
              </w:rPr>
              <w:t>24 743</w:t>
            </w:r>
          </w:p>
        </w:tc>
      </w:tr>
      <w:tr w:rsidR="005455C2" w:rsidRPr="003C392F" w14:paraId="01D54085" w14:textId="77777777" w:rsidTr="00C33BCC">
        <w:trPr>
          <w:trHeight w:val="300"/>
        </w:trPr>
        <w:tc>
          <w:tcPr>
            <w:tcW w:w="1927" w:type="pct"/>
            <w:tcBorders>
              <w:top w:val="nil"/>
              <w:left w:val="single" w:sz="8" w:space="0" w:color="auto"/>
              <w:bottom w:val="nil"/>
              <w:right w:val="single" w:sz="4" w:space="0" w:color="auto"/>
            </w:tcBorders>
            <w:shd w:val="clear" w:color="auto" w:fill="auto"/>
            <w:noWrap/>
            <w:vAlign w:val="center"/>
            <w:hideMark/>
          </w:tcPr>
          <w:p w14:paraId="46FC7CBF" w14:textId="77777777" w:rsidR="005455C2" w:rsidRPr="003C392F" w:rsidRDefault="005455C2" w:rsidP="00C33BCC">
            <w:pPr>
              <w:spacing w:before="60" w:after="60"/>
              <w:rPr>
                <w:rFonts w:eastAsia="Calibri"/>
                <w:b/>
                <w:bCs/>
              </w:rPr>
            </w:pPr>
            <w:r w:rsidRPr="003C392F">
              <w:rPr>
                <w:rFonts w:eastAsia="Calibri"/>
                <w:b/>
                <w:bCs/>
              </w:rPr>
              <w:t>5.</w:t>
            </w:r>
            <w:r w:rsidRPr="003C392F">
              <w:rPr>
                <w:rFonts w:eastAsia="Calibri"/>
                <w:b/>
                <w:bCs/>
              </w:rPr>
              <w:tab/>
              <w:t>Sicurezza e difesa</w:t>
            </w:r>
          </w:p>
        </w:tc>
        <w:tc>
          <w:tcPr>
            <w:tcW w:w="347" w:type="pct"/>
            <w:tcBorders>
              <w:top w:val="nil"/>
              <w:left w:val="nil"/>
              <w:bottom w:val="nil"/>
              <w:right w:val="nil"/>
            </w:tcBorders>
            <w:shd w:val="clear" w:color="auto" w:fill="auto"/>
            <w:noWrap/>
            <w:vAlign w:val="center"/>
            <w:hideMark/>
          </w:tcPr>
          <w:p w14:paraId="5F4A76FD" w14:textId="77777777" w:rsidR="005455C2" w:rsidRPr="003C392F" w:rsidRDefault="005455C2" w:rsidP="00C33BCC">
            <w:pPr>
              <w:spacing w:before="60" w:after="60"/>
              <w:jc w:val="right"/>
              <w:rPr>
                <w:rFonts w:eastAsia="Calibri"/>
                <w:b/>
                <w:bCs/>
              </w:rPr>
            </w:pPr>
            <w:r w:rsidRPr="003C392F">
              <w:rPr>
                <w:rFonts w:eastAsia="Calibri"/>
                <w:b/>
                <w:bCs/>
              </w:rPr>
              <w:t>1 598</w:t>
            </w:r>
          </w:p>
        </w:tc>
        <w:tc>
          <w:tcPr>
            <w:tcW w:w="350" w:type="pct"/>
            <w:tcBorders>
              <w:top w:val="nil"/>
              <w:left w:val="nil"/>
              <w:bottom w:val="nil"/>
              <w:right w:val="nil"/>
            </w:tcBorders>
            <w:shd w:val="clear" w:color="auto" w:fill="auto"/>
            <w:noWrap/>
            <w:vAlign w:val="center"/>
            <w:hideMark/>
          </w:tcPr>
          <w:p w14:paraId="46C3AC50" w14:textId="77777777" w:rsidR="005455C2" w:rsidRPr="003C392F" w:rsidRDefault="005455C2" w:rsidP="00C33BCC">
            <w:pPr>
              <w:spacing w:before="60" w:after="60"/>
              <w:jc w:val="right"/>
              <w:rPr>
                <w:rFonts w:eastAsia="Calibri"/>
                <w:b/>
                <w:bCs/>
              </w:rPr>
            </w:pPr>
            <w:r w:rsidRPr="003C392F">
              <w:rPr>
                <w:rFonts w:eastAsia="Calibri"/>
                <w:b/>
                <w:bCs/>
              </w:rPr>
              <w:t>1 750</w:t>
            </w:r>
          </w:p>
        </w:tc>
        <w:tc>
          <w:tcPr>
            <w:tcW w:w="350" w:type="pct"/>
            <w:tcBorders>
              <w:top w:val="nil"/>
              <w:left w:val="nil"/>
              <w:bottom w:val="nil"/>
              <w:right w:val="nil"/>
            </w:tcBorders>
            <w:shd w:val="clear" w:color="auto" w:fill="auto"/>
            <w:noWrap/>
            <w:vAlign w:val="center"/>
            <w:hideMark/>
          </w:tcPr>
          <w:p w14:paraId="5BB6622F" w14:textId="77777777" w:rsidR="005455C2" w:rsidRPr="003C392F" w:rsidRDefault="005455C2" w:rsidP="00C33BCC">
            <w:pPr>
              <w:spacing w:before="60" w:after="60"/>
              <w:jc w:val="right"/>
              <w:rPr>
                <w:rFonts w:eastAsia="Calibri"/>
                <w:b/>
                <w:bCs/>
              </w:rPr>
            </w:pPr>
            <w:r w:rsidRPr="003C392F">
              <w:rPr>
                <w:rFonts w:eastAsia="Calibri"/>
                <w:b/>
                <w:bCs/>
              </w:rPr>
              <w:t>1 762</w:t>
            </w:r>
          </w:p>
        </w:tc>
        <w:tc>
          <w:tcPr>
            <w:tcW w:w="350" w:type="pct"/>
            <w:tcBorders>
              <w:top w:val="nil"/>
              <w:left w:val="nil"/>
              <w:bottom w:val="nil"/>
              <w:right w:val="nil"/>
            </w:tcBorders>
            <w:shd w:val="clear" w:color="auto" w:fill="auto"/>
            <w:noWrap/>
            <w:vAlign w:val="center"/>
            <w:hideMark/>
          </w:tcPr>
          <w:p w14:paraId="7EE19F34" w14:textId="77777777" w:rsidR="005455C2" w:rsidRPr="003C392F" w:rsidRDefault="005455C2" w:rsidP="00C33BCC">
            <w:pPr>
              <w:spacing w:before="60" w:after="60"/>
              <w:jc w:val="right"/>
              <w:rPr>
                <w:rFonts w:eastAsia="Calibri"/>
                <w:b/>
                <w:bCs/>
              </w:rPr>
            </w:pPr>
            <w:r w:rsidRPr="003C392F">
              <w:rPr>
                <w:rFonts w:eastAsia="Calibri"/>
                <w:b/>
                <w:bCs/>
              </w:rPr>
              <w:t>2 112</w:t>
            </w:r>
          </w:p>
        </w:tc>
        <w:tc>
          <w:tcPr>
            <w:tcW w:w="349" w:type="pct"/>
            <w:tcBorders>
              <w:top w:val="nil"/>
              <w:left w:val="nil"/>
              <w:bottom w:val="nil"/>
              <w:right w:val="nil"/>
            </w:tcBorders>
            <w:shd w:val="clear" w:color="auto" w:fill="auto"/>
            <w:noWrap/>
            <w:vAlign w:val="center"/>
            <w:hideMark/>
          </w:tcPr>
          <w:p w14:paraId="30A590F1" w14:textId="77777777" w:rsidR="005455C2" w:rsidRPr="003C392F" w:rsidRDefault="005455C2" w:rsidP="00C33BCC">
            <w:pPr>
              <w:spacing w:before="60" w:after="60"/>
              <w:jc w:val="right"/>
              <w:rPr>
                <w:rFonts w:eastAsia="Calibri"/>
                <w:b/>
                <w:bCs/>
              </w:rPr>
            </w:pPr>
            <w:r w:rsidRPr="003C392F">
              <w:rPr>
                <w:rFonts w:eastAsia="Calibri"/>
                <w:b/>
                <w:bCs/>
              </w:rPr>
              <w:t>2 277</w:t>
            </w:r>
          </w:p>
        </w:tc>
        <w:tc>
          <w:tcPr>
            <w:tcW w:w="348" w:type="pct"/>
            <w:tcBorders>
              <w:top w:val="nil"/>
              <w:left w:val="nil"/>
              <w:bottom w:val="nil"/>
              <w:right w:val="nil"/>
            </w:tcBorders>
            <w:shd w:val="clear" w:color="auto" w:fill="auto"/>
            <w:noWrap/>
            <w:vAlign w:val="center"/>
            <w:hideMark/>
          </w:tcPr>
          <w:p w14:paraId="5AB63B8D" w14:textId="77777777" w:rsidR="005455C2" w:rsidRPr="003C392F" w:rsidRDefault="005455C2" w:rsidP="00C33BCC">
            <w:pPr>
              <w:spacing w:before="60" w:after="60"/>
              <w:jc w:val="right"/>
              <w:rPr>
                <w:rFonts w:eastAsia="Calibri"/>
                <w:b/>
                <w:bCs/>
              </w:rPr>
            </w:pPr>
            <w:r w:rsidRPr="003C392F">
              <w:rPr>
                <w:rFonts w:eastAsia="Calibri"/>
                <w:b/>
                <w:bCs/>
              </w:rPr>
              <w:t>2 398</w:t>
            </w:r>
          </w:p>
        </w:tc>
        <w:tc>
          <w:tcPr>
            <w:tcW w:w="340" w:type="pct"/>
            <w:tcBorders>
              <w:top w:val="nil"/>
              <w:left w:val="nil"/>
              <w:bottom w:val="nil"/>
              <w:right w:val="nil"/>
            </w:tcBorders>
            <w:shd w:val="clear" w:color="auto" w:fill="auto"/>
            <w:noWrap/>
            <w:vAlign w:val="center"/>
            <w:hideMark/>
          </w:tcPr>
          <w:p w14:paraId="1C176D70" w14:textId="77777777" w:rsidR="005455C2" w:rsidRPr="003C392F" w:rsidRDefault="005455C2" w:rsidP="00C33BCC">
            <w:pPr>
              <w:spacing w:before="60" w:after="60"/>
              <w:jc w:val="right"/>
              <w:rPr>
                <w:rFonts w:eastAsia="Calibri"/>
                <w:b/>
                <w:bCs/>
              </w:rPr>
            </w:pPr>
            <w:r w:rsidRPr="003C392F">
              <w:rPr>
                <w:rFonts w:eastAsia="Calibri"/>
                <w:b/>
                <w:bCs/>
              </w:rPr>
              <w:t>2 576</w:t>
            </w:r>
          </w:p>
        </w:tc>
        <w:tc>
          <w:tcPr>
            <w:tcW w:w="639" w:type="pct"/>
            <w:tcBorders>
              <w:top w:val="nil"/>
              <w:left w:val="single" w:sz="4" w:space="0" w:color="auto"/>
              <w:bottom w:val="nil"/>
              <w:right w:val="single" w:sz="8" w:space="0" w:color="auto"/>
            </w:tcBorders>
            <w:shd w:val="clear" w:color="auto" w:fill="auto"/>
            <w:noWrap/>
            <w:vAlign w:val="center"/>
            <w:hideMark/>
          </w:tcPr>
          <w:p w14:paraId="49CE13AA" w14:textId="77777777" w:rsidR="005455C2" w:rsidRPr="003C392F" w:rsidRDefault="005455C2" w:rsidP="00C33BCC">
            <w:pPr>
              <w:spacing w:before="60" w:after="60"/>
              <w:jc w:val="right"/>
              <w:rPr>
                <w:rFonts w:eastAsia="Calibri"/>
                <w:b/>
                <w:bCs/>
              </w:rPr>
            </w:pPr>
            <w:r w:rsidRPr="003C392F">
              <w:rPr>
                <w:rFonts w:eastAsia="Calibri"/>
                <w:b/>
                <w:bCs/>
              </w:rPr>
              <w:t>14 473</w:t>
            </w:r>
          </w:p>
        </w:tc>
      </w:tr>
      <w:tr w:rsidR="005455C2" w:rsidRPr="003C392F" w14:paraId="5F5FECD2" w14:textId="77777777" w:rsidTr="00C33BCC">
        <w:trPr>
          <w:trHeight w:val="300"/>
        </w:trPr>
        <w:tc>
          <w:tcPr>
            <w:tcW w:w="1927" w:type="pct"/>
            <w:tcBorders>
              <w:top w:val="nil"/>
              <w:left w:val="single" w:sz="8" w:space="0" w:color="auto"/>
              <w:bottom w:val="nil"/>
              <w:right w:val="single" w:sz="4" w:space="0" w:color="auto"/>
            </w:tcBorders>
            <w:shd w:val="clear" w:color="auto" w:fill="auto"/>
            <w:noWrap/>
            <w:vAlign w:val="center"/>
            <w:hideMark/>
          </w:tcPr>
          <w:p w14:paraId="6D18E709" w14:textId="77777777" w:rsidR="005455C2" w:rsidRPr="003C392F" w:rsidRDefault="005455C2" w:rsidP="00C33BCC">
            <w:pPr>
              <w:spacing w:before="60" w:after="60"/>
              <w:rPr>
                <w:rFonts w:eastAsia="Calibri"/>
                <w:b/>
                <w:bCs/>
              </w:rPr>
            </w:pPr>
            <w:r w:rsidRPr="003C392F">
              <w:rPr>
                <w:rFonts w:eastAsia="Calibri"/>
                <w:b/>
                <w:bCs/>
              </w:rPr>
              <w:t>6.</w:t>
            </w:r>
            <w:r w:rsidRPr="003C392F">
              <w:rPr>
                <w:rFonts w:eastAsia="Calibri"/>
                <w:b/>
                <w:bCs/>
              </w:rPr>
              <w:tab/>
              <w:t>Vicinato e resto del mondo</w:t>
            </w:r>
          </w:p>
        </w:tc>
        <w:tc>
          <w:tcPr>
            <w:tcW w:w="347" w:type="pct"/>
            <w:tcBorders>
              <w:top w:val="nil"/>
              <w:left w:val="nil"/>
              <w:bottom w:val="nil"/>
              <w:right w:val="nil"/>
            </w:tcBorders>
            <w:shd w:val="clear" w:color="auto" w:fill="auto"/>
            <w:noWrap/>
            <w:vAlign w:val="center"/>
            <w:hideMark/>
          </w:tcPr>
          <w:p w14:paraId="6F64315D" w14:textId="77777777" w:rsidR="005455C2" w:rsidRPr="003C392F" w:rsidRDefault="005455C2" w:rsidP="00C33BCC">
            <w:pPr>
              <w:spacing w:before="60" w:after="60"/>
              <w:jc w:val="right"/>
              <w:rPr>
                <w:rFonts w:eastAsia="Calibri"/>
                <w:b/>
                <w:bCs/>
              </w:rPr>
            </w:pPr>
            <w:r w:rsidRPr="003C392F">
              <w:rPr>
                <w:rFonts w:eastAsia="Calibri"/>
                <w:b/>
                <w:bCs/>
              </w:rPr>
              <w:t>15 309</w:t>
            </w:r>
          </w:p>
        </w:tc>
        <w:tc>
          <w:tcPr>
            <w:tcW w:w="350" w:type="pct"/>
            <w:tcBorders>
              <w:top w:val="nil"/>
              <w:left w:val="nil"/>
              <w:bottom w:val="nil"/>
              <w:right w:val="nil"/>
            </w:tcBorders>
            <w:shd w:val="clear" w:color="auto" w:fill="auto"/>
            <w:noWrap/>
            <w:vAlign w:val="center"/>
            <w:hideMark/>
          </w:tcPr>
          <w:p w14:paraId="71C6BFAF" w14:textId="77777777" w:rsidR="005455C2" w:rsidRPr="003C392F" w:rsidRDefault="005455C2" w:rsidP="00C33BCC">
            <w:pPr>
              <w:spacing w:before="60" w:after="60"/>
              <w:jc w:val="right"/>
              <w:rPr>
                <w:rFonts w:eastAsia="Calibri"/>
                <w:b/>
                <w:bCs/>
              </w:rPr>
            </w:pPr>
            <w:r w:rsidRPr="003C392F">
              <w:rPr>
                <w:rFonts w:eastAsia="Calibri"/>
                <w:b/>
                <w:bCs/>
              </w:rPr>
              <w:t>15 522</w:t>
            </w:r>
          </w:p>
        </w:tc>
        <w:tc>
          <w:tcPr>
            <w:tcW w:w="350" w:type="pct"/>
            <w:tcBorders>
              <w:top w:val="nil"/>
              <w:left w:val="nil"/>
              <w:bottom w:val="nil"/>
              <w:right w:val="nil"/>
            </w:tcBorders>
            <w:shd w:val="clear" w:color="auto" w:fill="auto"/>
            <w:noWrap/>
            <w:vAlign w:val="center"/>
            <w:hideMark/>
          </w:tcPr>
          <w:p w14:paraId="70B48300" w14:textId="77777777" w:rsidR="005455C2" w:rsidRPr="003C392F" w:rsidRDefault="005455C2" w:rsidP="00C33BCC">
            <w:pPr>
              <w:spacing w:before="60" w:after="60"/>
              <w:jc w:val="right"/>
              <w:rPr>
                <w:rFonts w:eastAsia="Calibri"/>
                <w:b/>
                <w:bCs/>
              </w:rPr>
            </w:pPr>
            <w:r w:rsidRPr="003C392F">
              <w:rPr>
                <w:rFonts w:eastAsia="Calibri"/>
                <w:b/>
                <w:bCs/>
              </w:rPr>
              <w:t>14 789</w:t>
            </w:r>
          </w:p>
        </w:tc>
        <w:tc>
          <w:tcPr>
            <w:tcW w:w="350" w:type="pct"/>
            <w:tcBorders>
              <w:top w:val="nil"/>
              <w:left w:val="nil"/>
              <w:bottom w:val="nil"/>
              <w:right w:val="nil"/>
            </w:tcBorders>
            <w:shd w:val="clear" w:color="auto" w:fill="auto"/>
            <w:noWrap/>
            <w:vAlign w:val="center"/>
            <w:hideMark/>
          </w:tcPr>
          <w:p w14:paraId="58127C87" w14:textId="77777777" w:rsidR="005455C2" w:rsidRPr="003C392F" w:rsidRDefault="005455C2" w:rsidP="00C33BCC">
            <w:pPr>
              <w:spacing w:before="60" w:after="60"/>
              <w:jc w:val="right"/>
              <w:rPr>
                <w:rFonts w:eastAsia="Calibri"/>
                <w:b/>
                <w:bCs/>
              </w:rPr>
            </w:pPr>
            <w:r w:rsidRPr="003C392F">
              <w:rPr>
                <w:rFonts w:eastAsia="Calibri"/>
                <w:b/>
                <w:bCs/>
              </w:rPr>
              <w:t>14 500</w:t>
            </w:r>
          </w:p>
        </w:tc>
        <w:tc>
          <w:tcPr>
            <w:tcW w:w="349" w:type="pct"/>
            <w:tcBorders>
              <w:top w:val="nil"/>
              <w:left w:val="nil"/>
              <w:bottom w:val="nil"/>
              <w:right w:val="nil"/>
            </w:tcBorders>
            <w:shd w:val="clear" w:color="auto" w:fill="auto"/>
            <w:noWrap/>
            <w:vAlign w:val="center"/>
            <w:hideMark/>
          </w:tcPr>
          <w:p w14:paraId="584025AD" w14:textId="77777777" w:rsidR="005455C2" w:rsidRPr="003C392F" w:rsidRDefault="005455C2" w:rsidP="00C33BCC">
            <w:pPr>
              <w:spacing w:before="60" w:after="60"/>
              <w:jc w:val="right"/>
              <w:rPr>
                <w:rFonts w:eastAsia="Calibri"/>
                <w:b/>
                <w:bCs/>
              </w:rPr>
            </w:pPr>
            <w:r w:rsidRPr="003C392F">
              <w:rPr>
                <w:rFonts w:eastAsia="Calibri"/>
                <w:b/>
                <w:bCs/>
              </w:rPr>
              <w:t>14 192</w:t>
            </w:r>
          </w:p>
        </w:tc>
        <w:tc>
          <w:tcPr>
            <w:tcW w:w="348" w:type="pct"/>
            <w:tcBorders>
              <w:top w:val="nil"/>
              <w:left w:val="nil"/>
              <w:bottom w:val="nil"/>
              <w:right w:val="nil"/>
            </w:tcBorders>
            <w:shd w:val="clear" w:color="auto" w:fill="auto"/>
            <w:noWrap/>
            <w:vAlign w:val="center"/>
            <w:hideMark/>
          </w:tcPr>
          <w:p w14:paraId="2FF2477F" w14:textId="77777777" w:rsidR="005455C2" w:rsidRPr="003C392F" w:rsidRDefault="005455C2" w:rsidP="00C33BCC">
            <w:pPr>
              <w:spacing w:before="60" w:after="60"/>
              <w:jc w:val="right"/>
              <w:rPr>
                <w:rFonts w:eastAsia="Calibri"/>
                <w:b/>
                <w:bCs/>
              </w:rPr>
            </w:pPr>
            <w:r w:rsidRPr="003C392F">
              <w:rPr>
                <w:rFonts w:eastAsia="Calibri"/>
                <w:b/>
                <w:bCs/>
              </w:rPr>
              <w:t>13 326</w:t>
            </w:r>
          </w:p>
        </w:tc>
        <w:tc>
          <w:tcPr>
            <w:tcW w:w="340" w:type="pct"/>
            <w:tcBorders>
              <w:top w:val="nil"/>
              <w:left w:val="nil"/>
              <w:bottom w:val="nil"/>
              <w:right w:val="nil"/>
            </w:tcBorders>
            <w:shd w:val="clear" w:color="auto" w:fill="auto"/>
            <w:noWrap/>
            <w:vAlign w:val="center"/>
            <w:hideMark/>
          </w:tcPr>
          <w:p w14:paraId="7CADB151" w14:textId="77777777" w:rsidR="005455C2" w:rsidRPr="003C392F" w:rsidRDefault="005455C2" w:rsidP="00C33BCC">
            <w:pPr>
              <w:spacing w:before="60" w:after="60"/>
              <w:jc w:val="right"/>
              <w:rPr>
                <w:rFonts w:eastAsia="Calibri"/>
                <w:b/>
                <w:bCs/>
              </w:rPr>
            </w:pPr>
            <w:r w:rsidRPr="003C392F">
              <w:rPr>
                <w:rFonts w:eastAsia="Calibri"/>
                <w:b/>
                <w:bCs/>
              </w:rPr>
              <w:t>13 447</w:t>
            </w:r>
          </w:p>
        </w:tc>
        <w:tc>
          <w:tcPr>
            <w:tcW w:w="639" w:type="pct"/>
            <w:tcBorders>
              <w:top w:val="nil"/>
              <w:left w:val="single" w:sz="4" w:space="0" w:color="auto"/>
              <w:bottom w:val="nil"/>
              <w:right w:val="single" w:sz="8" w:space="0" w:color="auto"/>
            </w:tcBorders>
            <w:shd w:val="clear" w:color="auto" w:fill="auto"/>
            <w:noWrap/>
            <w:vAlign w:val="center"/>
            <w:hideMark/>
          </w:tcPr>
          <w:p w14:paraId="2E787CFE" w14:textId="77777777" w:rsidR="005455C2" w:rsidRPr="003C392F" w:rsidRDefault="005455C2" w:rsidP="00C33BCC">
            <w:pPr>
              <w:spacing w:before="60" w:after="60"/>
              <w:jc w:val="right"/>
              <w:rPr>
                <w:rFonts w:eastAsia="Calibri"/>
                <w:b/>
                <w:bCs/>
              </w:rPr>
            </w:pPr>
            <w:r w:rsidRPr="003C392F">
              <w:rPr>
                <w:rFonts w:eastAsia="Calibri"/>
                <w:b/>
                <w:bCs/>
              </w:rPr>
              <w:t>101 085</w:t>
            </w:r>
          </w:p>
        </w:tc>
      </w:tr>
      <w:tr w:rsidR="005455C2" w:rsidRPr="003C392F" w14:paraId="42A62B43" w14:textId="77777777" w:rsidTr="00C33BCC">
        <w:trPr>
          <w:trHeight w:val="300"/>
        </w:trPr>
        <w:tc>
          <w:tcPr>
            <w:tcW w:w="1927" w:type="pct"/>
            <w:tcBorders>
              <w:top w:val="nil"/>
              <w:left w:val="single" w:sz="8" w:space="0" w:color="auto"/>
              <w:bottom w:val="nil"/>
              <w:right w:val="single" w:sz="4" w:space="0" w:color="auto"/>
            </w:tcBorders>
            <w:shd w:val="clear" w:color="auto" w:fill="auto"/>
            <w:noWrap/>
            <w:vAlign w:val="center"/>
            <w:hideMark/>
          </w:tcPr>
          <w:p w14:paraId="7E0D183D" w14:textId="77777777" w:rsidR="005455C2" w:rsidRPr="003C392F" w:rsidRDefault="005455C2" w:rsidP="00C33BCC">
            <w:pPr>
              <w:spacing w:before="60" w:after="60"/>
              <w:rPr>
                <w:rFonts w:eastAsia="Calibri"/>
                <w:b/>
                <w:bCs/>
              </w:rPr>
            </w:pPr>
            <w:r w:rsidRPr="003C392F">
              <w:rPr>
                <w:rFonts w:eastAsia="Calibri"/>
                <w:b/>
                <w:bCs/>
              </w:rPr>
              <w:t>7.</w:t>
            </w:r>
            <w:r w:rsidRPr="003C392F">
              <w:rPr>
                <w:rFonts w:eastAsia="Calibri"/>
                <w:b/>
                <w:bCs/>
              </w:rPr>
              <w:tab/>
              <w:t>Pubblica amministrazione europea</w:t>
            </w:r>
          </w:p>
        </w:tc>
        <w:tc>
          <w:tcPr>
            <w:tcW w:w="347" w:type="pct"/>
            <w:tcBorders>
              <w:top w:val="nil"/>
              <w:left w:val="nil"/>
              <w:bottom w:val="nil"/>
              <w:right w:val="nil"/>
            </w:tcBorders>
            <w:shd w:val="clear" w:color="auto" w:fill="auto"/>
            <w:noWrap/>
            <w:vAlign w:val="center"/>
            <w:hideMark/>
          </w:tcPr>
          <w:p w14:paraId="5767E833" w14:textId="77777777" w:rsidR="005455C2" w:rsidRPr="003C392F" w:rsidRDefault="005455C2" w:rsidP="00C33BCC">
            <w:pPr>
              <w:spacing w:before="60" w:after="60"/>
              <w:jc w:val="right"/>
              <w:rPr>
                <w:rFonts w:eastAsia="Calibri"/>
                <w:b/>
                <w:bCs/>
              </w:rPr>
            </w:pPr>
            <w:r w:rsidRPr="003C392F">
              <w:rPr>
                <w:rFonts w:eastAsia="Calibri"/>
                <w:b/>
                <w:bCs/>
              </w:rPr>
              <w:t>10 021</w:t>
            </w:r>
          </w:p>
        </w:tc>
        <w:tc>
          <w:tcPr>
            <w:tcW w:w="350" w:type="pct"/>
            <w:tcBorders>
              <w:top w:val="nil"/>
              <w:left w:val="nil"/>
              <w:bottom w:val="nil"/>
              <w:right w:val="nil"/>
            </w:tcBorders>
            <w:shd w:val="clear" w:color="auto" w:fill="auto"/>
            <w:noWrap/>
            <w:vAlign w:val="center"/>
            <w:hideMark/>
          </w:tcPr>
          <w:p w14:paraId="4843D919" w14:textId="77777777" w:rsidR="005455C2" w:rsidRPr="003C392F" w:rsidRDefault="005455C2" w:rsidP="00C33BCC">
            <w:pPr>
              <w:spacing w:before="60" w:after="60"/>
              <w:jc w:val="right"/>
              <w:rPr>
                <w:rFonts w:eastAsia="Calibri"/>
                <w:b/>
                <w:bCs/>
              </w:rPr>
            </w:pPr>
            <w:r w:rsidRPr="003C392F">
              <w:rPr>
                <w:rFonts w:eastAsia="Calibri"/>
                <w:b/>
                <w:bCs/>
              </w:rPr>
              <w:t>10 215</w:t>
            </w:r>
          </w:p>
        </w:tc>
        <w:tc>
          <w:tcPr>
            <w:tcW w:w="350" w:type="pct"/>
            <w:tcBorders>
              <w:top w:val="nil"/>
              <w:left w:val="nil"/>
              <w:bottom w:val="nil"/>
              <w:right w:val="nil"/>
            </w:tcBorders>
            <w:shd w:val="clear" w:color="auto" w:fill="auto"/>
            <w:noWrap/>
            <w:vAlign w:val="center"/>
            <w:hideMark/>
          </w:tcPr>
          <w:p w14:paraId="6DEC757D" w14:textId="77777777" w:rsidR="005455C2" w:rsidRPr="003C392F" w:rsidRDefault="005455C2" w:rsidP="00C33BCC">
            <w:pPr>
              <w:spacing w:before="60" w:after="60"/>
              <w:jc w:val="right"/>
              <w:rPr>
                <w:rFonts w:eastAsia="Calibri"/>
                <w:b/>
                <w:bCs/>
              </w:rPr>
            </w:pPr>
            <w:r w:rsidRPr="003C392F">
              <w:rPr>
                <w:rFonts w:eastAsia="Calibri"/>
                <w:b/>
                <w:bCs/>
              </w:rPr>
              <w:t>10 342</w:t>
            </w:r>
          </w:p>
        </w:tc>
        <w:tc>
          <w:tcPr>
            <w:tcW w:w="350" w:type="pct"/>
            <w:tcBorders>
              <w:top w:val="nil"/>
              <w:left w:val="nil"/>
              <w:bottom w:val="nil"/>
              <w:right w:val="nil"/>
            </w:tcBorders>
            <w:shd w:val="clear" w:color="auto" w:fill="auto"/>
            <w:noWrap/>
            <w:vAlign w:val="center"/>
            <w:hideMark/>
          </w:tcPr>
          <w:p w14:paraId="23641B59" w14:textId="77777777" w:rsidR="005455C2" w:rsidRPr="003C392F" w:rsidRDefault="005455C2" w:rsidP="00C33BCC">
            <w:pPr>
              <w:spacing w:before="60" w:after="60"/>
              <w:jc w:val="right"/>
              <w:rPr>
                <w:rFonts w:eastAsia="Calibri"/>
                <w:b/>
                <w:bCs/>
              </w:rPr>
            </w:pPr>
            <w:r w:rsidRPr="003C392F">
              <w:rPr>
                <w:rFonts w:eastAsia="Calibri"/>
                <w:b/>
                <w:bCs/>
              </w:rPr>
              <w:t>10 454</w:t>
            </w:r>
          </w:p>
        </w:tc>
        <w:tc>
          <w:tcPr>
            <w:tcW w:w="349" w:type="pct"/>
            <w:tcBorders>
              <w:top w:val="nil"/>
              <w:left w:val="nil"/>
              <w:bottom w:val="nil"/>
              <w:right w:val="nil"/>
            </w:tcBorders>
            <w:shd w:val="clear" w:color="auto" w:fill="auto"/>
            <w:noWrap/>
            <w:vAlign w:val="center"/>
            <w:hideMark/>
          </w:tcPr>
          <w:p w14:paraId="5279DE34" w14:textId="77777777" w:rsidR="005455C2" w:rsidRPr="003C392F" w:rsidRDefault="005455C2" w:rsidP="00C33BCC">
            <w:pPr>
              <w:spacing w:before="60" w:after="60"/>
              <w:jc w:val="right"/>
              <w:rPr>
                <w:rFonts w:eastAsia="Calibri"/>
                <w:b/>
                <w:bCs/>
              </w:rPr>
            </w:pPr>
            <w:r w:rsidRPr="003C392F">
              <w:rPr>
                <w:rFonts w:eastAsia="Calibri"/>
                <w:b/>
                <w:bCs/>
              </w:rPr>
              <w:t>10 554</w:t>
            </w:r>
          </w:p>
        </w:tc>
        <w:tc>
          <w:tcPr>
            <w:tcW w:w="348" w:type="pct"/>
            <w:tcBorders>
              <w:top w:val="nil"/>
              <w:left w:val="nil"/>
              <w:bottom w:val="nil"/>
              <w:right w:val="nil"/>
            </w:tcBorders>
            <w:shd w:val="clear" w:color="auto" w:fill="auto"/>
            <w:noWrap/>
            <w:vAlign w:val="center"/>
            <w:hideMark/>
          </w:tcPr>
          <w:p w14:paraId="284E4590" w14:textId="77777777" w:rsidR="005455C2" w:rsidRPr="003C392F" w:rsidRDefault="005455C2" w:rsidP="00C33BCC">
            <w:pPr>
              <w:spacing w:before="60" w:after="60"/>
              <w:jc w:val="right"/>
              <w:rPr>
                <w:rFonts w:eastAsia="Calibri"/>
                <w:b/>
                <w:bCs/>
              </w:rPr>
            </w:pPr>
            <w:r w:rsidRPr="003C392F">
              <w:rPr>
                <w:rFonts w:eastAsia="Calibri"/>
                <w:b/>
                <w:bCs/>
              </w:rPr>
              <w:t>10 673</w:t>
            </w:r>
          </w:p>
        </w:tc>
        <w:tc>
          <w:tcPr>
            <w:tcW w:w="340" w:type="pct"/>
            <w:tcBorders>
              <w:top w:val="nil"/>
              <w:left w:val="nil"/>
              <w:bottom w:val="nil"/>
              <w:right w:val="nil"/>
            </w:tcBorders>
            <w:shd w:val="clear" w:color="auto" w:fill="auto"/>
            <w:noWrap/>
            <w:vAlign w:val="center"/>
            <w:hideMark/>
          </w:tcPr>
          <w:p w14:paraId="5DCF6287" w14:textId="77777777" w:rsidR="005455C2" w:rsidRPr="003C392F" w:rsidRDefault="005455C2" w:rsidP="00C33BCC">
            <w:pPr>
              <w:spacing w:before="60" w:after="60"/>
              <w:jc w:val="right"/>
              <w:rPr>
                <w:rFonts w:eastAsia="Calibri"/>
                <w:b/>
                <w:bCs/>
              </w:rPr>
            </w:pPr>
            <w:r w:rsidRPr="003C392F">
              <w:rPr>
                <w:rFonts w:eastAsia="Calibri"/>
                <w:b/>
                <w:bCs/>
              </w:rPr>
              <w:t>10 843</w:t>
            </w:r>
          </w:p>
        </w:tc>
        <w:tc>
          <w:tcPr>
            <w:tcW w:w="639" w:type="pct"/>
            <w:tcBorders>
              <w:top w:val="nil"/>
              <w:left w:val="single" w:sz="4" w:space="0" w:color="auto"/>
              <w:bottom w:val="nil"/>
              <w:right w:val="single" w:sz="8" w:space="0" w:color="auto"/>
            </w:tcBorders>
            <w:shd w:val="clear" w:color="auto" w:fill="auto"/>
            <w:noWrap/>
            <w:vAlign w:val="center"/>
            <w:hideMark/>
          </w:tcPr>
          <w:p w14:paraId="7803BE3D" w14:textId="77777777" w:rsidR="005455C2" w:rsidRPr="003C392F" w:rsidRDefault="005455C2" w:rsidP="00C33BCC">
            <w:pPr>
              <w:spacing w:before="60" w:after="60"/>
              <w:jc w:val="right"/>
              <w:rPr>
                <w:rFonts w:eastAsia="Calibri"/>
                <w:b/>
                <w:bCs/>
              </w:rPr>
            </w:pPr>
            <w:r w:rsidRPr="003C392F">
              <w:rPr>
                <w:rFonts w:eastAsia="Calibri"/>
                <w:b/>
                <w:bCs/>
              </w:rPr>
              <w:t>73 102</w:t>
            </w:r>
          </w:p>
        </w:tc>
      </w:tr>
      <w:tr w:rsidR="005455C2" w:rsidRPr="003C392F" w14:paraId="1AB10489" w14:textId="77777777" w:rsidTr="00C33BCC">
        <w:trPr>
          <w:trHeight w:val="315"/>
        </w:trPr>
        <w:tc>
          <w:tcPr>
            <w:tcW w:w="1927" w:type="pct"/>
            <w:tcBorders>
              <w:top w:val="nil"/>
              <w:left w:val="single" w:sz="8" w:space="0" w:color="auto"/>
              <w:bottom w:val="single" w:sz="8" w:space="0" w:color="auto"/>
              <w:right w:val="single" w:sz="4" w:space="0" w:color="auto"/>
            </w:tcBorders>
            <w:shd w:val="clear" w:color="auto" w:fill="auto"/>
            <w:noWrap/>
            <w:vAlign w:val="center"/>
            <w:hideMark/>
          </w:tcPr>
          <w:p w14:paraId="7BD681FA" w14:textId="77777777" w:rsidR="005455C2" w:rsidRPr="003C392F" w:rsidRDefault="005455C2" w:rsidP="00C33BCC">
            <w:pPr>
              <w:spacing w:before="60" w:after="60"/>
              <w:ind w:left="720"/>
              <w:rPr>
                <w:rFonts w:eastAsia="Calibri"/>
              </w:rPr>
            </w:pPr>
            <w:r w:rsidRPr="003C392F">
              <w:rPr>
                <w:rFonts w:eastAsia="Calibri"/>
              </w:rPr>
              <w:t>di cui: spese amministrative delle istituzioni</w:t>
            </w:r>
          </w:p>
        </w:tc>
        <w:tc>
          <w:tcPr>
            <w:tcW w:w="347" w:type="pct"/>
            <w:tcBorders>
              <w:top w:val="nil"/>
              <w:left w:val="nil"/>
              <w:bottom w:val="single" w:sz="8" w:space="0" w:color="auto"/>
              <w:right w:val="nil"/>
            </w:tcBorders>
            <w:shd w:val="clear" w:color="auto" w:fill="auto"/>
            <w:noWrap/>
            <w:vAlign w:val="center"/>
            <w:hideMark/>
          </w:tcPr>
          <w:p w14:paraId="6F454F73" w14:textId="77777777" w:rsidR="005455C2" w:rsidRPr="003C392F" w:rsidRDefault="005455C2" w:rsidP="00C33BCC">
            <w:pPr>
              <w:spacing w:before="60" w:after="60"/>
              <w:jc w:val="right"/>
              <w:rPr>
                <w:rFonts w:eastAsia="Calibri"/>
              </w:rPr>
            </w:pPr>
            <w:r w:rsidRPr="003C392F">
              <w:rPr>
                <w:rFonts w:eastAsia="Calibri"/>
              </w:rPr>
              <w:t>7 742</w:t>
            </w:r>
          </w:p>
        </w:tc>
        <w:tc>
          <w:tcPr>
            <w:tcW w:w="350" w:type="pct"/>
            <w:tcBorders>
              <w:top w:val="nil"/>
              <w:left w:val="nil"/>
              <w:bottom w:val="single" w:sz="8" w:space="0" w:color="auto"/>
              <w:right w:val="nil"/>
            </w:tcBorders>
            <w:shd w:val="clear" w:color="auto" w:fill="auto"/>
            <w:noWrap/>
            <w:vAlign w:val="center"/>
            <w:hideMark/>
          </w:tcPr>
          <w:p w14:paraId="5105E3E4" w14:textId="77777777" w:rsidR="005455C2" w:rsidRPr="003C392F" w:rsidRDefault="005455C2" w:rsidP="00C33BCC">
            <w:pPr>
              <w:spacing w:before="60" w:after="60"/>
              <w:jc w:val="right"/>
              <w:rPr>
                <w:rFonts w:eastAsia="Calibri"/>
              </w:rPr>
            </w:pPr>
            <w:r w:rsidRPr="003C392F">
              <w:rPr>
                <w:rFonts w:eastAsia="Calibri"/>
              </w:rPr>
              <w:t>7 878</w:t>
            </w:r>
          </w:p>
        </w:tc>
        <w:tc>
          <w:tcPr>
            <w:tcW w:w="350" w:type="pct"/>
            <w:tcBorders>
              <w:top w:val="nil"/>
              <w:left w:val="nil"/>
              <w:bottom w:val="single" w:sz="8" w:space="0" w:color="auto"/>
              <w:right w:val="nil"/>
            </w:tcBorders>
            <w:shd w:val="clear" w:color="auto" w:fill="auto"/>
            <w:noWrap/>
            <w:vAlign w:val="center"/>
            <w:hideMark/>
          </w:tcPr>
          <w:p w14:paraId="6A047811" w14:textId="77777777" w:rsidR="005455C2" w:rsidRPr="003C392F" w:rsidRDefault="005455C2" w:rsidP="00C33BCC">
            <w:pPr>
              <w:spacing w:before="60" w:after="60"/>
              <w:jc w:val="right"/>
              <w:rPr>
                <w:rFonts w:eastAsia="Calibri"/>
              </w:rPr>
            </w:pPr>
            <w:r w:rsidRPr="003C392F">
              <w:rPr>
                <w:rFonts w:eastAsia="Calibri"/>
              </w:rPr>
              <w:t>7 945</w:t>
            </w:r>
          </w:p>
        </w:tc>
        <w:tc>
          <w:tcPr>
            <w:tcW w:w="350" w:type="pct"/>
            <w:tcBorders>
              <w:top w:val="nil"/>
              <w:left w:val="nil"/>
              <w:bottom w:val="single" w:sz="8" w:space="0" w:color="auto"/>
              <w:right w:val="nil"/>
            </w:tcBorders>
            <w:shd w:val="clear" w:color="auto" w:fill="auto"/>
            <w:noWrap/>
            <w:vAlign w:val="center"/>
            <w:hideMark/>
          </w:tcPr>
          <w:p w14:paraId="487F2700" w14:textId="77777777" w:rsidR="005455C2" w:rsidRPr="003C392F" w:rsidRDefault="005455C2" w:rsidP="00C33BCC">
            <w:pPr>
              <w:spacing w:before="60" w:after="60"/>
              <w:jc w:val="right"/>
              <w:rPr>
                <w:rFonts w:eastAsia="Calibri"/>
              </w:rPr>
            </w:pPr>
            <w:r w:rsidRPr="003C392F">
              <w:rPr>
                <w:rFonts w:eastAsia="Calibri"/>
              </w:rPr>
              <w:t>7 997</w:t>
            </w:r>
          </w:p>
        </w:tc>
        <w:tc>
          <w:tcPr>
            <w:tcW w:w="349" w:type="pct"/>
            <w:tcBorders>
              <w:top w:val="nil"/>
              <w:left w:val="nil"/>
              <w:bottom w:val="single" w:sz="8" w:space="0" w:color="auto"/>
              <w:right w:val="nil"/>
            </w:tcBorders>
            <w:shd w:val="clear" w:color="auto" w:fill="auto"/>
            <w:noWrap/>
            <w:vAlign w:val="center"/>
            <w:hideMark/>
          </w:tcPr>
          <w:p w14:paraId="51080A62" w14:textId="77777777" w:rsidR="005455C2" w:rsidRPr="003C392F" w:rsidRDefault="005455C2" w:rsidP="00C33BCC">
            <w:pPr>
              <w:spacing w:before="60" w:after="60"/>
              <w:jc w:val="right"/>
              <w:rPr>
                <w:rFonts w:eastAsia="Calibri"/>
              </w:rPr>
            </w:pPr>
            <w:r w:rsidRPr="003C392F">
              <w:rPr>
                <w:rFonts w:eastAsia="Calibri"/>
              </w:rPr>
              <w:t>8 025</w:t>
            </w:r>
          </w:p>
        </w:tc>
        <w:tc>
          <w:tcPr>
            <w:tcW w:w="348" w:type="pct"/>
            <w:tcBorders>
              <w:top w:val="nil"/>
              <w:left w:val="nil"/>
              <w:bottom w:val="single" w:sz="8" w:space="0" w:color="auto"/>
              <w:right w:val="nil"/>
            </w:tcBorders>
            <w:shd w:val="clear" w:color="auto" w:fill="auto"/>
            <w:noWrap/>
            <w:vAlign w:val="center"/>
            <w:hideMark/>
          </w:tcPr>
          <w:p w14:paraId="3C833435" w14:textId="77777777" w:rsidR="005455C2" w:rsidRPr="003C392F" w:rsidRDefault="005455C2" w:rsidP="00C33BCC">
            <w:pPr>
              <w:spacing w:before="60" w:after="60"/>
              <w:jc w:val="right"/>
              <w:rPr>
                <w:rFonts w:eastAsia="Calibri"/>
              </w:rPr>
            </w:pPr>
            <w:r w:rsidRPr="003C392F">
              <w:rPr>
                <w:rFonts w:eastAsia="Calibri"/>
              </w:rPr>
              <w:t>8 077</w:t>
            </w:r>
          </w:p>
        </w:tc>
        <w:tc>
          <w:tcPr>
            <w:tcW w:w="340" w:type="pct"/>
            <w:tcBorders>
              <w:top w:val="nil"/>
              <w:left w:val="nil"/>
              <w:bottom w:val="single" w:sz="8" w:space="0" w:color="auto"/>
              <w:right w:val="nil"/>
            </w:tcBorders>
            <w:shd w:val="clear" w:color="auto" w:fill="auto"/>
            <w:noWrap/>
            <w:vAlign w:val="center"/>
            <w:hideMark/>
          </w:tcPr>
          <w:p w14:paraId="1076B098" w14:textId="77777777" w:rsidR="005455C2" w:rsidRPr="003C392F" w:rsidRDefault="005455C2" w:rsidP="00C33BCC">
            <w:pPr>
              <w:spacing w:before="60" w:after="60"/>
              <w:jc w:val="right"/>
              <w:rPr>
                <w:rFonts w:eastAsia="Calibri"/>
              </w:rPr>
            </w:pPr>
            <w:r w:rsidRPr="003C392F">
              <w:rPr>
                <w:rFonts w:eastAsia="Calibri"/>
              </w:rPr>
              <w:t>8 188</w:t>
            </w:r>
          </w:p>
        </w:tc>
        <w:tc>
          <w:tcPr>
            <w:tcW w:w="639" w:type="pct"/>
            <w:tcBorders>
              <w:top w:val="nil"/>
              <w:left w:val="single" w:sz="4" w:space="0" w:color="auto"/>
              <w:bottom w:val="single" w:sz="8" w:space="0" w:color="auto"/>
              <w:right w:val="single" w:sz="8" w:space="0" w:color="auto"/>
            </w:tcBorders>
            <w:shd w:val="clear" w:color="auto" w:fill="auto"/>
            <w:noWrap/>
            <w:vAlign w:val="center"/>
            <w:hideMark/>
          </w:tcPr>
          <w:p w14:paraId="34617ACE" w14:textId="77777777" w:rsidR="005455C2" w:rsidRPr="003C392F" w:rsidRDefault="005455C2" w:rsidP="00C33BCC">
            <w:pPr>
              <w:spacing w:before="60" w:after="60"/>
              <w:jc w:val="right"/>
              <w:rPr>
                <w:rFonts w:eastAsia="Calibri"/>
              </w:rPr>
            </w:pPr>
            <w:r w:rsidRPr="003C392F">
              <w:rPr>
                <w:rFonts w:eastAsia="Calibri"/>
              </w:rPr>
              <w:t>55 852</w:t>
            </w:r>
          </w:p>
        </w:tc>
      </w:tr>
      <w:tr w:rsidR="005455C2" w:rsidRPr="003C392F" w14:paraId="4FA8604A" w14:textId="77777777" w:rsidTr="00C33BCC">
        <w:trPr>
          <w:trHeight w:val="315"/>
        </w:trPr>
        <w:tc>
          <w:tcPr>
            <w:tcW w:w="1927" w:type="pct"/>
            <w:tcBorders>
              <w:top w:val="nil"/>
              <w:left w:val="single" w:sz="8" w:space="0" w:color="auto"/>
              <w:bottom w:val="single" w:sz="8" w:space="0" w:color="auto"/>
              <w:right w:val="nil"/>
            </w:tcBorders>
            <w:shd w:val="clear" w:color="auto" w:fill="auto"/>
            <w:noWrap/>
            <w:vAlign w:val="center"/>
            <w:hideMark/>
          </w:tcPr>
          <w:p w14:paraId="1407AB21" w14:textId="77777777" w:rsidR="005455C2" w:rsidRPr="003C392F" w:rsidRDefault="005455C2" w:rsidP="00C33BCC">
            <w:pPr>
              <w:spacing w:before="60" w:after="60"/>
              <w:jc w:val="right"/>
              <w:rPr>
                <w:rFonts w:eastAsia="Calibri"/>
                <w:b/>
                <w:bCs/>
              </w:rPr>
            </w:pPr>
            <w:r w:rsidRPr="003C392F">
              <w:rPr>
                <w:rFonts w:eastAsia="Calibri"/>
                <w:b/>
                <w:bCs/>
              </w:rPr>
              <w:t>TOTALE STANZIAMENTI D'IMPEGNO</w:t>
            </w:r>
          </w:p>
        </w:tc>
        <w:tc>
          <w:tcPr>
            <w:tcW w:w="347" w:type="pct"/>
            <w:tcBorders>
              <w:top w:val="nil"/>
              <w:left w:val="single" w:sz="4" w:space="0" w:color="auto"/>
              <w:bottom w:val="single" w:sz="8" w:space="0" w:color="auto"/>
              <w:right w:val="nil"/>
            </w:tcBorders>
            <w:shd w:val="clear" w:color="auto" w:fill="auto"/>
            <w:noWrap/>
            <w:vAlign w:val="center"/>
            <w:hideMark/>
          </w:tcPr>
          <w:p w14:paraId="053CBCAD" w14:textId="77777777" w:rsidR="005455C2" w:rsidRPr="003C392F" w:rsidRDefault="005455C2" w:rsidP="00C33BCC">
            <w:pPr>
              <w:spacing w:before="60" w:after="60"/>
              <w:jc w:val="right"/>
              <w:rPr>
                <w:rFonts w:eastAsia="Calibri"/>
                <w:b/>
                <w:bCs/>
              </w:rPr>
            </w:pPr>
            <w:r w:rsidRPr="003C392F">
              <w:rPr>
                <w:rFonts w:eastAsia="Calibri"/>
                <w:b/>
                <w:bCs/>
              </w:rPr>
              <w:t>107 885</w:t>
            </w:r>
          </w:p>
        </w:tc>
        <w:tc>
          <w:tcPr>
            <w:tcW w:w="350" w:type="pct"/>
            <w:tcBorders>
              <w:top w:val="nil"/>
              <w:left w:val="nil"/>
              <w:bottom w:val="single" w:sz="8" w:space="0" w:color="auto"/>
              <w:right w:val="nil"/>
            </w:tcBorders>
            <w:shd w:val="clear" w:color="auto" w:fill="auto"/>
            <w:noWrap/>
            <w:vAlign w:val="center"/>
            <w:hideMark/>
          </w:tcPr>
          <w:p w14:paraId="061EE85B" w14:textId="77777777" w:rsidR="005455C2" w:rsidRPr="003C392F" w:rsidRDefault="005455C2" w:rsidP="00C33BCC">
            <w:pPr>
              <w:spacing w:before="60" w:after="60"/>
              <w:jc w:val="right"/>
              <w:rPr>
                <w:rFonts w:eastAsia="Calibri"/>
                <w:b/>
                <w:bCs/>
              </w:rPr>
            </w:pPr>
            <w:r w:rsidRPr="003C392F">
              <w:rPr>
                <w:rFonts w:eastAsia="Calibri"/>
                <w:b/>
                <w:bCs/>
              </w:rPr>
              <w:t>166 070</w:t>
            </w:r>
          </w:p>
        </w:tc>
        <w:tc>
          <w:tcPr>
            <w:tcW w:w="350" w:type="pct"/>
            <w:tcBorders>
              <w:top w:val="nil"/>
              <w:left w:val="nil"/>
              <w:bottom w:val="single" w:sz="8" w:space="0" w:color="auto"/>
              <w:right w:val="nil"/>
            </w:tcBorders>
            <w:shd w:val="clear" w:color="auto" w:fill="auto"/>
            <w:noWrap/>
            <w:vAlign w:val="center"/>
            <w:hideMark/>
          </w:tcPr>
          <w:p w14:paraId="6AC4A4AD" w14:textId="77777777" w:rsidR="005455C2" w:rsidRPr="003C392F" w:rsidRDefault="005455C2" w:rsidP="00C33BCC">
            <w:pPr>
              <w:spacing w:before="60" w:after="60"/>
              <w:jc w:val="right"/>
              <w:rPr>
                <w:rFonts w:eastAsia="Calibri"/>
                <w:b/>
                <w:bCs/>
              </w:rPr>
            </w:pPr>
            <w:r w:rsidRPr="003C392F">
              <w:rPr>
                <w:rFonts w:eastAsia="Calibri"/>
                <w:b/>
                <w:bCs/>
              </w:rPr>
              <w:t>165 443</w:t>
            </w:r>
          </w:p>
        </w:tc>
        <w:tc>
          <w:tcPr>
            <w:tcW w:w="350" w:type="pct"/>
            <w:tcBorders>
              <w:top w:val="nil"/>
              <w:left w:val="nil"/>
              <w:bottom w:val="single" w:sz="8" w:space="0" w:color="auto"/>
              <w:right w:val="nil"/>
            </w:tcBorders>
            <w:shd w:val="clear" w:color="auto" w:fill="auto"/>
            <w:noWrap/>
            <w:vAlign w:val="center"/>
            <w:hideMark/>
          </w:tcPr>
          <w:p w14:paraId="14EE74D7" w14:textId="77777777" w:rsidR="005455C2" w:rsidRPr="003C392F" w:rsidRDefault="005455C2" w:rsidP="00C33BCC">
            <w:pPr>
              <w:spacing w:before="60" w:after="60"/>
              <w:jc w:val="right"/>
              <w:rPr>
                <w:rFonts w:eastAsia="Calibri"/>
                <w:b/>
                <w:bCs/>
              </w:rPr>
            </w:pPr>
            <w:r w:rsidRPr="003C392F">
              <w:rPr>
                <w:b/>
                <w:bCs/>
              </w:rPr>
              <w:t>165 905</w:t>
            </w:r>
          </w:p>
        </w:tc>
        <w:tc>
          <w:tcPr>
            <w:tcW w:w="349" w:type="pct"/>
            <w:tcBorders>
              <w:top w:val="nil"/>
              <w:left w:val="nil"/>
              <w:bottom w:val="single" w:sz="8" w:space="0" w:color="auto"/>
              <w:right w:val="nil"/>
            </w:tcBorders>
            <w:shd w:val="clear" w:color="auto" w:fill="auto"/>
            <w:noWrap/>
            <w:vAlign w:val="center"/>
            <w:hideMark/>
          </w:tcPr>
          <w:p w14:paraId="1B05167A" w14:textId="77777777" w:rsidR="005455C2" w:rsidRPr="003C392F" w:rsidRDefault="005455C2" w:rsidP="00C33BCC">
            <w:pPr>
              <w:spacing w:before="60" w:after="60"/>
              <w:jc w:val="right"/>
              <w:rPr>
                <w:rFonts w:eastAsia="Calibri"/>
                <w:b/>
                <w:bCs/>
              </w:rPr>
            </w:pPr>
            <w:r w:rsidRPr="003C392F">
              <w:rPr>
                <w:b/>
                <w:bCs/>
              </w:rPr>
              <w:t>164 377</w:t>
            </w:r>
          </w:p>
        </w:tc>
        <w:tc>
          <w:tcPr>
            <w:tcW w:w="348" w:type="pct"/>
            <w:tcBorders>
              <w:top w:val="nil"/>
              <w:left w:val="nil"/>
              <w:bottom w:val="single" w:sz="8" w:space="0" w:color="auto"/>
              <w:right w:val="nil"/>
            </w:tcBorders>
            <w:shd w:val="clear" w:color="auto" w:fill="auto"/>
            <w:noWrap/>
            <w:vAlign w:val="center"/>
            <w:hideMark/>
          </w:tcPr>
          <w:p w14:paraId="2D3C0CE7" w14:textId="77777777" w:rsidR="005455C2" w:rsidRPr="003C392F" w:rsidRDefault="005455C2" w:rsidP="00C33BCC">
            <w:pPr>
              <w:spacing w:before="60" w:after="60"/>
              <w:jc w:val="right"/>
              <w:rPr>
                <w:rFonts w:eastAsia="Calibri"/>
                <w:b/>
                <w:bCs/>
              </w:rPr>
            </w:pPr>
            <w:r w:rsidRPr="003C392F">
              <w:rPr>
                <w:b/>
                <w:bCs/>
              </w:rPr>
              <w:t>154 071</w:t>
            </w:r>
          </w:p>
        </w:tc>
        <w:tc>
          <w:tcPr>
            <w:tcW w:w="340" w:type="pct"/>
            <w:tcBorders>
              <w:top w:val="nil"/>
              <w:left w:val="nil"/>
              <w:bottom w:val="single" w:sz="8" w:space="0" w:color="auto"/>
              <w:right w:val="nil"/>
            </w:tcBorders>
            <w:shd w:val="clear" w:color="auto" w:fill="auto"/>
            <w:noWrap/>
            <w:vAlign w:val="center"/>
            <w:hideMark/>
          </w:tcPr>
          <w:p w14:paraId="73C7D7CD" w14:textId="77777777" w:rsidR="005455C2" w:rsidRPr="003C392F" w:rsidRDefault="005455C2" w:rsidP="00C33BCC">
            <w:pPr>
              <w:spacing w:before="60" w:after="60"/>
              <w:jc w:val="right"/>
              <w:rPr>
                <w:rFonts w:eastAsia="Calibri"/>
                <w:b/>
                <w:bCs/>
              </w:rPr>
            </w:pPr>
            <w:r w:rsidRPr="003C392F">
              <w:rPr>
                <w:b/>
                <w:bCs/>
              </w:rPr>
              <w:t>155 772</w:t>
            </w:r>
          </w:p>
        </w:tc>
        <w:tc>
          <w:tcPr>
            <w:tcW w:w="639" w:type="pct"/>
            <w:tcBorders>
              <w:top w:val="nil"/>
              <w:left w:val="single" w:sz="4" w:space="0" w:color="auto"/>
              <w:bottom w:val="single" w:sz="8" w:space="0" w:color="auto"/>
              <w:right w:val="single" w:sz="8" w:space="0" w:color="auto"/>
            </w:tcBorders>
            <w:shd w:val="clear" w:color="auto" w:fill="auto"/>
            <w:noWrap/>
            <w:vAlign w:val="center"/>
            <w:hideMark/>
          </w:tcPr>
          <w:p w14:paraId="54AEC42A" w14:textId="77777777" w:rsidR="005455C2" w:rsidRPr="003C392F" w:rsidRDefault="005455C2" w:rsidP="00C33BCC">
            <w:pPr>
              <w:spacing w:before="60" w:after="60"/>
              <w:jc w:val="right"/>
              <w:rPr>
                <w:rFonts w:eastAsia="Calibri"/>
                <w:b/>
                <w:bCs/>
              </w:rPr>
            </w:pPr>
            <w:r w:rsidRPr="003C392F">
              <w:rPr>
                <w:b/>
                <w:bCs/>
              </w:rPr>
              <w:t>1 079 523</w:t>
            </w:r>
          </w:p>
        </w:tc>
      </w:tr>
      <w:tr w:rsidR="005455C2" w:rsidRPr="003C392F" w14:paraId="4E5BF1AE" w14:textId="77777777" w:rsidTr="00C33BCC">
        <w:trPr>
          <w:trHeight w:val="315"/>
        </w:trPr>
        <w:tc>
          <w:tcPr>
            <w:tcW w:w="1927" w:type="pct"/>
            <w:tcBorders>
              <w:top w:val="single" w:sz="8" w:space="0" w:color="auto"/>
              <w:bottom w:val="single" w:sz="8" w:space="0" w:color="auto"/>
            </w:tcBorders>
            <w:shd w:val="clear" w:color="auto" w:fill="auto"/>
            <w:noWrap/>
            <w:vAlign w:val="center"/>
          </w:tcPr>
          <w:p w14:paraId="0982D958" w14:textId="77777777" w:rsidR="005455C2" w:rsidRPr="003C392F" w:rsidRDefault="005455C2" w:rsidP="00C33BCC">
            <w:pPr>
              <w:spacing w:before="60" w:after="60"/>
              <w:rPr>
                <w:rFonts w:eastAsia="Calibri"/>
              </w:rPr>
            </w:pPr>
          </w:p>
        </w:tc>
        <w:tc>
          <w:tcPr>
            <w:tcW w:w="347" w:type="pct"/>
            <w:tcBorders>
              <w:top w:val="single" w:sz="8" w:space="0" w:color="auto"/>
              <w:bottom w:val="single" w:sz="8" w:space="0" w:color="auto"/>
            </w:tcBorders>
            <w:shd w:val="clear" w:color="auto" w:fill="auto"/>
            <w:noWrap/>
            <w:vAlign w:val="center"/>
          </w:tcPr>
          <w:p w14:paraId="7BD8AC01" w14:textId="77777777" w:rsidR="005455C2" w:rsidRPr="003C392F" w:rsidRDefault="005455C2" w:rsidP="00C33BCC">
            <w:pPr>
              <w:spacing w:before="60" w:after="60"/>
              <w:jc w:val="right"/>
              <w:rPr>
                <w:rFonts w:eastAsia="Calibri"/>
              </w:rPr>
            </w:pPr>
          </w:p>
        </w:tc>
        <w:tc>
          <w:tcPr>
            <w:tcW w:w="350" w:type="pct"/>
            <w:tcBorders>
              <w:top w:val="single" w:sz="8" w:space="0" w:color="auto"/>
              <w:bottom w:val="single" w:sz="8" w:space="0" w:color="auto"/>
            </w:tcBorders>
            <w:shd w:val="clear" w:color="auto" w:fill="auto"/>
            <w:noWrap/>
            <w:vAlign w:val="center"/>
          </w:tcPr>
          <w:p w14:paraId="424B948E" w14:textId="77777777" w:rsidR="005455C2" w:rsidRPr="003C392F" w:rsidRDefault="005455C2" w:rsidP="00C33BCC">
            <w:pPr>
              <w:spacing w:before="60" w:after="60"/>
              <w:jc w:val="right"/>
              <w:rPr>
                <w:rFonts w:eastAsia="Calibri"/>
              </w:rPr>
            </w:pPr>
          </w:p>
        </w:tc>
        <w:tc>
          <w:tcPr>
            <w:tcW w:w="350" w:type="pct"/>
            <w:tcBorders>
              <w:top w:val="single" w:sz="8" w:space="0" w:color="auto"/>
              <w:bottom w:val="single" w:sz="8" w:space="0" w:color="auto"/>
            </w:tcBorders>
            <w:shd w:val="clear" w:color="auto" w:fill="auto"/>
            <w:noWrap/>
            <w:vAlign w:val="center"/>
          </w:tcPr>
          <w:p w14:paraId="688EDE88" w14:textId="77777777" w:rsidR="005455C2" w:rsidRPr="003C392F" w:rsidRDefault="005455C2" w:rsidP="00C33BCC">
            <w:pPr>
              <w:spacing w:before="60" w:after="60"/>
              <w:jc w:val="right"/>
              <w:rPr>
                <w:rFonts w:eastAsia="Calibri"/>
              </w:rPr>
            </w:pPr>
          </w:p>
        </w:tc>
        <w:tc>
          <w:tcPr>
            <w:tcW w:w="350" w:type="pct"/>
            <w:tcBorders>
              <w:top w:val="single" w:sz="8" w:space="0" w:color="auto"/>
              <w:bottom w:val="single" w:sz="8" w:space="0" w:color="auto"/>
            </w:tcBorders>
            <w:shd w:val="clear" w:color="auto" w:fill="auto"/>
            <w:noWrap/>
            <w:vAlign w:val="center"/>
          </w:tcPr>
          <w:p w14:paraId="4BFBE42B" w14:textId="77777777" w:rsidR="005455C2" w:rsidRPr="003C392F" w:rsidRDefault="005455C2" w:rsidP="00C33BCC">
            <w:pPr>
              <w:spacing w:before="60" w:after="60"/>
              <w:jc w:val="right"/>
              <w:rPr>
                <w:rFonts w:eastAsia="Calibri"/>
              </w:rPr>
            </w:pPr>
          </w:p>
        </w:tc>
        <w:tc>
          <w:tcPr>
            <w:tcW w:w="349" w:type="pct"/>
            <w:tcBorders>
              <w:top w:val="single" w:sz="8" w:space="0" w:color="auto"/>
              <w:bottom w:val="single" w:sz="8" w:space="0" w:color="auto"/>
            </w:tcBorders>
            <w:shd w:val="clear" w:color="auto" w:fill="auto"/>
            <w:noWrap/>
            <w:vAlign w:val="center"/>
          </w:tcPr>
          <w:p w14:paraId="196D1A84" w14:textId="77777777" w:rsidR="005455C2" w:rsidRPr="003C392F" w:rsidRDefault="005455C2" w:rsidP="00C33BCC">
            <w:pPr>
              <w:spacing w:before="60" w:after="60"/>
              <w:jc w:val="right"/>
              <w:rPr>
                <w:rFonts w:eastAsia="Calibri"/>
              </w:rPr>
            </w:pPr>
          </w:p>
        </w:tc>
        <w:tc>
          <w:tcPr>
            <w:tcW w:w="348" w:type="pct"/>
            <w:tcBorders>
              <w:top w:val="single" w:sz="8" w:space="0" w:color="auto"/>
              <w:bottom w:val="single" w:sz="8" w:space="0" w:color="auto"/>
            </w:tcBorders>
            <w:shd w:val="clear" w:color="auto" w:fill="auto"/>
            <w:noWrap/>
            <w:vAlign w:val="center"/>
          </w:tcPr>
          <w:p w14:paraId="099F0C14" w14:textId="77777777" w:rsidR="005455C2" w:rsidRPr="003C392F" w:rsidRDefault="005455C2" w:rsidP="00C33BCC">
            <w:pPr>
              <w:spacing w:before="60" w:after="60"/>
              <w:jc w:val="right"/>
              <w:rPr>
                <w:rFonts w:eastAsia="Calibri"/>
              </w:rPr>
            </w:pPr>
          </w:p>
        </w:tc>
        <w:tc>
          <w:tcPr>
            <w:tcW w:w="340" w:type="pct"/>
            <w:tcBorders>
              <w:top w:val="single" w:sz="8" w:space="0" w:color="auto"/>
              <w:bottom w:val="single" w:sz="8" w:space="0" w:color="auto"/>
            </w:tcBorders>
            <w:shd w:val="clear" w:color="auto" w:fill="auto"/>
            <w:noWrap/>
            <w:vAlign w:val="center"/>
          </w:tcPr>
          <w:p w14:paraId="359F11BD" w14:textId="77777777" w:rsidR="005455C2" w:rsidRPr="003C392F" w:rsidRDefault="005455C2" w:rsidP="00C33BCC">
            <w:pPr>
              <w:spacing w:before="60" w:after="60"/>
              <w:jc w:val="right"/>
              <w:rPr>
                <w:rFonts w:eastAsia="Calibri"/>
              </w:rPr>
            </w:pPr>
          </w:p>
        </w:tc>
        <w:tc>
          <w:tcPr>
            <w:tcW w:w="639" w:type="pct"/>
            <w:tcBorders>
              <w:top w:val="single" w:sz="8" w:space="0" w:color="auto"/>
              <w:bottom w:val="single" w:sz="8" w:space="0" w:color="auto"/>
            </w:tcBorders>
            <w:shd w:val="clear" w:color="auto" w:fill="auto"/>
            <w:noWrap/>
            <w:vAlign w:val="center"/>
          </w:tcPr>
          <w:p w14:paraId="32785B86" w14:textId="77777777" w:rsidR="005455C2" w:rsidRPr="003C392F" w:rsidRDefault="005455C2" w:rsidP="00C33BCC">
            <w:pPr>
              <w:spacing w:before="60" w:after="60"/>
              <w:jc w:val="right"/>
              <w:rPr>
                <w:rFonts w:eastAsia="Calibri"/>
              </w:rPr>
            </w:pPr>
          </w:p>
        </w:tc>
      </w:tr>
      <w:tr w:rsidR="005455C2" w:rsidRPr="003C392F" w14:paraId="3DB8A569" w14:textId="77777777" w:rsidTr="00C33BCC">
        <w:trPr>
          <w:trHeight w:val="315"/>
        </w:trPr>
        <w:tc>
          <w:tcPr>
            <w:tcW w:w="1927" w:type="pct"/>
            <w:tcBorders>
              <w:top w:val="single" w:sz="8" w:space="0" w:color="auto"/>
              <w:left w:val="single" w:sz="8" w:space="0" w:color="auto"/>
              <w:bottom w:val="single" w:sz="8" w:space="0" w:color="auto"/>
              <w:right w:val="nil"/>
            </w:tcBorders>
            <w:shd w:val="clear" w:color="auto" w:fill="auto"/>
            <w:noWrap/>
            <w:vAlign w:val="center"/>
            <w:hideMark/>
          </w:tcPr>
          <w:p w14:paraId="38537D6C" w14:textId="77777777" w:rsidR="005455C2" w:rsidRPr="003C392F" w:rsidRDefault="005455C2" w:rsidP="00C33BCC">
            <w:pPr>
              <w:spacing w:before="60" w:after="60"/>
              <w:jc w:val="right"/>
              <w:rPr>
                <w:rFonts w:eastAsia="Calibri"/>
                <w:b/>
                <w:bCs/>
              </w:rPr>
            </w:pPr>
            <w:r w:rsidRPr="003C392F">
              <w:rPr>
                <w:rFonts w:eastAsia="Calibri"/>
                <w:b/>
                <w:bCs/>
              </w:rPr>
              <w:t>TOTALE STANZIAMENTI DI PAGAMENTO</w:t>
            </w:r>
          </w:p>
        </w:tc>
        <w:tc>
          <w:tcPr>
            <w:tcW w:w="347" w:type="pct"/>
            <w:tcBorders>
              <w:top w:val="single" w:sz="8" w:space="0" w:color="auto"/>
              <w:left w:val="single" w:sz="4" w:space="0" w:color="auto"/>
              <w:bottom w:val="single" w:sz="8" w:space="0" w:color="auto"/>
              <w:right w:val="nil"/>
            </w:tcBorders>
            <w:shd w:val="clear" w:color="auto" w:fill="auto"/>
            <w:noWrap/>
            <w:vAlign w:val="center"/>
            <w:hideMark/>
          </w:tcPr>
          <w:p w14:paraId="75FF7092" w14:textId="77777777" w:rsidR="005455C2" w:rsidRPr="003C392F" w:rsidRDefault="005455C2" w:rsidP="00C33BCC">
            <w:pPr>
              <w:spacing w:before="60" w:after="60"/>
              <w:jc w:val="right"/>
              <w:rPr>
                <w:rFonts w:eastAsia="Calibri"/>
                <w:b/>
                <w:bCs/>
              </w:rPr>
            </w:pPr>
            <w:r w:rsidRPr="003C392F">
              <w:rPr>
                <w:rFonts w:eastAsia="Calibri"/>
                <w:b/>
                <w:bCs/>
              </w:rPr>
              <w:t>154 065</w:t>
            </w:r>
          </w:p>
        </w:tc>
        <w:tc>
          <w:tcPr>
            <w:tcW w:w="350" w:type="pct"/>
            <w:tcBorders>
              <w:top w:val="single" w:sz="8" w:space="0" w:color="auto"/>
              <w:left w:val="nil"/>
              <w:bottom w:val="single" w:sz="8" w:space="0" w:color="auto"/>
              <w:right w:val="nil"/>
            </w:tcBorders>
            <w:shd w:val="clear" w:color="auto" w:fill="auto"/>
            <w:noWrap/>
            <w:vAlign w:val="center"/>
            <w:hideMark/>
          </w:tcPr>
          <w:p w14:paraId="638E9729" w14:textId="77777777" w:rsidR="005455C2" w:rsidRPr="003C392F" w:rsidRDefault="005455C2" w:rsidP="00C33BCC">
            <w:pPr>
              <w:spacing w:before="60" w:after="60"/>
              <w:jc w:val="right"/>
              <w:rPr>
                <w:rFonts w:eastAsia="Calibri"/>
                <w:b/>
                <w:bCs/>
              </w:rPr>
            </w:pPr>
            <w:r w:rsidRPr="003C392F">
              <w:rPr>
                <w:rFonts w:eastAsia="Calibri"/>
                <w:b/>
                <w:bCs/>
              </w:rPr>
              <w:t>153 850</w:t>
            </w:r>
          </w:p>
        </w:tc>
        <w:tc>
          <w:tcPr>
            <w:tcW w:w="350" w:type="pct"/>
            <w:tcBorders>
              <w:top w:val="single" w:sz="8" w:space="0" w:color="auto"/>
              <w:left w:val="nil"/>
              <w:bottom w:val="single" w:sz="8" w:space="0" w:color="auto"/>
              <w:right w:val="nil"/>
            </w:tcBorders>
            <w:shd w:val="clear" w:color="auto" w:fill="auto"/>
            <w:noWrap/>
            <w:vAlign w:val="center"/>
            <w:hideMark/>
          </w:tcPr>
          <w:p w14:paraId="7049DF20" w14:textId="77777777" w:rsidR="005455C2" w:rsidRPr="003C392F" w:rsidRDefault="005455C2" w:rsidP="00C33BCC">
            <w:pPr>
              <w:spacing w:before="60" w:after="60"/>
              <w:jc w:val="right"/>
              <w:rPr>
                <w:rFonts w:eastAsia="Calibri"/>
                <w:b/>
                <w:bCs/>
              </w:rPr>
            </w:pPr>
            <w:r w:rsidRPr="003C392F">
              <w:rPr>
                <w:rFonts w:eastAsia="Calibri"/>
                <w:b/>
                <w:bCs/>
              </w:rPr>
              <w:t>152 682</w:t>
            </w:r>
          </w:p>
        </w:tc>
        <w:tc>
          <w:tcPr>
            <w:tcW w:w="350" w:type="pct"/>
            <w:tcBorders>
              <w:top w:val="single" w:sz="8" w:space="0" w:color="auto"/>
              <w:left w:val="nil"/>
              <w:bottom w:val="single" w:sz="8" w:space="0" w:color="auto"/>
              <w:right w:val="nil"/>
            </w:tcBorders>
            <w:shd w:val="clear" w:color="auto" w:fill="auto"/>
            <w:noWrap/>
            <w:vAlign w:val="center"/>
            <w:hideMark/>
          </w:tcPr>
          <w:p w14:paraId="5D01C9A8" w14:textId="77777777" w:rsidR="005455C2" w:rsidRPr="003C392F" w:rsidRDefault="005455C2" w:rsidP="00C33BCC">
            <w:pPr>
              <w:spacing w:before="60" w:after="60"/>
              <w:jc w:val="right"/>
              <w:rPr>
                <w:rFonts w:eastAsia="Calibri"/>
                <w:b/>
                <w:bCs/>
              </w:rPr>
            </w:pPr>
            <w:r w:rsidRPr="003C392F">
              <w:rPr>
                <w:rFonts w:eastAsia="Calibri"/>
                <w:b/>
                <w:bCs/>
              </w:rPr>
              <w:t>151 436</w:t>
            </w:r>
          </w:p>
        </w:tc>
        <w:tc>
          <w:tcPr>
            <w:tcW w:w="349" w:type="pct"/>
            <w:tcBorders>
              <w:top w:val="single" w:sz="8" w:space="0" w:color="auto"/>
              <w:left w:val="nil"/>
              <w:bottom w:val="single" w:sz="8" w:space="0" w:color="auto"/>
              <w:right w:val="nil"/>
            </w:tcBorders>
            <w:shd w:val="clear" w:color="auto" w:fill="auto"/>
            <w:noWrap/>
            <w:vAlign w:val="center"/>
            <w:hideMark/>
          </w:tcPr>
          <w:p w14:paraId="28A215C3" w14:textId="77777777" w:rsidR="005455C2" w:rsidRPr="003C392F" w:rsidRDefault="005455C2" w:rsidP="00C33BCC">
            <w:pPr>
              <w:spacing w:before="60" w:after="60"/>
              <w:jc w:val="right"/>
              <w:rPr>
                <w:rFonts w:eastAsia="Calibri"/>
                <w:b/>
                <w:bCs/>
              </w:rPr>
            </w:pPr>
            <w:r w:rsidRPr="003C392F">
              <w:rPr>
                <w:rFonts w:eastAsia="Calibri"/>
                <w:b/>
                <w:bCs/>
              </w:rPr>
              <w:t>151 175</w:t>
            </w:r>
          </w:p>
        </w:tc>
        <w:tc>
          <w:tcPr>
            <w:tcW w:w="348" w:type="pct"/>
            <w:tcBorders>
              <w:top w:val="single" w:sz="8" w:space="0" w:color="auto"/>
              <w:left w:val="nil"/>
              <w:bottom w:val="single" w:sz="8" w:space="0" w:color="auto"/>
              <w:right w:val="nil"/>
            </w:tcBorders>
            <w:shd w:val="clear" w:color="auto" w:fill="auto"/>
            <w:noWrap/>
            <w:vAlign w:val="center"/>
            <w:hideMark/>
          </w:tcPr>
          <w:p w14:paraId="6D29AA9C" w14:textId="77777777" w:rsidR="005455C2" w:rsidRPr="003C392F" w:rsidRDefault="005455C2" w:rsidP="00C33BCC">
            <w:pPr>
              <w:spacing w:before="60" w:after="60"/>
              <w:jc w:val="right"/>
              <w:rPr>
                <w:rFonts w:eastAsia="Calibri"/>
                <w:b/>
                <w:bCs/>
              </w:rPr>
            </w:pPr>
            <w:r w:rsidRPr="003C392F">
              <w:rPr>
                <w:rFonts w:eastAsia="Calibri"/>
                <w:b/>
                <w:bCs/>
              </w:rPr>
              <w:t>151 175</w:t>
            </w:r>
          </w:p>
        </w:tc>
        <w:tc>
          <w:tcPr>
            <w:tcW w:w="340" w:type="pct"/>
            <w:tcBorders>
              <w:top w:val="single" w:sz="8" w:space="0" w:color="auto"/>
              <w:left w:val="nil"/>
              <w:bottom w:val="single" w:sz="8" w:space="0" w:color="auto"/>
              <w:right w:val="nil"/>
            </w:tcBorders>
            <w:shd w:val="clear" w:color="auto" w:fill="auto"/>
            <w:noWrap/>
            <w:vAlign w:val="center"/>
            <w:hideMark/>
          </w:tcPr>
          <w:p w14:paraId="72831B87" w14:textId="77777777" w:rsidR="005455C2" w:rsidRPr="003C392F" w:rsidRDefault="005455C2" w:rsidP="00C33BCC">
            <w:pPr>
              <w:spacing w:before="60" w:after="60"/>
              <w:jc w:val="right"/>
              <w:rPr>
                <w:rFonts w:eastAsia="Calibri"/>
                <w:b/>
                <w:bCs/>
              </w:rPr>
            </w:pPr>
            <w:r w:rsidRPr="003C392F">
              <w:rPr>
                <w:rFonts w:eastAsia="Calibri"/>
                <w:b/>
                <w:bCs/>
              </w:rPr>
              <w:t>151 175</w:t>
            </w:r>
          </w:p>
        </w:tc>
        <w:tc>
          <w:tcPr>
            <w:tcW w:w="639" w:type="pct"/>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2AC409CC" w14:textId="77777777" w:rsidR="005455C2" w:rsidRPr="003C392F" w:rsidRDefault="005455C2" w:rsidP="00C33BCC">
            <w:pPr>
              <w:spacing w:before="60" w:after="60"/>
              <w:jc w:val="right"/>
              <w:rPr>
                <w:rFonts w:eastAsia="Calibri"/>
                <w:b/>
                <w:bCs/>
              </w:rPr>
            </w:pPr>
            <w:r w:rsidRPr="003C392F">
              <w:rPr>
                <w:rFonts w:eastAsia="Calibri"/>
                <w:b/>
                <w:bCs/>
              </w:rPr>
              <w:t>1 065 558</w:t>
            </w:r>
          </w:p>
        </w:tc>
      </w:tr>
    </w:tbl>
    <w:p w14:paraId="6FAE7FDD" w14:textId="3E3E535A" w:rsidR="005455C2" w:rsidRPr="003C392F" w:rsidRDefault="005455C2" w:rsidP="005455C2">
      <w:pPr>
        <w:jc w:val="center"/>
      </w:pPr>
      <w:r w:rsidRPr="003C392F">
        <w:br w:type="page"/>
      </w:r>
      <w:r w:rsidRPr="003C392F">
        <w:lastRenderedPageBreak/>
        <w:t>ALLEGATO 2</w:t>
      </w:r>
      <w:r w:rsidR="00C015C4" w:rsidRPr="003C392F">
        <w:br/>
      </w:r>
      <w:r w:rsidRPr="003C392F">
        <w:t xml:space="preserve">ADEGUAMENTO SPECIFICO DEI PROGRAMMI </w:t>
      </w:r>
      <w:r w:rsidRPr="003C392F">
        <w:rPr>
          <w:noProof/>
        </w:rPr>
        <w:t>–</w:t>
      </w:r>
      <w:r w:rsidRPr="003C392F">
        <w:t xml:space="preserve"> ELENCO DEI PROGRAMMI, CRITERIO DI RIPARTIZIONE E DOTAZIONE AGGIUNTIVA TOTALE DEGLI STANZIAMENTI DI IMPEGNO</w:t>
      </w:r>
    </w:p>
    <w:tbl>
      <w:tblPr>
        <w:tblW w:w="5000" w:type="pct"/>
        <w:tblLook w:val="04A0" w:firstRow="1" w:lastRow="0" w:firstColumn="1" w:lastColumn="0" w:noHBand="0" w:noVBand="1"/>
      </w:tblPr>
      <w:tblGrid>
        <w:gridCol w:w="5679"/>
        <w:gridCol w:w="2159"/>
        <w:gridCol w:w="2297"/>
        <w:gridCol w:w="4151"/>
      </w:tblGrid>
      <w:tr w:rsidR="005455C2" w:rsidRPr="003C392F" w14:paraId="4DB17864" w14:textId="77777777" w:rsidTr="00C33BCC">
        <w:trPr>
          <w:trHeight w:val="20"/>
        </w:trPr>
        <w:tc>
          <w:tcPr>
            <w:tcW w:w="1810" w:type="pct"/>
            <w:tcBorders>
              <w:bottom w:val="single" w:sz="8" w:space="0" w:color="auto"/>
            </w:tcBorders>
            <w:noWrap/>
            <w:hideMark/>
          </w:tcPr>
          <w:p w14:paraId="146C2F82" w14:textId="77777777" w:rsidR="005455C2" w:rsidRPr="003C392F" w:rsidRDefault="005455C2" w:rsidP="00C33BCC">
            <w:pPr>
              <w:spacing w:before="60" w:after="60"/>
            </w:pPr>
          </w:p>
        </w:tc>
        <w:tc>
          <w:tcPr>
            <w:tcW w:w="815" w:type="pct"/>
            <w:tcBorders>
              <w:bottom w:val="single" w:sz="8" w:space="0" w:color="auto"/>
            </w:tcBorders>
            <w:noWrap/>
            <w:hideMark/>
          </w:tcPr>
          <w:p w14:paraId="15674933" w14:textId="77777777" w:rsidR="005455C2" w:rsidRPr="003C392F" w:rsidRDefault="005455C2" w:rsidP="00C33BCC">
            <w:pPr>
              <w:spacing w:before="60" w:after="60"/>
            </w:pPr>
          </w:p>
        </w:tc>
        <w:tc>
          <w:tcPr>
            <w:tcW w:w="863" w:type="pct"/>
            <w:tcBorders>
              <w:bottom w:val="single" w:sz="8" w:space="0" w:color="auto"/>
            </w:tcBorders>
          </w:tcPr>
          <w:p w14:paraId="366FDB21" w14:textId="77777777" w:rsidR="005455C2" w:rsidRPr="003C392F" w:rsidRDefault="005455C2" w:rsidP="00C33BCC">
            <w:pPr>
              <w:spacing w:before="60" w:after="60"/>
              <w:jc w:val="right"/>
            </w:pPr>
          </w:p>
        </w:tc>
        <w:tc>
          <w:tcPr>
            <w:tcW w:w="1512" w:type="pct"/>
            <w:tcBorders>
              <w:bottom w:val="single" w:sz="8" w:space="0" w:color="auto"/>
            </w:tcBorders>
            <w:noWrap/>
            <w:hideMark/>
          </w:tcPr>
          <w:p w14:paraId="7C366444" w14:textId="77777777" w:rsidR="005455C2" w:rsidRPr="003C392F" w:rsidRDefault="005455C2" w:rsidP="00C33BCC">
            <w:pPr>
              <w:spacing w:before="60" w:after="60"/>
              <w:jc w:val="right"/>
            </w:pPr>
            <w:r w:rsidRPr="003C392F">
              <w:t xml:space="preserve">(milioni di </w:t>
            </w:r>
            <w:r w:rsidRPr="003C392F">
              <w:rPr>
                <w:i/>
                <w:iCs/>
              </w:rPr>
              <w:t>EUR– prezzi 2018</w:t>
            </w:r>
            <w:r w:rsidRPr="003C392F">
              <w:t>)</w:t>
            </w:r>
          </w:p>
        </w:tc>
      </w:tr>
      <w:tr w:rsidR="005455C2" w:rsidRPr="003C392F" w14:paraId="78CEA97B" w14:textId="77777777" w:rsidTr="00C33BCC">
        <w:trPr>
          <w:trHeight w:val="20"/>
        </w:trPr>
        <w:tc>
          <w:tcPr>
            <w:tcW w:w="1810" w:type="pct"/>
            <w:tcBorders>
              <w:top w:val="single" w:sz="8" w:space="0" w:color="auto"/>
              <w:bottom w:val="single" w:sz="8" w:space="0" w:color="auto"/>
            </w:tcBorders>
            <w:noWrap/>
            <w:hideMark/>
          </w:tcPr>
          <w:p w14:paraId="2C647F8D" w14:textId="77777777" w:rsidR="005455C2" w:rsidRPr="003C392F" w:rsidRDefault="005455C2" w:rsidP="00C33BCC">
            <w:pPr>
              <w:spacing w:before="60" w:after="60"/>
              <w:jc w:val="center"/>
            </w:pPr>
          </w:p>
        </w:tc>
        <w:tc>
          <w:tcPr>
            <w:tcW w:w="1678" w:type="pct"/>
            <w:gridSpan w:val="2"/>
            <w:tcBorders>
              <w:top w:val="single" w:sz="4" w:space="0" w:color="auto"/>
              <w:bottom w:val="single" w:sz="8" w:space="0" w:color="auto"/>
            </w:tcBorders>
            <w:noWrap/>
            <w:hideMark/>
          </w:tcPr>
          <w:p w14:paraId="267E1B4B" w14:textId="77777777" w:rsidR="005455C2" w:rsidRPr="003C392F" w:rsidRDefault="005455C2" w:rsidP="00C33BCC">
            <w:pPr>
              <w:spacing w:before="60" w:after="60"/>
              <w:jc w:val="center"/>
            </w:pPr>
            <w:r w:rsidRPr="003C392F">
              <w:t>Criterio di ripartizione</w:t>
            </w:r>
          </w:p>
        </w:tc>
        <w:tc>
          <w:tcPr>
            <w:tcW w:w="1512" w:type="pct"/>
            <w:tcBorders>
              <w:top w:val="single" w:sz="8" w:space="0" w:color="auto"/>
              <w:bottom w:val="single" w:sz="8" w:space="0" w:color="auto"/>
            </w:tcBorders>
            <w:hideMark/>
          </w:tcPr>
          <w:p w14:paraId="4EE9C245" w14:textId="77777777" w:rsidR="005455C2" w:rsidRPr="003C392F" w:rsidRDefault="005455C2" w:rsidP="00C33BCC">
            <w:pPr>
              <w:spacing w:before="60" w:after="60"/>
              <w:jc w:val="center"/>
            </w:pPr>
            <w:r w:rsidRPr="003C392F">
              <w:t>Dotazione aggiuntiva totale degli stanziamenti di impegno a norma dell'articolo 5</w:t>
            </w:r>
          </w:p>
        </w:tc>
      </w:tr>
      <w:tr w:rsidR="005455C2" w:rsidRPr="003C392F" w14:paraId="2F97E6C5" w14:textId="77777777" w:rsidTr="00C33BCC">
        <w:trPr>
          <w:trHeight w:val="20"/>
        </w:trPr>
        <w:tc>
          <w:tcPr>
            <w:tcW w:w="1810" w:type="pct"/>
            <w:tcBorders>
              <w:top w:val="single" w:sz="8" w:space="0" w:color="auto"/>
            </w:tcBorders>
            <w:noWrap/>
          </w:tcPr>
          <w:p w14:paraId="2B48BA69" w14:textId="77777777" w:rsidR="005455C2" w:rsidRPr="003C392F" w:rsidRDefault="005455C2" w:rsidP="00C33BCC">
            <w:pPr>
              <w:spacing w:before="60" w:after="60"/>
              <w:jc w:val="center"/>
            </w:pPr>
          </w:p>
        </w:tc>
        <w:tc>
          <w:tcPr>
            <w:tcW w:w="815" w:type="pct"/>
            <w:tcBorders>
              <w:top w:val="single" w:sz="8" w:space="0" w:color="auto"/>
            </w:tcBorders>
            <w:noWrap/>
          </w:tcPr>
          <w:p w14:paraId="2024292F" w14:textId="77777777" w:rsidR="005455C2" w:rsidRPr="003C392F" w:rsidRDefault="005455C2" w:rsidP="00C33BCC">
            <w:pPr>
              <w:spacing w:before="60" w:after="60"/>
              <w:jc w:val="center"/>
              <w:rPr>
                <w:b/>
              </w:rPr>
            </w:pPr>
            <w:r w:rsidRPr="003C392F">
              <w:rPr>
                <w:b/>
              </w:rPr>
              <w:t>2022-2024</w:t>
            </w:r>
          </w:p>
        </w:tc>
        <w:tc>
          <w:tcPr>
            <w:tcW w:w="863" w:type="pct"/>
            <w:tcBorders>
              <w:top w:val="single" w:sz="8" w:space="0" w:color="auto"/>
            </w:tcBorders>
          </w:tcPr>
          <w:p w14:paraId="264CBE27" w14:textId="77777777" w:rsidR="005455C2" w:rsidRPr="003C392F" w:rsidRDefault="005455C2" w:rsidP="00C33BCC">
            <w:pPr>
              <w:spacing w:before="60" w:after="60"/>
              <w:jc w:val="center"/>
              <w:rPr>
                <w:b/>
              </w:rPr>
            </w:pPr>
            <w:r w:rsidRPr="003C392F">
              <w:rPr>
                <w:b/>
              </w:rPr>
              <w:t>2025-2027</w:t>
            </w:r>
          </w:p>
        </w:tc>
        <w:tc>
          <w:tcPr>
            <w:tcW w:w="1512" w:type="pct"/>
            <w:tcBorders>
              <w:top w:val="single" w:sz="8" w:space="0" w:color="auto"/>
            </w:tcBorders>
          </w:tcPr>
          <w:p w14:paraId="69279BFB" w14:textId="77777777" w:rsidR="005455C2" w:rsidRPr="003C392F" w:rsidRDefault="005455C2" w:rsidP="00C33BCC">
            <w:pPr>
              <w:spacing w:before="60" w:after="60"/>
              <w:jc w:val="center"/>
            </w:pPr>
          </w:p>
        </w:tc>
      </w:tr>
      <w:tr w:rsidR="005455C2" w:rsidRPr="003C392F" w14:paraId="737BBA9A" w14:textId="77777777" w:rsidTr="00C33BCC">
        <w:trPr>
          <w:trHeight w:val="20"/>
        </w:trPr>
        <w:tc>
          <w:tcPr>
            <w:tcW w:w="1810" w:type="pct"/>
            <w:noWrap/>
            <w:hideMark/>
          </w:tcPr>
          <w:p w14:paraId="717CCD55" w14:textId="77777777" w:rsidR="005455C2" w:rsidRPr="003C392F" w:rsidRDefault="005455C2" w:rsidP="00C33BCC">
            <w:pPr>
              <w:pStyle w:val="Point0"/>
              <w:spacing w:before="60" w:after="60" w:line="240" w:lineRule="auto"/>
              <w:rPr>
                <w:b/>
                <w:bCs/>
              </w:rPr>
            </w:pPr>
            <w:r w:rsidRPr="003C392F">
              <w:rPr>
                <w:b/>
                <w:bCs/>
              </w:rPr>
              <w:t>1.</w:t>
            </w:r>
            <w:r w:rsidRPr="003C392F">
              <w:rPr>
                <w:b/>
                <w:bCs/>
              </w:rPr>
              <w:tab/>
              <w:t>Mercato unico, innovazione e agenda digitale</w:t>
            </w:r>
          </w:p>
        </w:tc>
        <w:tc>
          <w:tcPr>
            <w:tcW w:w="815" w:type="pct"/>
            <w:noWrap/>
            <w:hideMark/>
          </w:tcPr>
          <w:p w14:paraId="5BDE37CE" w14:textId="77777777" w:rsidR="005455C2" w:rsidRPr="003C392F" w:rsidRDefault="005455C2" w:rsidP="00C33BCC">
            <w:pPr>
              <w:spacing w:before="60" w:after="60"/>
              <w:ind w:right="567"/>
              <w:jc w:val="right"/>
              <w:rPr>
                <w:b/>
              </w:rPr>
            </w:pPr>
            <w:r w:rsidRPr="003C392F">
              <w:rPr>
                <w:b/>
              </w:rPr>
              <w:t>36,36 %</w:t>
            </w:r>
          </w:p>
        </w:tc>
        <w:tc>
          <w:tcPr>
            <w:tcW w:w="863" w:type="pct"/>
          </w:tcPr>
          <w:p w14:paraId="770FB279" w14:textId="77777777" w:rsidR="005455C2" w:rsidRPr="003C392F" w:rsidRDefault="005455C2" w:rsidP="00C33BCC">
            <w:pPr>
              <w:spacing w:before="60" w:after="60"/>
              <w:ind w:right="567"/>
              <w:jc w:val="right"/>
              <w:rPr>
                <w:b/>
              </w:rPr>
            </w:pPr>
            <w:r w:rsidRPr="003C392F">
              <w:rPr>
                <w:b/>
              </w:rPr>
              <w:t>41,79 %</w:t>
            </w:r>
          </w:p>
        </w:tc>
        <w:tc>
          <w:tcPr>
            <w:tcW w:w="1512" w:type="pct"/>
            <w:noWrap/>
            <w:hideMark/>
          </w:tcPr>
          <w:p w14:paraId="303EC797" w14:textId="77777777" w:rsidR="005455C2" w:rsidRPr="003C392F" w:rsidRDefault="005455C2" w:rsidP="00C33BCC">
            <w:pPr>
              <w:spacing w:before="60" w:after="60"/>
              <w:ind w:right="1134"/>
              <w:jc w:val="right"/>
              <w:rPr>
                <w:b/>
              </w:rPr>
            </w:pPr>
            <w:r w:rsidRPr="003C392F">
              <w:rPr>
                <w:b/>
              </w:rPr>
              <w:t>4 000</w:t>
            </w:r>
          </w:p>
        </w:tc>
      </w:tr>
      <w:tr w:rsidR="005455C2" w:rsidRPr="003C392F" w14:paraId="56DD0EF0" w14:textId="77777777" w:rsidTr="00C33BCC">
        <w:trPr>
          <w:trHeight w:val="20"/>
        </w:trPr>
        <w:tc>
          <w:tcPr>
            <w:tcW w:w="1810" w:type="pct"/>
            <w:noWrap/>
            <w:hideMark/>
          </w:tcPr>
          <w:p w14:paraId="6CB2A279" w14:textId="77777777" w:rsidR="005455C2" w:rsidRPr="003C392F" w:rsidRDefault="005455C2" w:rsidP="00C33BCC">
            <w:pPr>
              <w:pStyle w:val="Text1"/>
              <w:spacing w:before="60" w:after="60" w:line="240" w:lineRule="auto"/>
            </w:pPr>
            <w:r w:rsidRPr="003C392F">
              <w:t>Orizzonte Europa</w:t>
            </w:r>
          </w:p>
        </w:tc>
        <w:tc>
          <w:tcPr>
            <w:tcW w:w="815" w:type="pct"/>
            <w:noWrap/>
            <w:hideMark/>
          </w:tcPr>
          <w:p w14:paraId="1C0FF7F7" w14:textId="77777777" w:rsidR="005455C2" w:rsidRPr="003C392F" w:rsidRDefault="005455C2" w:rsidP="00C33BCC">
            <w:pPr>
              <w:spacing w:before="60" w:after="60"/>
              <w:ind w:left="-156" w:right="567" w:firstLine="156"/>
              <w:jc w:val="right"/>
            </w:pPr>
            <w:r w:rsidRPr="003C392F">
              <w:t>27,27 %</w:t>
            </w:r>
          </w:p>
        </w:tc>
        <w:tc>
          <w:tcPr>
            <w:tcW w:w="863" w:type="pct"/>
          </w:tcPr>
          <w:p w14:paraId="2BA889E3" w14:textId="77777777" w:rsidR="005455C2" w:rsidRPr="003C392F" w:rsidRDefault="005455C2" w:rsidP="00C33BCC">
            <w:pPr>
              <w:spacing w:before="60" w:after="60"/>
              <w:ind w:right="567"/>
              <w:jc w:val="right"/>
            </w:pPr>
            <w:r w:rsidRPr="003C392F">
              <w:t>31</w:t>
            </w:r>
            <w:r w:rsidRPr="003C392F">
              <w:rPr>
                <w:bCs/>
              </w:rPr>
              <w:t>,</w:t>
            </w:r>
            <w:r w:rsidRPr="003C392F">
              <w:t>34 %</w:t>
            </w:r>
          </w:p>
        </w:tc>
        <w:tc>
          <w:tcPr>
            <w:tcW w:w="1512" w:type="pct"/>
            <w:noWrap/>
            <w:hideMark/>
          </w:tcPr>
          <w:p w14:paraId="7BBE840E" w14:textId="77777777" w:rsidR="005455C2" w:rsidRPr="003C392F" w:rsidRDefault="005455C2" w:rsidP="00C33BCC">
            <w:pPr>
              <w:spacing w:before="60" w:after="60"/>
              <w:ind w:right="1134"/>
              <w:jc w:val="right"/>
            </w:pPr>
            <w:r w:rsidRPr="003C392F">
              <w:t>3 000</w:t>
            </w:r>
          </w:p>
        </w:tc>
      </w:tr>
      <w:tr w:rsidR="005455C2" w:rsidRPr="003C392F" w14:paraId="2F7A31D3" w14:textId="77777777" w:rsidTr="00C33BCC">
        <w:trPr>
          <w:trHeight w:val="20"/>
        </w:trPr>
        <w:tc>
          <w:tcPr>
            <w:tcW w:w="1810" w:type="pct"/>
            <w:noWrap/>
            <w:hideMark/>
          </w:tcPr>
          <w:p w14:paraId="7992DEC8" w14:textId="77777777" w:rsidR="005455C2" w:rsidRPr="003C392F" w:rsidRDefault="005455C2" w:rsidP="00C33BCC">
            <w:pPr>
              <w:pStyle w:val="Text1"/>
              <w:spacing w:before="60" w:after="60" w:line="240" w:lineRule="auto"/>
            </w:pPr>
            <w:r w:rsidRPr="003C392F">
              <w:t xml:space="preserve">Fondo InvestEU </w:t>
            </w:r>
          </w:p>
        </w:tc>
        <w:tc>
          <w:tcPr>
            <w:tcW w:w="815" w:type="pct"/>
            <w:noWrap/>
            <w:hideMark/>
          </w:tcPr>
          <w:p w14:paraId="12799772" w14:textId="77777777" w:rsidR="005455C2" w:rsidRPr="003C392F" w:rsidRDefault="005455C2" w:rsidP="00C33BCC">
            <w:pPr>
              <w:spacing w:before="60" w:after="60"/>
              <w:ind w:right="567"/>
              <w:jc w:val="right"/>
            </w:pPr>
            <w:r w:rsidRPr="003C392F">
              <w:t>9,09 %</w:t>
            </w:r>
          </w:p>
        </w:tc>
        <w:tc>
          <w:tcPr>
            <w:tcW w:w="863" w:type="pct"/>
          </w:tcPr>
          <w:p w14:paraId="5DB39C65" w14:textId="77777777" w:rsidR="005455C2" w:rsidRPr="003C392F" w:rsidRDefault="005455C2" w:rsidP="00C33BCC">
            <w:pPr>
              <w:spacing w:before="60" w:after="60"/>
              <w:ind w:right="567"/>
              <w:jc w:val="right"/>
            </w:pPr>
            <w:r w:rsidRPr="003C392F">
              <w:t>10</w:t>
            </w:r>
            <w:r w:rsidRPr="003C392F">
              <w:rPr>
                <w:bCs/>
              </w:rPr>
              <w:t>,</w:t>
            </w:r>
            <w:r w:rsidRPr="003C392F">
              <w:t>45 %</w:t>
            </w:r>
          </w:p>
        </w:tc>
        <w:tc>
          <w:tcPr>
            <w:tcW w:w="1512" w:type="pct"/>
            <w:noWrap/>
            <w:hideMark/>
          </w:tcPr>
          <w:p w14:paraId="4E83C06F" w14:textId="77777777" w:rsidR="005455C2" w:rsidRPr="003C392F" w:rsidRDefault="005455C2" w:rsidP="00C33BCC">
            <w:pPr>
              <w:spacing w:before="60" w:after="60"/>
              <w:ind w:right="1134"/>
              <w:jc w:val="right"/>
            </w:pPr>
            <w:r w:rsidRPr="003C392F">
              <w:t>1 000</w:t>
            </w:r>
          </w:p>
        </w:tc>
      </w:tr>
      <w:tr w:rsidR="005455C2" w:rsidRPr="003C392F" w14:paraId="0B66D8B1" w14:textId="77777777" w:rsidTr="00C33BCC">
        <w:trPr>
          <w:trHeight w:val="20"/>
        </w:trPr>
        <w:tc>
          <w:tcPr>
            <w:tcW w:w="1810" w:type="pct"/>
            <w:noWrap/>
            <w:hideMark/>
          </w:tcPr>
          <w:p w14:paraId="7DD63AC6" w14:textId="77777777" w:rsidR="005455C2" w:rsidRPr="003C392F" w:rsidRDefault="005455C2" w:rsidP="00C33BCC">
            <w:pPr>
              <w:pStyle w:val="Point0"/>
              <w:spacing w:before="60" w:after="60" w:line="240" w:lineRule="auto"/>
              <w:rPr>
                <w:b/>
                <w:bCs/>
              </w:rPr>
            </w:pPr>
            <w:r w:rsidRPr="003C392F">
              <w:rPr>
                <w:b/>
                <w:bCs/>
              </w:rPr>
              <w:t>2b.</w:t>
            </w:r>
            <w:r w:rsidRPr="003C392F">
              <w:rPr>
                <w:b/>
                <w:bCs/>
              </w:rPr>
              <w:tab/>
              <w:t>Resilienza e valori</w:t>
            </w:r>
          </w:p>
        </w:tc>
        <w:tc>
          <w:tcPr>
            <w:tcW w:w="815" w:type="pct"/>
            <w:noWrap/>
            <w:hideMark/>
          </w:tcPr>
          <w:p w14:paraId="1E99B6F1" w14:textId="77777777" w:rsidR="005455C2" w:rsidRPr="003C392F" w:rsidRDefault="005455C2" w:rsidP="00C33BCC">
            <w:pPr>
              <w:spacing w:before="60" w:after="60"/>
              <w:ind w:right="567"/>
              <w:jc w:val="right"/>
              <w:rPr>
                <w:b/>
              </w:rPr>
            </w:pPr>
            <w:r w:rsidRPr="003C392F">
              <w:rPr>
                <w:b/>
              </w:rPr>
              <w:t>54,55 %</w:t>
            </w:r>
          </w:p>
        </w:tc>
        <w:tc>
          <w:tcPr>
            <w:tcW w:w="863" w:type="pct"/>
          </w:tcPr>
          <w:p w14:paraId="0A0BFC84" w14:textId="77777777" w:rsidR="005455C2" w:rsidRPr="003C392F" w:rsidRDefault="005455C2" w:rsidP="00C33BCC">
            <w:pPr>
              <w:spacing w:before="60" w:after="60"/>
              <w:ind w:right="567"/>
              <w:jc w:val="right"/>
              <w:rPr>
                <w:b/>
              </w:rPr>
            </w:pPr>
            <w:r w:rsidRPr="003C392F">
              <w:rPr>
                <w:b/>
              </w:rPr>
              <w:t>47,76 %</w:t>
            </w:r>
          </w:p>
        </w:tc>
        <w:tc>
          <w:tcPr>
            <w:tcW w:w="1512" w:type="pct"/>
            <w:noWrap/>
            <w:hideMark/>
          </w:tcPr>
          <w:p w14:paraId="08E319F1" w14:textId="77777777" w:rsidR="005455C2" w:rsidRPr="003C392F" w:rsidRDefault="005455C2" w:rsidP="00C33BCC">
            <w:pPr>
              <w:spacing w:before="60" w:after="60"/>
              <w:ind w:right="1134"/>
              <w:jc w:val="right"/>
              <w:rPr>
                <w:b/>
                <w:strike/>
              </w:rPr>
            </w:pPr>
            <w:r w:rsidRPr="003C392F">
              <w:rPr>
                <w:b/>
              </w:rPr>
              <w:t>5 155</w:t>
            </w:r>
          </w:p>
        </w:tc>
      </w:tr>
      <w:tr w:rsidR="005455C2" w:rsidRPr="003C392F" w14:paraId="45338823" w14:textId="77777777" w:rsidTr="00C33BCC">
        <w:trPr>
          <w:trHeight w:val="20"/>
        </w:trPr>
        <w:tc>
          <w:tcPr>
            <w:tcW w:w="1810" w:type="pct"/>
            <w:noWrap/>
            <w:hideMark/>
          </w:tcPr>
          <w:p w14:paraId="0393C33D" w14:textId="77777777" w:rsidR="005455C2" w:rsidRPr="003C392F" w:rsidRDefault="005455C2" w:rsidP="00C33BCC">
            <w:pPr>
              <w:pStyle w:val="Text1"/>
              <w:spacing w:before="60" w:after="60" w:line="240" w:lineRule="auto"/>
            </w:pPr>
            <w:r w:rsidRPr="003C392F">
              <w:t>UE per la salute (EU4Health)</w:t>
            </w:r>
          </w:p>
        </w:tc>
        <w:tc>
          <w:tcPr>
            <w:tcW w:w="815" w:type="pct"/>
            <w:noWrap/>
            <w:hideMark/>
          </w:tcPr>
          <w:p w14:paraId="56B5B2D5" w14:textId="77777777" w:rsidR="005455C2" w:rsidRPr="003C392F" w:rsidRDefault="005455C2" w:rsidP="00C33BCC">
            <w:pPr>
              <w:spacing w:before="60" w:after="60"/>
              <w:ind w:right="567"/>
              <w:jc w:val="right"/>
            </w:pPr>
            <w:r w:rsidRPr="003C392F">
              <w:t>26,37 %</w:t>
            </w:r>
          </w:p>
        </w:tc>
        <w:tc>
          <w:tcPr>
            <w:tcW w:w="863" w:type="pct"/>
          </w:tcPr>
          <w:p w14:paraId="139A6DA6" w14:textId="77777777" w:rsidR="005455C2" w:rsidRPr="003C392F" w:rsidRDefault="005455C2" w:rsidP="00C33BCC">
            <w:pPr>
              <w:spacing w:before="60" w:after="60"/>
              <w:ind w:right="567"/>
              <w:jc w:val="right"/>
            </w:pPr>
            <w:r w:rsidRPr="003C392F">
              <w:t>15</w:t>
            </w:r>
            <w:r w:rsidRPr="003C392F">
              <w:rPr>
                <w:bCs/>
              </w:rPr>
              <w:t>,</w:t>
            </w:r>
            <w:r w:rsidRPr="003C392F">
              <w:t>37 %</w:t>
            </w:r>
          </w:p>
        </w:tc>
        <w:tc>
          <w:tcPr>
            <w:tcW w:w="1512" w:type="pct"/>
            <w:noWrap/>
            <w:hideMark/>
          </w:tcPr>
          <w:p w14:paraId="266D2BBC" w14:textId="77777777" w:rsidR="005455C2" w:rsidRPr="003C392F" w:rsidRDefault="005455C2" w:rsidP="00C33BCC">
            <w:pPr>
              <w:spacing w:before="60" w:after="60"/>
              <w:ind w:right="1134"/>
              <w:jc w:val="right"/>
              <w:rPr>
                <w:bCs/>
                <w:strike/>
              </w:rPr>
            </w:pPr>
            <w:r w:rsidRPr="003C392F">
              <w:rPr>
                <w:bCs/>
              </w:rPr>
              <w:t>2 055</w:t>
            </w:r>
          </w:p>
        </w:tc>
      </w:tr>
      <w:tr w:rsidR="005455C2" w:rsidRPr="003C392F" w14:paraId="09A7457D" w14:textId="77777777" w:rsidTr="00C33BCC">
        <w:trPr>
          <w:trHeight w:val="20"/>
        </w:trPr>
        <w:tc>
          <w:tcPr>
            <w:tcW w:w="1810" w:type="pct"/>
            <w:noWrap/>
            <w:hideMark/>
          </w:tcPr>
          <w:p w14:paraId="64FA936F" w14:textId="77777777" w:rsidR="005455C2" w:rsidRPr="003C392F" w:rsidRDefault="005455C2" w:rsidP="00C33BCC">
            <w:pPr>
              <w:pStyle w:val="Text1"/>
              <w:spacing w:before="60" w:after="60" w:line="240" w:lineRule="auto"/>
            </w:pPr>
            <w:r w:rsidRPr="003C392F">
              <w:t>Erasmus+</w:t>
            </w:r>
          </w:p>
        </w:tc>
        <w:tc>
          <w:tcPr>
            <w:tcW w:w="815" w:type="pct"/>
            <w:noWrap/>
            <w:hideMark/>
          </w:tcPr>
          <w:p w14:paraId="7BF6F8AA" w14:textId="77777777" w:rsidR="005455C2" w:rsidRPr="003C392F" w:rsidRDefault="005455C2" w:rsidP="00C33BCC">
            <w:pPr>
              <w:spacing w:before="60" w:after="60"/>
              <w:ind w:right="567"/>
              <w:jc w:val="right"/>
            </w:pPr>
            <w:r w:rsidRPr="003C392F">
              <w:t>15,46 %</w:t>
            </w:r>
          </w:p>
        </w:tc>
        <w:tc>
          <w:tcPr>
            <w:tcW w:w="863" w:type="pct"/>
          </w:tcPr>
          <w:p w14:paraId="4CAE8ED0" w14:textId="77777777" w:rsidR="005455C2" w:rsidRPr="003C392F" w:rsidRDefault="005455C2" w:rsidP="00C33BCC">
            <w:pPr>
              <w:spacing w:before="60" w:after="60"/>
              <w:ind w:right="567"/>
              <w:jc w:val="right"/>
            </w:pPr>
            <w:r w:rsidRPr="003C392F">
              <w:t>17</w:t>
            </w:r>
            <w:r w:rsidRPr="003C392F">
              <w:rPr>
                <w:bCs/>
              </w:rPr>
              <w:t>,</w:t>
            </w:r>
            <w:r w:rsidRPr="003C392F">
              <w:t>77 %</w:t>
            </w:r>
          </w:p>
        </w:tc>
        <w:tc>
          <w:tcPr>
            <w:tcW w:w="1512" w:type="pct"/>
            <w:noWrap/>
            <w:hideMark/>
          </w:tcPr>
          <w:p w14:paraId="5FA9A18B" w14:textId="77777777" w:rsidR="005455C2" w:rsidRPr="003C392F" w:rsidRDefault="005455C2" w:rsidP="00C33BCC">
            <w:pPr>
              <w:spacing w:before="60" w:after="60"/>
              <w:ind w:right="1134"/>
              <w:jc w:val="right"/>
            </w:pPr>
            <w:r w:rsidRPr="003C392F">
              <w:t>1 700</w:t>
            </w:r>
          </w:p>
        </w:tc>
      </w:tr>
      <w:tr w:rsidR="005455C2" w:rsidRPr="003C392F" w14:paraId="6B5C45C0" w14:textId="77777777" w:rsidTr="00C33BCC">
        <w:trPr>
          <w:trHeight w:val="20"/>
        </w:trPr>
        <w:tc>
          <w:tcPr>
            <w:tcW w:w="1810" w:type="pct"/>
            <w:noWrap/>
            <w:hideMark/>
          </w:tcPr>
          <w:p w14:paraId="712186C7" w14:textId="77777777" w:rsidR="005455C2" w:rsidRPr="003C392F" w:rsidRDefault="005455C2" w:rsidP="00C33BCC">
            <w:pPr>
              <w:pStyle w:val="Text1"/>
              <w:spacing w:before="60" w:after="60" w:line="240" w:lineRule="auto"/>
            </w:pPr>
            <w:r w:rsidRPr="003C392F">
              <w:t>Europa creativa</w:t>
            </w:r>
          </w:p>
        </w:tc>
        <w:tc>
          <w:tcPr>
            <w:tcW w:w="815" w:type="pct"/>
            <w:noWrap/>
            <w:hideMark/>
          </w:tcPr>
          <w:p w14:paraId="2E3C6D3D" w14:textId="77777777" w:rsidR="005455C2" w:rsidRPr="003C392F" w:rsidRDefault="005455C2" w:rsidP="00C33BCC">
            <w:pPr>
              <w:spacing w:before="60" w:after="60"/>
              <w:ind w:right="567"/>
              <w:jc w:val="right"/>
            </w:pPr>
            <w:r w:rsidRPr="003C392F">
              <w:t>5,45 %</w:t>
            </w:r>
          </w:p>
        </w:tc>
        <w:tc>
          <w:tcPr>
            <w:tcW w:w="863" w:type="pct"/>
          </w:tcPr>
          <w:p w14:paraId="5F379B32" w14:textId="77777777" w:rsidR="005455C2" w:rsidRPr="003C392F" w:rsidRDefault="005455C2" w:rsidP="00C33BCC">
            <w:pPr>
              <w:spacing w:before="60" w:after="60"/>
              <w:ind w:right="567"/>
              <w:jc w:val="right"/>
            </w:pPr>
            <w:r w:rsidRPr="003C392F">
              <w:t>6</w:t>
            </w:r>
            <w:r w:rsidRPr="003C392F">
              <w:rPr>
                <w:bCs/>
              </w:rPr>
              <w:t>,</w:t>
            </w:r>
            <w:r w:rsidRPr="003C392F">
              <w:t>26 %</w:t>
            </w:r>
          </w:p>
        </w:tc>
        <w:tc>
          <w:tcPr>
            <w:tcW w:w="1512" w:type="pct"/>
            <w:noWrap/>
            <w:hideMark/>
          </w:tcPr>
          <w:p w14:paraId="7349A56D" w14:textId="77777777" w:rsidR="005455C2" w:rsidRPr="003C392F" w:rsidRDefault="005455C2" w:rsidP="00C33BCC">
            <w:pPr>
              <w:spacing w:before="60" w:after="60"/>
              <w:ind w:right="1134"/>
              <w:jc w:val="right"/>
            </w:pPr>
            <w:r w:rsidRPr="003C392F">
              <w:t>600</w:t>
            </w:r>
          </w:p>
        </w:tc>
      </w:tr>
      <w:tr w:rsidR="005455C2" w:rsidRPr="003C392F" w14:paraId="46738BAC" w14:textId="77777777" w:rsidTr="00C33BCC">
        <w:trPr>
          <w:trHeight w:val="20"/>
        </w:trPr>
        <w:tc>
          <w:tcPr>
            <w:tcW w:w="1810" w:type="pct"/>
            <w:noWrap/>
            <w:hideMark/>
          </w:tcPr>
          <w:p w14:paraId="4DECBA08" w14:textId="77777777" w:rsidR="005455C2" w:rsidRPr="003C392F" w:rsidRDefault="005455C2" w:rsidP="00C33BCC">
            <w:pPr>
              <w:pStyle w:val="Text1"/>
              <w:spacing w:before="60" w:after="60" w:line="240" w:lineRule="auto"/>
            </w:pPr>
            <w:r w:rsidRPr="003C392F">
              <w:t>Diritti e valori</w:t>
            </w:r>
          </w:p>
        </w:tc>
        <w:tc>
          <w:tcPr>
            <w:tcW w:w="815" w:type="pct"/>
            <w:noWrap/>
            <w:hideMark/>
          </w:tcPr>
          <w:p w14:paraId="0DA99250" w14:textId="77777777" w:rsidR="005455C2" w:rsidRPr="003C392F" w:rsidRDefault="005455C2" w:rsidP="00C33BCC">
            <w:pPr>
              <w:spacing w:before="60" w:after="60"/>
              <w:ind w:right="567"/>
              <w:jc w:val="right"/>
            </w:pPr>
            <w:r w:rsidRPr="003C392F">
              <w:t>7,27 %</w:t>
            </w:r>
          </w:p>
        </w:tc>
        <w:tc>
          <w:tcPr>
            <w:tcW w:w="863" w:type="pct"/>
          </w:tcPr>
          <w:p w14:paraId="3D5EAC87" w14:textId="77777777" w:rsidR="005455C2" w:rsidRPr="003C392F" w:rsidRDefault="005455C2" w:rsidP="00C33BCC">
            <w:pPr>
              <w:spacing w:before="60" w:after="60"/>
              <w:ind w:right="567"/>
              <w:jc w:val="right"/>
              <w:rPr>
                <w:b/>
              </w:rPr>
            </w:pPr>
            <w:r w:rsidRPr="003C392F">
              <w:rPr>
                <w:b/>
              </w:rPr>
              <w:t>8,36 %</w:t>
            </w:r>
          </w:p>
        </w:tc>
        <w:tc>
          <w:tcPr>
            <w:tcW w:w="1512" w:type="pct"/>
            <w:noWrap/>
            <w:hideMark/>
          </w:tcPr>
          <w:p w14:paraId="740D89FC" w14:textId="77777777" w:rsidR="005455C2" w:rsidRPr="003C392F" w:rsidRDefault="005455C2" w:rsidP="00C33BCC">
            <w:pPr>
              <w:spacing w:before="60" w:after="60"/>
              <w:ind w:right="1134"/>
              <w:jc w:val="right"/>
            </w:pPr>
            <w:r w:rsidRPr="003C392F">
              <w:t>800</w:t>
            </w:r>
          </w:p>
        </w:tc>
      </w:tr>
      <w:tr w:rsidR="005455C2" w:rsidRPr="003C392F" w14:paraId="36146ED8" w14:textId="77777777" w:rsidTr="00C33BCC">
        <w:trPr>
          <w:trHeight w:val="20"/>
        </w:trPr>
        <w:tc>
          <w:tcPr>
            <w:tcW w:w="1810" w:type="pct"/>
            <w:noWrap/>
            <w:hideMark/>
          </w:tcPr>
          <w:p w14:paraId="59C21A87" w14:textId="77777777" w:rsidR="005455C2" w:rsidRPr="003C392F" w:rsidRDefault="005455C2" w:rsidP="00C33BCC">
            <w:pPr>
              <w:pStyle w:val="Point0"/>
              <w:spacing w:before="60" w:after="60" w:line="240" w:lineRule="auto"/>
              <w:rPr>
                <w:b/>
                <w:bCs/>
              </w:rPr>
            </w:pPr>
            <w:r w:rsidRPr="003C392F">
              <w:rPr>
                <w:b/>
                <w:bCs/>
              </w:rPr>
              <w:t>4.</w:t>
            </w:r>
            <w:r w:rsidRPr="003C392F">
              <w:rPr>
                <w:b/>
                <w:bCs/>
              </w:rPr>
              <w:tab/>
              <w:t>Migrazione e gestione delle frontiere</w:t>
            </w:r>
          </w:p>
        </w:tc>
        <w:tc>
          <w:tcPr>
            <w:tcW w:w="815" w:type="pct"/>
            <w:noWrap/>
            <w:hideMark/>
          </w:tcPr>
          <w:p w14:paraId="06808D1B" w14:textId="77777777" w:rsidR="005455C2" w:rsidRPr="003C392F" w:rsidRDefault="005455C2" w:rsidP="00C33BCC">
            <w:pPr>
              <w:spacing w:before="60" w:after="60"/>
              <w:ind w:right="567"/>
              <w:jc w:val="right"/>
              <w:rPr>
                <w:b/>
              </w:rPr>
            </w:pPr>
            <w:r w:rsidRPr="003C392F">
              <w:rPr>
                <w:b/>
              </w:rPr>
              <w:t>9,09 %</w:t>
            </w:r>
          </w:p>
        </w:tc>
        <w:tc>
          <w:tcPr>
            <w:tcW w:w="863" w:type="pct"/>
          </w:tcPr>
          <w:p w14:paraId="0CB1F30B" w14:textId="77777777" w:rsidR="005455C2" w:rsidRPr="003C392F" w:rsidRDefault="005455C2" w:rsidP="00C33BCC">
            <w:pPr>
              <w:spacing w:before="60" w:after="60"/>
              <w:ind w:right="567"/>
              <w:jc w:val="right"/>
              <w:rPr>
                <w:b/>
              </w:rPr>
            </w:pPr>
            <w:r w:rsidRPr="003C392F">
              <w:rPr>
                <w:b/>
              </w:rPr>
              <w:t>10,45 %</w:t>
            </w:r>
          </w:p>
        </w:tc>
        <w:tc>
          <w:tcPr>
            <w:tcW w:w="1512" w:type="pct"/>
            <w:noWrap/>
            <w:hideMark/>
          </w:tcPr>
          <w:p w14:paraId="21C5A33F" w14:textId="77777777" w:rsidR="005455C2" w:rsidRPr="003C392F" w:rsidRDefault="005455C2" w:rsidP="00C33BCC">
            <w:pPr>
              <w:spacing w:before="60" w:after="60"/>
              <w:ind w:right="1134"/>
              <w:jc w:val="right"/>
              <w:rPr>
                <w:b/>
              </w:rPr>
            </w:pPr>
            <w:r w:rsidRPr="003C392F">
              <w:rPr>
                <w:b/>
              </w:rPr>
              <w:t>1 000</w:t>
            </w:r>
          </w:p>
        </w:tc>
      </w:tr>
      <w:tr w:rsidR="005455C2" w:rsidRPr="003C392F" w14:paraId="1F5EC9C7" w14:textId="77777777" w:rsidTr="00C33BCC">
        <w:trPr>
          <w:trHeight w:val="20"/>
        </w:trPr>
        <w:tc>
          <w:tcPr>
            <w:tcW w:w="1810" w:type="pct"/>
            <w:noWrap/>
            <w:hideMark/>
          </w:tcPr>
          <w:p w14:paraId="48ED2ED5" w14:textId="77777777" w:rsidR="005455C2" w:rsidRPr="003C392F" w:rsidRDefault="005455C2" w:rsidP="00C33BCC">
            <w:pPr>
              <w:pStyle w:val="Text1"/>
              <w:spacing w:before="60" w:after="60" w:line="240" w:lineRule="auto"/>
            </w:pPr>
            <w:r w:rsidRPr="003C392F">
              <w:t>Fondo per la gestione integrata delle frontiere</w:t>
            </w:r>
          </w:p>
        </w:tc>
        <w:tc>
          <w:tcPr>
            <w:tcW w:w="815" w:type="pct"/>
            <w:noWrap/>
            <w:hideMark/>
          </w:tcPr>
          <w:p w14:paraId="4E2A7D77" w14:textId="77777777" w:rsidR="005455C2" w:rsidRPr="003C392F" w:rsidRDefault="005455C2" w:rsidP="00C33BCC">
            <w:pPr>
              <w:spacing w:before="60" w:after="60"/>
              <w:ind w:right="567"/>
              <w:jc w:val="right"/>
            </w:pPr>
            <w:r w:rsidRPr="003C392F">
              <w:t>9,09 %</w:t>
            </w:r>
          </w:p>
        </w:tc>
        <w:tc>
          <w:tcPr>
            <w:tcW w:w="863" w:type="pct"/>
          </w:tcPr>
          <w:p w14:paraId="4F1C2123" w14:textId="77777777" w:rsidR="005455C2" w:rsidRPr="003C392F" w:rsidRDefault="005455C2" w:rsidP="00C33BCC">
            <w:pPr>
              <w:spacing w:before="60" w:after="60"/>
              <w:ind w:right="567"/>
              <w:jc w:val="right"/>
            </w:pPr>
            <w:r w:rsidRPr="003C392F">
              <w:t>10</w:t>
            </w:r>
            <w:r w:rsidRPr="003C392F">
              <w:rPr>
                <w:bCs/>
              </w:rPr>
              <w:t>,</w:t>
            </w:r>
            <w:r w:rsidRPr="003C392F">
              <w:t>45 %</w:t>
            </w:r>
          </w:p>
        </w:tc>
        <w:tc>
          <w:tcPr>
            <w:tcW w:w="1512" w:type="pct"/>
            <w:noWrap/>
            <w:hideMark/>
          </w:tcPr>
          <w:p w14:paraId="05300C91" w14:textId="77777777" w:rsidR="005455C2" w:rsidRPr="003C392F" w:rsidRDefault="005455C2" w:rsidP="00C33BCC">
            <w:pPr>
              <w:spacing w:before="60" w:after="60"/>
              <w:ind w:right="1134"/>
              <w:jc w:val="right"/>
            </w:pPr>
            <w:r w:rsidRPr="003C392F">
              <w:t>1 000</w:t>
            </w:r>
          </w:p>
        </w:tc>
      </w:tr>
      <w:tr w:rsidR="005455C2" w:rsidRPr="003C392F" w14:paraId="68147093" w14:textId="77777777" w:rsidTr="00C33BCC">
        <w:trPr>
          <w:trHeight w:val="20"/>
        </w:trPr>
        <w:tc>
          <w:tcPr>
            <w:tcW w:w="1810" w:type="pct"/>
            <w:tcBorders>
              <w:bottom w:val="single" w:sz="4" w:space="0" w:color="auto"/>
            </w:tcBorders>
            <w:noWrap/>
            <w:hideMark/>
          </w:tcPr>
          <w:p w14:paraId="126FAC7D" w14:textId="77777777" w:rsidR="005455C2" w:rsidRPr="003C392F" w:rsidRDefault="005455C2" w:rsidP="00C33BCC">
            <w:pPr>
              <w:spacing w:before="60" w:after="60"/>
              <w:rPr>
                <w:b/>
              </w:rPr>
            </w:pPr>
            <w:r w:rsidRPr="003C392F">
              <w:rPr>
                <w:b/>
              </w:rPr>
              <w:t>TOTALE</w:t>
            </w:r>
          </w:p>
        </w:tc>
        <w:tc>
          <w:tcPr>
            <w:tcW w:w="815" w:type="pct"/>
            <w:tcBorders>
              <w:bottom w:val="single" w:sz="4" w:space="0" w:color="auto"/>
            </w:tcBorders>
            <w:noWrap/>
            <w:hideMark/>
          </w:tcPr>
          <w:p w14:paraId="6138FF0A" w14:textId="77777777" w:rsidR="005455C2" w:rsidRPr="003C392F" w:rsidRDefault="005455C2" w:rsidP="00C33BCC">
            <w:pPr>
              <w:spacing w:before="60" w:after="60"/>
              <w:ind w:right="567"/>
              <w:jc w:val="right"/>
              <w:rPr>
                <w:b/>
              </w:rPr>
            </w:pPr>
            <w:r w:rsidRPr="003C392F">
              <w:rPr>
                <w:b/>
              </w:rPr>
              <w:t>100,00 %</w:t>
            </w:r>
          </w:p>
        </w:tc>
        <w:tc>
          <w:tcPr>
            <w:tcW w:w="863" w:type="pct"/>
            <w:tcBorders>
              <w:bottom w:val="single" w:sz="4" w:space="0" w:color="auto"/>
            </w:tcBorders>
          </w:tcPr>
          <w:p w14:paraId="629D1559" w14:textId="77777777" w:rsidR="005455C2" w:rsidRPr="003C392F" w:rsidRDefault="005455C2" w:rsidP="00C33BCC">
            <w:pPr>
              <w:spacing w:before="60" w:after="60"/>
              <w:ind w:right="567"/>
              <w:jc w:val="right"/>
              <w:rPr>
                <w:b/>
              </w:rPr>
            </w:pPr>
            <w:r w:rsidRPr="003C392F">
              <w:rPr>
                <w:b/>
              </w:rPr>
              <w:t>100,00 %</w:t>
            </w:r>
          </w:p>
        </w:tc>
        <w:tc>
          <w:tcPr>
            <w:tcW w:w="1512" w:type="pct"/>
            <w:tcBorders>
              <w:bottom w:val="single" w:sz="4" w:space="0" w:color="auto"/>
            </w:tcBorders>
            <w:noWrap/>
            <w:hideMark/>
          </w:tcPr>
          <w:p w14:paraId="3F48D4B1" w14:textId="77777777" w:rsidR="005455C2" w:rsidRPr="003C392F" w:rsidRDefault="005455C2" w:rsidP="00C33BCC">
            <w:pPr>
              <w:spacing w:before="60" w:after="60"/>
              <w:ind w:right="1134"/>
              <w:jc w:val="right"/>
              <w:rPr>
                <w:b/>
                <w:strike/>
              </w:rPr>
            </w:pPr>
            <w:r w:rsidRPr="003C392F">
              <w:rPr>
                <w:b/>
              </w:rPr>
              <w:t>10 155</w:t>
            </w:r>
          </w:p>
        </w:tc>
      </w:tr>
    </w:tbl>
    <w:p w14:paraId="732FB547" w14:textId="77777777" w:rsidR="005455C2" w:rsidRPr="003C392F" w:rsidRDefault="005455C2" w:rsidP="005455C2">
      <w:pPr>
        <w:jc w:val="right"/>
        <w:rPr>
          <w:rFonts w:eastAsia="Calibri"/>
        </w:rPr>
      </w:pPr>
      <w:r w:rsidRPr="003C392F">
        <w:rPr>
          <w:rFonts w:eastAsia="Calibri"/>
        </w:rPr>
        <w:t>".</w:t>
      </w:r>
    </w:p>
    <w:p w14:paraId="084A6AFE" w14:textId="77777777" w:rsidR="005455C2" w:rsidRPr="003C392F" w:rsidRDefault="005455C2" w:rsidP="005455C2">
      <w:pPr>
        <w:pStyle w:val="LignefinalLandscape"/>
      </w:pPr>
    </w:p>
    <w:p w14:paraId="29F7520A" w14:textId="77777777" w:rsidR="005455C2" w:rsidRPr="003C392F" w:rsidRDefault="005455C2" w:rsidP="005455C2"/>
    <w:p w14:paraId="10131337" w14:textId="77777777" w:rsidR="00C015C4" w:rsidRPr="003C392F" w:rsidRDefault="00C015C4" w:rsidP="00C015C4">
      <w:pPr>
        <w:pStyle w:val="PageHeading"/>
        <w:sectPr w:rsidR="00C015C4" w:rsidRPr="003C392F" w:rsidSect="00C015C4">
          <w:footnotePr>
            <w:numRestart w:val="eachPage"/>
          </w:footnotePr>
          <w:endnotePr>
            <w:numFmt w:val="decimal"/>
          </w:endnotePr>
          <w:pgSz w:w="16838" w:h="11906" w:orient="landscape" w:code="9"/>
          <w:pgMar w:top="1418" w:right="1134" w:bottom="1418" w:left="1418" w:header="1134" w:footer="567" w:gutter="0"/>
          <w:cols w:space="720"/>
          <w:noEndnote/>
          <w:docGrid w:linePitch="326"/>
        </w:sectPr>
      </w:pPr>
      <w:bookmarkStart w:id="12" w:name="TextBodyEnd"/>
      <w:bookmarkStart w:id="13" w:name="_Toc159509474"/>
      <w:bookmarkStart w:id="14" w:name="_Toc159571700"/>
      <w:bookmarkEnd w:id="12"/>
    </w:p>
    <w:p w14:paraId="46D4E6B1" w14:textId="77777777" w:rsidR="00C015C4" w:rsidRPr="003C392F" w:rsidRDefault="00C015C4" w:rsidP="00C015C4">
      <w:pPr>
        <w:pStyle w:val="PageHeading"/>
        <w:rPr>
          <w:caps/>
        </w:rPr>
      </w:pPr>
      <w:r w:rsidRPr="003C392F">
        <w:lastRenderedPageBreak/>
        <w:t xml:space="preserve">ALLEGATO 2: </w:t>
      </w:r>
      <w:r w:rsidRPr="003C392F">
        <w:rPr>
          <w:caps/>
        </w:rPr>
        <w:t>Dichiarazione comune del Parlamento europeo, del Consiglio e della Commissione sul riutilizzo dei fondi disimpegnati nell'ambito del programma di ricerca</w:t>
      </w:r>
      <w:bookmarkEnd w:id="13"/>
      <w:bookmarkEnd w:id="14"/>
    </w:p>
    <w:p w14:paraId="70A2F99A" w14:textId="77777777" w:rsidR="00C015C4" w:rsidRPr="003C392F" w:rsidRDefault="00C015C4" w:rsidP="00C015C4">
      <w:pPr>
        <w:pStyle w:val="NormalWeb"/>
        <w:shd w:val="clear" w:color="auto" w:fill="FFFFFF" w:themeFill="background1"/>
        <w:spacing w:before="0" w:beforeAutospacing="0" w:after="240" w:afterAutospacing="0"/>
        <w:jc w:val="both"/>
      </w:pPr>
      <w:r w:rsidRPr="003C392F">
        <w:t>Nella dichiarazione comune del 22 dicembre 2020 sul riutilizzo dei fondi disimpegnati nell'ambito del programma di ricerca</w:t>
      </w:r>
      <w:r w:rsidRPr="003C392F">
        <w:rPr>
          <w:rStyle w:val="FootnoteReference"/>
        </w:rPr>
        <w:footnoteReference w:id="12"/>
      </w:r>
      <w:r w:rsidRPr="003C392F">
        <w:t>, il Parlamento europeo, il Consiglio e la Commissione hanno convenuto di ricostituire a beneficio del programma di ricerca, nel periodo 2021-2027, stanziamenti d'impegno fino a un importo massimo di 0,5 miliardi di EUR (a prezzi 2018), corrispondente ai disimpegni risultanti dall'inesecuzione totale o parziale di progetti appartenenti a detto programma o al programma precedente, come previsto all'articolo 15, paragrafo 3, del regolamento finanziario.</w:t>
      </w:r>
    </w:p>
    <w:p w14:paraId="374E78F7" w14:textId="77777777" w:rsidR="00C015C4" w:rsidRPr="003C392F" w:rsidRDefault="00C015C4" w:rsidP="00C015C4">
      <w:r w:rsidRPr="003C392F">
        <w:t>Fatti salvi i poteri dell'autorità di bilancio nel quadro della procedura di bilancio annuale e i poteri della Commissione di dare esecuzione al bilancio, il Parlamento europeo, il Consiglio e la Commissione convengono di ricostituire a beneficio del programma di ricerca, nel periodo 2025-2027, un ulteriore importo di 100 milioni di EUR (a prezzi 2018), corrispondente ai disimpegni intervenuti nel periodo 2019-2020 risultanti dall'inesecuzione totale o parziale di progetti appartenenti a detto programma o al programma precedente che non sono stati resi nuovamente disponibili a norma dell'articolo 15, paragrafo 3, del regolamento finanziario a seguito della dichiarazione comune del 22 dicembre 2020. Ciò non incide sugli importi disponibili dei disimpegni per lo strumento EURI di cui all'articolo 10 bis del regolamento (UE, Euratom) 2020/2093.</w:t>
      </w:r>
    </w:p>
    <w:p w14:paraId="5883647C" w14:textId="77777777" w:rsidR="00E365E1" w:rsidRPr="003C392F" w:rsidRDefault="00E365E1" w:rsidP="00F42433"/>
    <w:sectPr w:rsidR="00E365E1" w:rsidRPr="003C392F" w:rsidSect="00C015C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6D1CE9" w14:textId="77777777" w:rsidR="00F42433" w:rsidRPr="00D37149" w:rsidRDefault="00F42433">
      <w:r w:rsidRPr="00D37149">
        <w:separator/>
      </w:r>
    </w:p>
  </w:endnote>
  <w:endnote w:type="continuationSeparator" w:id="0">
    <w:p w14:paraId="098FA63E" w14:textId="77777777" w:rsidR="00F42433" w:rsidRPr="00D37149" w:rsidRDefault="00F42433">
      <w:r w:rsidRPr="00D371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31CE2" w14:textId="77777777" w:rsidR="005455C2" w:rsidRPr="00D37149" w:rsidRDefault="005455C2" w:rsidP="007D3EFA">
    <w:pPr>
      <w:pStyle w:val="EPFooter"/>
    </w:pPr>
    <w:r w:rsidRPr="00D37149">
      <w:t>PE</w:t>
    </w:r>
    <w:r w:rsidRPr="00D37149">
      <w:rPr>
        <w:rStyle w:val="HideTWBExt"/>
      </w:rPr>
      <w:t>&lt;NoPE&gt;</w:t>
    </w:r>
    <w:r w:rsidRPr="00D37149">
      <w:t>758.992</w:t>
    </w:r>
    <w:r w:rsidRPr="00D37149">
      <w:rPr>
        <w:rStyle w:val="HideTWBExt"/>
      </w:rPr>
      <w:t>&lt;/NoPE&gt;&lt;Version&gt;</w:t>
    </w:r>
    <w:r w:rsidRPr="00D37149">
      <w:t>v02-00</w:t>
    </w:r>
    <w:r w:rsidRPr="00D37149">
      <w:rPr>
        <w:rStyle w:val="HideTWBExt"/>
      </w:rPr>
      <w:t>&lt;/Version&gt;</w:t>
    </w:r>
    <w:r w:rsidRPr="00D37149">
      <w:tab/>
    </w:r>
    <w:r w:rsidRPr="00D37149">
      <w:fldChar w:fldCharType="begin"/>
    </w:r>
    <w:r w:rsidRPr="00D37149">
      <w:instrText xml:space="preserve"> PAGE  \* MERGEFORMAT </w:instrText>
    </w:r>
    <w:r w:rsidRPr="00D37149">
      <w:fldChar w:fldCharType="separate"/>
    </w:r>
    <w:r w:rsidRPr="00D37149">
      <w:rPr>
        <w:noProof/>
      </w:rPr>
      <w:t>20</w:t>
    </w:r>
    <w:r w:rsidRPr="00D37149">
      <w:fldChar w:fldCharType="end"/>
    </w:r>
    <w:r w:rsidRPr="00D37149">
      <w:t>/</w:t>
    </w:r>
    <w:r w:rsidR="00DD2E6F">
      <w:fldChar w:fldCharType="begin"/>
    </w:r>
    <w:r w:rsidR="00DD2E6F">
      <w:instrText xml:space="preserve"> NUMPAGES  \* MERGEFORMAT </w:instrText>
    </w:r>
    <w:r w:rsidR="00DD2E6F">
      <w:fldChar w:fldCharType="separate"/>
    </w:r>
    <w:r w:rsidRPr="00D37149">
      <w:rPr>
        <w:noProof/>
      </w:rPr>
      <w:t>20</w:t>
    </w:r>
    <w:r w:rsidR="00DD2E6F">
      <w:rPr>
        <w:noProof/>
      </w:rPr>
      <w:fldChar w:fldCharType="end"/>
    </w:r>
    <w:r w:rsidRPr="00D37149">
      <w:tab/>
    </w:r>
    <w:r w:rsidRPr="00D37149">
      <w:rPr>
        <w:rStyle w:val="HideTWBExt"/>
      </w:rPr>
      <w:t>&lt;PathFdR&gt;</w:t>
    </w:r>
    <w:r w:rsidRPr="00D37149">
      <w:t>RR\1297557IT.docx</w:t>
    </w:r>
    <w:r w:rsidRPr="00D37149">
      <w:rPr>
        <w:rStyle w:val="HideTWBExt"/>
      </w:rPr>
      <w:t>&lt;/PathFdR&gt;</w:t>
    </w:r>
  </w:p>
  <w:p w14:paraId="7357CA89" w14:textId="77777777" w:rsidR="005455C2" w:rsidRPr="00D37149" w:rsidRDefault="005455C2" w:rsidP="007D3EFA">
    <w:pPr>
      <w:pStyle w:val="EPFooter2"/>
    </w:pPr>
    <w:r w:rsidRPr="00D37149">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77DCA" w14:textId="77777777" w:rsidR="005455C2" w:rsidRPr="00D37149" w:rsidRDefault="005455C2" w:rsidP="007D3EFA">
    <w:pPr>
      <w:pStyle w:val="EPFooter"/>
    </w:pPr>
    <w:r w:rsidRPr="00D37149">
      <w:rPr>
        <w:rStyle w:val="HideTWBExt"/>
      </w:rPr>
      <w:t>&lt;PathFdR&gt;</w:t>
    </w:r>
    <w:r w:rsidRPr="00D37149">
      <w:t>RR\1297557IT.docx</w:t>
    </w:r>
    <w:r w:rsidRPr="00D37149">
      <w:rPr>
        <w:rStyle w:val="HideTWBExt"/>
      </w:rPr>
      <w:t>&lt;/PathFdR&gt;</w:t>
    </w:r>
    <w:r w:rsidRPr="00D37149">
      <w:tab/>
    </w:r>
    <w:r w:rsidRPr="00D37149">
      <w:tab/>
      <w:t>PE</w:t>
    </w:r>
    <w:r w:rsidRPr="00D37149">
      <w:rPr>
        <w:rStyle w:val="HideTWBExt"/>
      </w:rPr>
      <w:t>&lt;NoPE&gt;</w:t>
    </w:r>
    <w:r w:rsidRPr="00D37149">
      <w:t>758.992</w:t>
    </w:r>
    <w:r w:rsidRPr="00D37149">
      <w:rPr>
        <w:rStyle w:val="HideTWBExt"/>
      </w:rPr>
      <w:t>&lt;/NoPE&gt;&lt;Version&gt;</w:t>
    </w:r>
    <w:r w:rsidRPr="00D37149">
      <w:t>v02-00</w:t>
    </w:r>
    <w:r w:rsidRPr="00D37149">
      <w:rPr>
        <w:rStyle w:val="HideTWBExt"/>
      </w:rPr>
      <w:t>&lt;/Version&gt;</w:t>
    </w:r>
  </w:p>
  <w:p w14:paraId="63A18539" w14:textId="77777777" w:rsidR="005455C2" w:rsidRPr="00D37149" w:rsidRDefault="005455C2" w:rsidP="007D3EFA">
    <w:pPr>
      <w:pStyle w:val="EPFooter2"/>
    </w:pPr>
    <w:r w:rsidRPr="00D37149">
      <w:t>IT</w:t>
    </w:r>
    <w:r w:rsidRPr="00D37149">
      <w:tab/>
    </w:r>
    <w:r w:rsidRPr="00D37149">
      <w:rPr>
        <w:b w:val="0"/>
        <w:i/>
        <w:color w:val="C0C0C0"/>
        <w:sz w:val="22"/>
      </w:rPr>
      <w:t>Unita nella diversità</w:t>
    </w:r>
    <w:r w:rsidRPr="00D37149">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69FA3" w14:textId="77777777" w:rsidR="00064002" w:rsidRPr="00D37149"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1803A" w14:textId="77777777" w:rsidR="00064002" w:rsidRPr="00D3714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A8733" w14:textId="77777777" w:rsidR="00064002" w:rsidRPr="00D3714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DDECAF" w14:textId="77777777" w:rsidR="00F42433" w:rsidRPr="00D37149" w:rsidRDefault="00F42433">
      <w:r w:rsidRPr="00D37149">
        <w:separator/>
      </w:r>
    </w:p>
  </w:footnote>
  <w:footnote w:type="continuationSeparator" w:id="0">
    <w:p w14:paraId="1D6AB76C" w14:textId="77777777" w:rsidR="00F42433" w:rsidRPr="00D37149" w:rsidRDefault="00F42433">
      <w:r w:rsidRPr="00D37149">
        <w:continuationSeparator/>
      </w:r>
    </w:p>
  </w:footnote>
  <w:footnote w:id="1">
    <w:p w14:paraId="7DA4A3B1" w14:textId="77777777" w:rsidR="005455C2" w:rsidRPr="00D37149" w:rsidRDefault="005455C2" w:rsidP="00C015C4">
      <w:pPr>
        <w:pStyle w:val="FootnoteText"/>
        <w:ind w:left="851" w:hanging="851"/>
        <w:rPr>
          <w:sz w:val="24"/>
          <w:lang w:val="it-IT"/>
        </w:rPr>
      </w:pPr>
      <w:r w:rsidRPr="00D37149">
        <w:rPr>
          <w:rStyle w:val="FootnoteReference"/>
          <w:sz w:val="24"/>
          <w:lang w:val="it-IT"/>
        </w:rPr>
        <w:footnoteRef/>
      </w:r>
      <w:r w:rsidR="00D37149" w:rsidRPr="00D37149">
        <w:rPr>
          <w:sz w:val="24"/>
          <w:lang w:val="it-IT"/>
        </w:rPr>
        <w:t xml:space="preserve"> </w:t>
      </w:r>
      <w:r w:rsidR="00D37149" w:rsidRPr="00D37149">
        <w:rPr>
          <w:sz w:val="24"/>
          <w:lang w:val="it-IT"/>
        </w:rPr>
        <w:tab/>
      </w:r>
      <w:r w:rsidRPr="00D37149">
        <w:rPr>
          <w:sz w:val="24"/>
          <w:lang w:val="it-IT"/>
        </w:rPr>
        <w:t>Testi approvati, P9_TA(2023)0335.</w:t>
      </w:r>
    </w:p>
  </w:footnote>
  <w:footnote w:id="2">
    <w:p w14:paraId="3028A84D" w14:textId="77777777" w:rsidR="005455C2" w:rsidRPr="00D37149" w:rsidRDefault="005455C2" w:rsidP="00C015C4">
      <w:pPr>
        <w:pStyle w:val="FootnoteText"/>
        <w:ind w:left="851" w:hanging="851"/>
        <w:rPr>
          <w:sz w:val="24"/>
          <w:lang w:val="it-IT"/>
        </w:rPr>
      </w:pPr>
      <w:r w:rsidRPr="00D37149">
        <w:rPr>
          <w:rStyle w:val="FootnoteReference"/>
          <w:sz w:val="24"/>
          <w:lang w:val="it-IT"/>
        </w:rPr>
        <w:footnoteRef/>
      </w:r>
      <w:r w:rsidR="00D37149" w:rsidRPr="00D37149">
        <w:rPr>
          <w:sz w:val="24"/>
          <w:lang w:val="it-IT"/>
        </w:rPr>
        <w:t xml:space="preserve"> </w:t>
      </w:r>
      <w:r w:rsidR="00D37149" w:rsidRPr="00D37149">
        <w:rPr>
          <w:sz w:val="24"/>
          <w:lang w:val="it-IT"/>
        </w:rPr>
        <w:tab/>
      </w:r>
      <w:r w:rsidRPr="00D37149">
        <w:rPr>
          <w:sz w:val="24"/>
          <w:lang w:val="it-IT"/>
        </w:rPr>
        <w:t>Approvazione del 27 febbraio 2024 (non ancora pubblicata nella Gazzetta ufficiale).</w:t>
      </w:r>
    </w:p>
  </w:footnote>
  <w:footnote w:id="3">
    <w:p w14:paraId="22CD5423" w14:textId="77777777" w:rsidR="005455C2" w:rsidRPr="00D37149" w:rsidRDefault="005455C2" w:rsidP="00C015C4">
      <w:pPr>
        <w:pStyle w:val="FootnoteText"/>
        <w:ind w:left="851" w:hanging="851"/>
        <w:rPr>
          <w:sz w:val="24"/>
          <w:lang w:val="it-IT"/>
        </w:rPr>
      </w:pPr>
      <w:r w:rsidRPr="00D37149">
        <w:rPr>
          <w:rStyle w:val="FootnoteReference"/>
          <w:sz w:val="24"/>
          <w:lang w:val="it-IT"/>
        </w:rPr>
        <w:footnoteRef/>
      </w:r>
      <w:r w:rsidR="00D37149" w:rsidRPr="00D37149">
        <w:rPr>
          <w:sz w:val="24"/>
          <w:lang w:val="it-IT"/>
        </w:rPr>
        <w:t xml:space="preserve"> </w:t>
      </w:r>
      <w:r w:rsidR="00D37149" w:rsidRPr="00D37149">
        <w:rPr>
          <w:sz w:val="24"/>
          <w:lang w:val="it-IT"/>
        </w:rPr>
        <w:tab/>
      </w:r>
      <w:r w:rsidRPr="00D37149">
        <w:rPr>
          <w:sz w:val="24"/>
          <w:lang w:val="it-IT"/>
        </w:rPr>
        <w:t>Regolamento (UE, Euratom) 2020/2093 del Consiglio, del 17 dicembre 2020, che stabilisce il quadro finanziario pluriennale per il periodo 2021-2027 (GU L 433 I del 22.12.2020, pag. 11).</w:t>
      </w:r>
    </w:p>
  </w:footnote>
  <w:footnote w:id="4">
    <w:p w14:paraId="3A21851A" w14:textId="77777777" w:rsidR="005455C2" w:rsidRPr="00D37149" w:rsidRDefault="005455C2" w:rsidP="00C015C4">
      <w:pPr>
        <w:pStyle w:val="FootnoteText"/>
        <w:ind w:left="851" w:hanging="851"/>
        <w:rPr>
          <w:sz w:val="24"/>
          <w:lang w:val="it-IT"/>
        </w:rPr>
      </w:pPr>
      <w:r w:rsidRPr="00D37149">
        <w:rPr>
          <w:rStyle w:val="FootnoteReference"/>
          <w:sz w:val="24"/>
          <w:lang w:val="it-IT"/>
        </w:rPr>
        <w:footnoteRef/>
      </w:r>
      <w:r w:rsidR="00D37149" w:rsidRPr="00D37149">
        <w:rPr>
          <w:sz w:val="24"/>
          <w:lang w:val="it-IT"/>
        </w:rPr>
        <w:t xml:space="preserve"> </w:t>
      </w:r>
      <w:r w:rsidR="00D37149" w:rsidRPr="00D37149">
        <w:rPr>
          <w:sz w:val="24"/>
          <w:lang w:val="it-IT"/>
        </w:rPr>
        <w:tab/>
      </w:r>
      <w:r w:rsidRPr="00D37149">
        <w:rPr>
          <w:sz w:val="24"/>
          <w:lang w:val="it-IT"/>
        </w:rPr>
        <w:t>Regolamento (UE) 2024/… del Parlamento europeo e del Consiglio, del …, che istituisce lo strumento per l'Ucraina (GU L, …, ELI: …).</w:t>
      </w:r>
    </w:p>
  </w:footnote>
  <w:footnote w:id="5">
    <w:p w14:paraId="32FC0DBD" w14:textId="297851EC" w:rsidR="005455C2" w:rsidRPr="00D37149" w:rsidRDefault="005455C2" w:rsidP="00C015C4">
      <w:pPr>
        <w:pStyle w:val="FootnoteText"/>
        <w:ind w:left="851" w:hanging="851"/>
        <w:rPr>
          <w:sz w:val="24"/>
          <w:lang w:val="it-IT"/>
        </w:rPr>
      </w:pPr>
      <w:r w:rsidRPr="00D37149">
        <w:rPr>
          <w:rStyle w:val="FootnoteReference"/>
          <w:sz w:val="24"/>
          <w:lang w:val="it-IT"/>
        </w:rPr>
        <w:t>+</w:t>
      </w:r>
      <w:r w:rsidR="00D37149" w:rsidRPr="00D37149">
        <w:rPr>
          <w:sz w:val="24"/>
          <w:lang w:val="it-IT"/>
        </w:rPr>
        <w:t xml:space="preserve"> </w:t>
      </w:r>
      <w:r w:rsidR="00D37149" w:rsidRPr="00D37149">
        <w:rPr>
          <w:sz w:val="24"/>
          <w:lang w:val="it-IT"/>
        </w:rPr>
        <w:tab/>
      </w:r>
      <w:r w:rsidRPr="00D37149">
        <w:rPr>
          <w:sz w:val="24"/>
          <w:lang w:val="it-IT"/>
        </w:rPr>
        <w:t>GU: inserire nel testo il numero del regolamento di cui al doc</w:t>
      </w:r>
      <w:r w:rsidR="00B77D39">
        <w:rPr>
          <w:sz w:val="24"/>
          <w:lang w:val="it-IT"/>
        </w:rPr>
        <w:t>umento PE-CONS 10/24 (2023/0200</w:t>
      </w:r>
      <w:r w:rsidR="00DD2E6F">
        <w:rPr>
          <w:sz w:val="24"/>
          <w:lang w:val="it-IT"/>
        </w:rPr>
        <w:t>(</w:t>
      </w:r>
      <w:bookmarkStart w:id="10" w:name="_GoBack"/>
      <w:bookmarkEnd w:id="10"/>
      <w:r w:rsidRPr="00D37149">
        <w:rPr>
          <w:sz w:val="24"/>
          <w:lang w:val="it-IT"/>
        </w:rPr>
        <w:t>COD)) e inserire nella nota a piè di pagina il numero, la data e il riferimento GU di tale regolamento.</w:t>
      </w:r>
    </w:p>
  </w:footnote>
  <w:footnote w:id="6">
    <w:p w14:paraId="0AA7D698" w14:textId="77777777" w:rsidR="005455C2" w:rsidRPr="00D37149" w:rsidRDefault="005455C2" w:rsidP="00C015C4">
      <w:pPr>
        <w:pStyle w:val="FootnoteText"/>
        <w:ind w:left="851" w:hanging="851"/>
        <w:rPr>
          <w:sz w:val="24"/>
          <w:lang w:val="it-IT"/>
        </w:rPr>
      </w:pPr>
      <w:r w:rsidRPr="00D37149">
        <w:rPr>
          <w:rStyle w:val="FootnoteReference"/>
          <w:sz w:val="24"/>
          <w:lang w:val="it-IT"/>
        </w:rPr>
        <w:t>+</w:t>
      </w:r>
      <w:r w:rsidR="00D37149" w:rsidRPr="00D37149">
        <w:rPr>
          <w:sz w:val="24"/>
          <w:lang w:val="it-IT"/>
        </w:rPr>
        <w:t xml:space="preserve"> </w:t>
      </w:r>
      <w:r w:rsidR="00D37149" w:rsidRPr="00D37149">
        <w:rPr>
          <w:sz w:val="24"/>
          <w:lang w:val="it-IT"/>
        </w:rPr>
        <w:tab/>
      </w:r>
      <w:r w:rsidRPr="00D37149">
        <w:rPr>
          <w:sz w:val="24"/>
          <w:lang w:val="it-IT"/>
        </w:rPr>
        <w:t>GU: inserire nel testo il numero del regolamento di cui al documento PE-CONS 10/24 (2023/0200(COD)).</w:t>
      </w:r>
    </w:p>
  </w:footnote>
  <w:footnote w:id="7">
    <w:p w14:paraId="63E02AE8" w14:textId="77777777" w:rsidR="005455C2" w:rsidRPr="00D37149" w:rsidRDefault="005455C2" w:rsidP="00C015C4">
      <w:pPr>
        <w:pStyle w:val="FootnoteText"/>
        <w:ind w:left="851" w:hanging="851"/>
        <w:rPr>
          <w:sz w:val="24"/>
          <w:lang w:val="it-IT"/>
        </w:rPr>
      </w:pPr>
      <w:r w:rsidRPr="00D37149">
        <w:rPr>
          <w:rStyle w:val="FootnoteReference"/>
          <w:sz w:val="24"/>
          <w:lang w:val="it-IT"/>
        </w:rPr>
        <w:t>+</w:t>
      </w:r>
      <w:r w:rsidR="00D37149" w:rsidRPr="00D37149">
        <w:rPr>
          <w:sz w:val="24"/>
          <w:lang w:val="it-IT"/>
        </w:rPr>
        <w:t xml:space="preserve"> </w:t>
      </w:r>
      <w:r w:rsidR="00D37149" w:rsidRPr="00D37149">
        <w:rPr>
          <w:sz w:val="24"/>
          <w:lang w:val="it-IT"/>
        </w:rPr>
        <w:tab/>
      </w:r>
      <w:r w:rsidRPr="00D37149">
        <w:rPr>
          <w:sz w:val="24"/>
          <w:lang w:val="it-IT"/>
        </w:rPr>
        <w:t>GU: inserire nel testo il numero del regolamento di cui al documento PE-CONS 10/24 (2023/0200(COD)).</w:t>
      </w:r>
    </w:p>
  </w:footnote>
  <w:footnote w:id="8">
    <w:p w14:paraId="29DAEE22" w14:textId="77777777" w:rsidR="005455C2" w:rsidRPr="00D37149" w:rsidRDefault="005455C2" w:rsidP="00C015C4">
      <w:pPr>
        <w:pStyle w:val="FootnoteText"/>
        <w:ind w:left="851" w:hanging="851"/>
        <w:rPr>
          <w:sz w:val="24"/>
          <w:lang w:val="it-IT"/>
        </w:rPr>
      </w:pPr>
      <w:r w:rsidRPr="00D37149">
        <w:rPr>
          <w:rStyle w:val="FootnoteReference"/>
          <w:sz w:val="24"/>
          <w:lang w:val="it-IT"/>
        </w:rPr>
        <w:footnoteRef/>
      </w:r>
      <w:r w:rsidR="00D37149" w:rsidRPr="00D37149">
        <w:rPr>
          <w:sz w:val="24"/>
          <w:lang w:val="it-IT"/>
        </w:rPr>
        <w:t xml:space="preserve"> </w:t>
      </w:r>
      <w:r w:rsidR="00D37149" w:rsidRPr="00D37149">
        <w:rPr>
          <w:sz w:val="24"/>
          <w:lang w:val="it-IT"/>
        </w:rPr>
        <w:tab/>
      </w:r>
      <w:r w:rsidRPr="00D37149">
        <w:rPr>
          <w:sz w:val="24"/>
          <w:lang w:val="it-IT"/>
        </w:rPr>
        <w:t>Decisione (UE, Euratom) 2020/2053 del Consiglio, del 14 dicembre 2020, relativa al sistema delle risorse proprie dell'Unione europea e che abroga la decisione 2014/335/UE, Euratom (GU L 424 del 15.12.2020, pag. 1).</w:t>
      </w:r>
    </w:p>
  </w:footnote>
  <w:footnote w:id="9">
    <w:p w14:paraId="4EEE5EC0" w14:textId="77777777" w:rsidR="005455C2" w:rsidRPr="00D37149" w:rsidRDefault="005455C2" w:rsidP="00C015C4">
      <w:pPr>
        <w:pStyle w:val="FootnoteText"/>
        <w:ind w:left="851" w:hanging="851"/>
        <w:rPr>
          <w:sz w:val="24"/>
          <w:lang w:val="it-IT"/>
        </w:rPr>
      </w:pPr>
      <w:r w:rsidRPr="00D37149">
        <w:rPr>
          <w:rStyle w:val="FootnoteReference"/>
          <w:sz w:val="24"/>
          <w:lang w:val="it-IT"/>
        </w:rPr>
        <w:footnoteRef/>
      </w:r>
      <w:r w:rsidR="00D37149" w:rsidRPr="00D37149">
        <w:rPr>
          <w:sz w:val="24"/>
          <w:lang w:val="it-IT"/>
        </w:rPr>
        <w:t xml:space="preserve"> </w:t>
      </w:r>
      <w:r w:rsidR="00D37149" w:rsidRPr="00D37149">
        <w:rPr>
          <w:sz w:val="24"/>
          <w:lang w:val="it-IT"/>
        </w:rPr>
        <w:tab/>
      </w:r>
      <w:r w:rsidRPr="00D37149">
        <w:rPr>
          <w:sz w:val="24"/>
          <w:lang w:val="it-IT"/>
        </w:rPr>
        <w:t>Regolamento (CE) n. 2012/2002 del Consiglio, dell'11 novembre 2002, che istituisce il Fondo di solidarietà dell'Unione europea (GU L 311 del 14.11.2002, pag. 3).</w:t>
      </w:r>
    </w:p>
  </w:footnote>
  <w:footnote w:id="10">
    <w:p w14:paraId="29B5C1C5" w14:textId="7E772AFE" w:rsidR="005455C2" w:rsidRPr="00D37149" w:rsidRDefault="005455C2" w:rsidP="00C015C4">
      <w:pPr>
        <w:pStyle w:val="FootnoteText"/>
        <w:ind w:left="851" w:hanging="851"/>
        <w:rPr>
          <w:sz w:val="24"/>
          <w:lang w:val="it-IT"/>
        </w:rPr>
      </w:pPr>
      <w:r w:rsidRPr="00D37149">
        <w:rPr>
          <w:rStyle w:val="FootnoteReference"/>
          <w:sz w:val="24"/>
          <w:lang w:val="it-IT"/>
        </w:rPr>
        <w:t>+</w:t>
      </w:r>
      <w:r w:rsidR="00D37149" w:rsidRPr="00D37149">
        <w:rPr>
          <w:sz w:val="24"/>
          <w:lang w:val="it-IT"/>
        </w:rPr>
        <w:t xml:space="preserve"> </w:t>
      </w:r>
      <w:r w:rsidR="00D37149" w:rsidRPr="00D37149">
        <w:rPr>
          <w:sz w:val="24"/>
          <w:lang w:val="it-IT"/>
        </w:rPr>
        <w:tab/>
      </w:r>
      <w:r w:rsidRPr="00D37149">
        <w:rPr>
          <w:sz w:val="24"/>
          <w:lang w:val="it-IT"/>
        </w:rPr>
        <w:t>GU: inserire nel testo il numero del regolamento di cui al doc</w:t>
      </w:r>
      <w:r w:rsidR="00B77D39">
        <w:rPr>
          <w:sz w:val="24"/>
          <w:lang w:val="it-IT"/>
        </w:rPr>
        <w:t>umento PE-CONS 10/24 (2023/0200</w:t>
      </w:r>
      <w:r w:rsidRPr="00D37149">
        <w:rPr>
          <w:sz w:val="24"/>
          <w:lang w:val="it-IT"/>
        </w:rPr>
        <w:t>(COD)) e inserire il numero, la data e il riferimento GU di tale regolamento nella nota a piè di pagina.</w:t>
      </w:r>
    </w:p>
  </w:footnote>
  <w:footnote w:id="11">
    <w:p w14:paraId="3CD76A20" w14:textId="77777777" w:rsidR="005455C2" w:rsidRPr="00D37149" w:rsidRDefault="005455C2" w:rsidP="00C015C4">
      <w:pPr>
        <w:pStyle w:val="FootnoteText"/>
        <w:ind w:left="851" w:hanging="851"/>
        <w:rPr>
          <w:sz w:val="24"/>
          <w:lang w:val="it-IT"/>
        </w:rPr>
      </w:pPr>
      <w:r w:rsidRPr="00D37149">
        <w:rPr>
          <w:rStyle w:val="FootnoteReference"/>
          <w:sz w:val="24"/>
          <w:lang w:val="it-IT"/>
        </w:rPr>
        <w:t>+</w:t>
      </w:r>
      <w:r w:rsidR="00D37149" w:rsidRPr="00D37149">
        <w:rPr>
          <w:sz w:val="24"/>
          <w:lang w:val="it-IT"/>
        </w:rPr>
        <w:t xml:space="preserve"> </w:t>
      </w:r>
      <w:r w:rsidR="00D37149" w:rsidRPr="00D37149">
        <w:rPr>
          <w:sz w:val="24"/>
          <w:lang w:val="it-IT"/>
        </w:rPr>
        <w:tab/>
      </w:r>
      <w:r w:rsidRPr="00D37149">
        <w:rPr>
          <w:sz w:val="24"/>
          <w:lang w:val="it-IT"/>
        </w:rPr>
        <w:t>GU: inserire nel testo il numero del regolamento di cui al documento PE-CONS 10/24 (2023/0200(COD)).</w:t>
      </w:r>
    </w:p>
  </w:footnote>
  <w:footnote w:id="12">
    <w:p w14:paraId="2F0F1303" w14:textId="77777777" w:rsidR="00C015C4" w:rsidRPr="00C015C4" w:rsidRDefault="00C015C4" w:rsidP="00C015C4">
      <w:pPr>
        <w:pStyle w:val="FootnoteText"/>
        <w:ind w:left="851" w:hanging="851"/>
        <w:rPr>
          <w:lang w:val="it-IT"/>
        </w:rPr>
      </w:pPr>
      <w:r w:rsidRPr="003C392F">
        <w:rPr>
          <w:rStyle w:val="FootnoteReference"/>
          <w:sz w:val="24"/>
        </w:rPr>
        <w:footnoteRef/>
      </w:r>
      <w:r w:rsidRPr="003C392F">
        <w:rPr>
          <w:sz w:val="24"/>
          <w:lang w:val="it-IT"/>
        </w:rPr>
        <w:tab/>
        <w:t>Dichiarazione comune del Parlamento europeo, del Consiglio e della Commissione sul riutilizzo dei fondi disimpegnati nell'ambito del programma di ricerca (GU C 444</w:t>
      </w:r>
      <w:r>
        <w:rPr>
          <w:sz w:val="24"/>
          <w:lang w:val="it-IT"/>
        </w:rPr>
        <w:t xml:space="preserve"> </w:t>
      </w:r>
      <w:r w:rsidRPr="003C392F">
        <w:rPr>
          <w:sz w:val="24"/>
          <w:lang w:val="it-IT"/>
        </w:rPr>
        <w:t>I del 22.12.2020, pag.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10B00" w14:textId="77777777" w:rsidR="00064002" w:rsidRPr="00D3714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1CD79" w14:textId="77777777" w:rsidR="00064002" w:rsidRPr="00D3714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50AD2D" w14:textId="77777777" w:rsidR="00064002" w:rsidRPr="00D3714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1/2024"/>
    <w:docVar w:name="dvlangue" w:val="IT"/>
    <w:docVar w:name="dvnumam" w:val="0"/>
    <w:docVar w:name="dvpe" w:val="758.992"/>
    <w:docVar w:name="dvrapporteur" w:val="Relatori: "/>
    <w:docVar w:name="dvstar" w:val="***"/>
    <w:docVar w:name="dvtitre" w:val="Risoluzione legislativa del Parlamento europeo del 27 febbraio 2024 concernente il progetto di regolamento del Consiglio recante modifica del regolamento (UE, Euratom) 2020/2093 che stabilisce il quadro finanziario pluriennale per il periodo 2021-2027(05818/2024 – C9-0030/2024 – 2023/0201(APP))"/>
  </w:docVars>
  <w:rsids>
    <w:rsidRoot w:val="00F42433"/>
    <w:rsid w:val="00002272"/>
    <w:rsid w:val="00064002"/>
    <w:rsid w:val="000677B9"/>
    <w:rsid w:val="000831BA"/>
    <w:rsid w:val="000A42CC"/>
    <w:rsid w:val="000E7DD9"/>
    <w:rsid w:val="0010095E"/>
    <w:rsid w:val="00125B37"/>
    <w:rsid w:val="00187494"/>
    <w:rsid w:val="001F32AE"/>
    <w:rsid w:val="002767FF"/>
    <w:rsid w:val="002B18FE"/>
    <w:rsid w:val="002B5493"/>
    <w:rsid w:val="002F2D58"/>
    <w:rsid w:val="00343214"/>
    <w:rsid w:val="00361C00"/>
    <w:rsid w:val="00395FA1"/>
    <w:rsid w:val="003C392F"/>
    <w:rsid w:val="003E15D4"/>
    <w:rsid w:val="00411CCE"/>
    <w:rsid w:val="0041666E"/>
    <w:rsid w:val="00421060"/>
    <w:rsid w:val="00471C19"/>
    <w:rsid w:val="004867E3"/>
    <w:rsid w:val="00494A28"/>
    <w:rsid w:val="004C0004"/>
    <w:rsid w:val="004C5D52"/>
    <w:rsid w:val="0050519A"/>
    <w:rsid w:val="005072A1"/>
    <w:rsid w:val="00514517"/>
    <w:rsid w:val="005455C2"/>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7D39"/>
    <w:rsid w:val="00BD48FE"/>
    <w:rsid w:val="00BD7BD8"/>
    <w:rsid w:val="00BE6ADC"/>
    <w:rsid w:val="00C015C4"/>
    <w:rsid w:val="00C05BFE"/>
    <w:rsid w:val="00C23CD4"/>
    <w:rsid w:val="00C61C0C"/>
    <w:rsid w:val="00C941CB"/>
    <w:rsid w:val="00CC2357"/>
    <w:rsid w:val="00CF071A"/>
    <w:rsid w:val="00D058B8"/>
    <w:rsid w:val="00D37149"/>
    <w:rsid w:val="00D56C11"/>
    <w:rsid w:val="00D834A0"/>
    <w:rsid w:val="00D872DF"/>
    <w:rsid w:val="00D91E21"/>
    <w:rsid w:val="00DA7FCD"/>
    <w:rsid w:val="00DD2E6F"/>
    <w:rsid w:val="00E365E1"/>
    <w:rsid w:val="00E820A4"/>
    <w:rsid w:val="00EB006A"/>
    <w:rsid w:val="00EB4772"/>
    <w:rsid w:val="00ED169E"/>
    <w:rsid w:val="00ED4235"/>
    <w:rsid w:val="00F04346"/>
    <w:rsid w:val="00F075DC"/>
    <w:rsid w:val="00F149E9"/>
    <w:rsid w:val="00F42433"/>
    <w:rsid w:val="00F5134D"/>
    <w:rsid w:val="00F6764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7EB8C1"/>
  <w15:chartTrackingRefBased/>
  <w15:docId w15:val="{542C33BC-1E10-4F43-A222-25BB33D81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symbolCarZchn"/>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455C2"/>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5455C2"/>
    <w:pPr>
      <w:keepNext/>
      <w:spacing w:after="480"/>
      <w:jc w:val="center"/>
    </w:pPr>
    <w:rPr>
      <w:rFonts w:ascii="Arial" w:hAnsi="Arial" w:cs="Arial"/>
      <w:b/>
    </w:rPr>
  </w:style>
  <w:style w:type="paragraph" w:customStyle="1" w:styleId="NormalBold">
    <w:name w:val="NormalBold"/>
    <w:basedOn w:val="Normal"/>
    <w:rsid w:val="005455C2"/>
    <w:rPr>
      <w:b/>
    </w:rPr>
  </w:style>
  <w:style w:type="paragraph" w:customStyle="1" w:styleId="NormalHanging12a">
    <w:name w:val="NormalHanging12a"/>
    <w:basedOn w:val="Normal"/>
    <w:rsid w:val="005455C2"/>
    <w:pPr>
      <w:spacing w:after="240"/>
      <w:ind w:left="567" w:hanging="567"/>
    </w:pPr>
  </w:style>
  <w:style w:type="paragraph" w:customStyle="1" w:styleId="EPComma">
    <w:name w:val="EPComma"/>
    <w:basedOn w:val="Normal"/>
    <w:rsid w:val="005455C2"/>
    <w:pPr>
      <w:spacing w:before="480" w:after="240"/>
    </w:pPr>
  </w:style>
  <w:style w:type="paragraph" w:styleId="Header">
    <w:name w:val="header"/>
    <w:basedOn w:val="Normal"/>
    <w:link w:val="HeaderChar"/>
    <w:uiPriority w:val="99"/>
    <w:rsid w:val="005455C2"/>
    <w:pPr>
      <w:tabs>
        <w:tab w:val="center" w:pos="4513"/>
        <w:tab w:val="right" w:pos="9026"/>
      </w:tabs>
    </w:pPr>
  </w:style>
  <w:style w:type="character" w:customStyle="1" w:styleId="HeaderChar">
    <w:name w:val="Header Char"/>
    <w:basedOn w:val="DefaultParagraphFont"/>
    <w:link w:val="Header"/>
    <w:uiPriority w:val="99"/>
    <w:rsid w:val="005455C2"/>
    <w:rPr>
      <w:sz w:val="24"/>
      <w:lang w:val="it-IT"/>
    </w:rPr>
  </w:style>
  <w:style w:type="paragraph" w:customStyle="1" w:styleId="EPFooter">
    <w:name w:val="EPFooter"/>
    <w:basedOn w:val="Normal"/>
    <w:rsid w:val="005455C2"/>
    <w:pPr>
      <w:tabs>
        <w:tab w:val="center" w:pos="4535"/>
        <w:tab w:val="right" w:pos="9071"/>
      </w:tabs>
      <w:spacing w:before="240" w:after="240"/>
    </w:pPr>
    <w:rPr>
      <w:color w:val="010000"/>
      <w:sz w:val="22"/>
    </w:rPr>
  </w:style>
  <w:style w:type="paragraph" w:customStyle="1" w:styleId="Text1">
    <w:name w:val="Text 1"/>
    <w:basedOn w:val="Normal"/>
    <w:rsid w:val="005455C2"/>
    <w:pPr>
      <w:widowControl/>
      <w:spacing w:before="120" w:after="120" w:line="360" w:lineRule="auto"/>
      <w:ind w:left="850"/>
    </w:pPr>
    <w:rPr>
      <w:rFonts w:eastAsiaTheme="minorHAnsi"/>
      <w:szCs w:val="22"/>
      <w:lang w:eastAsia="en-US"/>
    </w:rPr>
  </w:style>
  <w:style w:type="paragraph" w:customStyle="1" w:styleId="Text2">
    <w:name w:val="Text 2"/>
    <w:basedOn w:val="Normal"/>
    <w:rsid w:val="005455C2"/>
    <w:pPr>
      <w:widowControl/>
      <w:spacing w:before="120" w:after="120" w:line="360" w:lineRule="auto"/>
      <w:ind w:left="1417"/>
    </w:pPr>
    <w:rPr>
      <w:rFonts w:eastAsiaTheme="minorHAnsi"/>
      <w:szCs w:val="22"/>
      <w:lang w:eastAsia="en-US"/>
    </w:rPr>
  </w:style>
  <w:style w:type="paragraph" w:customStyle="1" w:styleId="NormalCentered">
    <w:name w:val="Normal Centered"/>
    <w:basedOn w:val="Normal"/>
    <w:rsid w:val="005455C2"/>
    <w:pPr>
      <w:widowControl/>
      <w:spacing w:before="120" w:after="120" w:line="360" w:lineRule="auto"/>
      <w:jc w:val="center"/>
    </w:pPr>
    <w:rPr>
      <w:rFonts w:eastAsiaTheme="minorHAnsi"/>
      <w:szCs w:val="22"/>
      <w:lang w:eastAsia="en-US"/>
    </w:rPr>
  </w:style>
  <w:style w:type="paragraph" w:customStyle="1" w:styleId="NormalLeft">
    <w:name w:val="Normal Left"/>
    <w:basedOn w:val="Normal"/>
    <w:rsid w:val="005455C2"/>
    <w:pPr>
      <w:widowControl/>
      <w:spacing w:before="120" w:after="120" w:line="360" w:lineRule="auto"/>
    </w:pPr>
    <w:rPr>
      <w:rFonts w:eastAsiaTheme="minorHAnsi"/>
      <w:szCs w:val="22"/>
      <w:lang w:eastAsia="en-US"/>
    </w:rPr>
  </w:style>
  <w:style w:type="paragraph" w:customStyle="1" w:styleId="Point0">
    <w:name w:val="Point 0"/>
    <w:basedOn w:val="Normal"/>
    <w:rsid w:val="005455C2"/>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5455C2"/>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5455C2"/>
    <w:pPr>
      <w:widowControl/>
      <w:spacing w:before="120" w:after="120" w:line="360" w:lineRule="auto"/>
      <w:ind w:left="1984" w:hanging="567"/>
    </w:pPr>
    <w:rPr>
      <w:rFonts w:eastAsiaTheme="minorHAnsi"/>
      <w:szCs w:val="22"/>
      <w:lang w:eastAsia="en-US"/>
    </w:rPr>
  </w:style>
  <w:style w:type="paragraph" w:customStyle="1" w:styleId="Tiret2">
    <w:name w:val="Tiret 2"/>
    <w:basedOn w:val="Normal"/>
    <w:rsid w:val="005455C2"/>
    <w:pPr>
      <w:widowControl/>
      <w:numPr>
        <w:numId w:val="45"/>
      </w:numPr>
      <w:spacing w:before="120" w:after="120" w:line="360" w:lineRule="auto"/>
    </w:pPr>
    <w:rPr>
      <w:rFonts w:eastAsiaTheme="minorHAnsi"/>
      <w:szCs w:val="22"/>
      <w:lang w:eastAsia="en-US"/>
    </w:rPr>
  </w:style>
  <w:style w:type="paragraph" w:customStyle="1" w:styleId="Applicationdirecte">
    <w:name w:val="Application directe"/>
    <w:basedOn w:val="Normal"/>
    <w:next w:val="Fait"/>
    <w:rsid w:val="005455C2"/>
    <w:pPr>
      <w:widowControl/>
      <w:spacing w:before="480" w:after="120" w:line="360" w:lineRule="auto"/>
    </w:pPr>
    <w:rPr>
      <w:rFonts w:eastAsiaTheme="minorHAnsi"/>
      <w:szCs w:val="22"/>
      <w:lang w:eastAsia="en-US"/>
    </w:rPr>
  </w:style>
  <w:style w:type="paragraph" w:customStyle="1" w:styleId="Datedadoption">
    <w:name w:val="Date d'adoption"/>
    <w:basedOn w:val="Normal"/>
    <w:next w:val="Titreobjet"/>
    <w:rsid w:val="005455C2"/>
    <w:pPr>
      <w:widowControl/>
      <w:spacing w:before="360" w:line="360" w:lineRule="auto"/>
      <w:jc w:val="center"/>
    </w:pPr>
    <w:rPr>
      <w:rFonts w:eastAsiaTheme="minorHAnsi"/>
      <w:b/>
      <w:szCs w:val="22"/>
      <w:lang w:eastAsia="en-US"/>
    </w:rPr>
  </w:style>
  <w:style w:type="paragraph" w:customStyle="1" w:styleId="Fait">
    <w:name w:val="Fait à"/>
    <w:basedOn w:val="Normal"/>
    <w:next w:val="Institutionquisigne"/>
    <w:rsid w:val="005455C2"/>
    <w:pPr>
      <w:keepNext/>
      <w:widowControl/>
      <w:spacing w:before="120" w:line="360" w:lineRule="auto"/>
    </w:pPr>
    <w:rPr>
      <w:rFonts w:eastAsiaTheme="minorHAnsi"/>
      <w:szCs w:val="22"/>
      <w:lang w:eastAsia="en-US"/>
    </w:rPr>
  </w:style>
  <w:style w:type="paragraph" w:customStyle="1" w:styleId="Formuledadoption">
    <w:name w:val="Formule d'adoption"/>
    <w:basedOn w:val="Normal"/>
    <w:next w:val="Titrearticle"/>
    <w:rsid w:val="005455C2"/>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5455C2"/>
    <w:pPr>
      <w:keepNext/>
      <w:widowControl/>
      <w:spacing w:before="600" w:after="120" w:line="360" w:lineRule="auto"/>
    </w:pPr>
    <w:rPr>
      <w:rFonts w:eastAsiaTheme="minorHAnsi"/>
      <w:szCs w:val="22"/>
      <w:lang w:eastAsia="en-US"/>
    </w:rPr>
  </w:style>
  <w:style w:type="paragraph" w:customStyle="1" w:styleId="Institutionquisigne">
    <w:name w:val="Institution qui signe"/>
    <w:basedOn w:val="Normal"/>
    <w:next w:val="Personnequisigne"/>
    <w:rsid w:val="005455C2"/>
    <w:pPr>
      <w:keepNext/>
      <w:widowControl/>
      <w:tabs>
        <w:tab w:val="left" w:pos="5669"/>
      </w:tabs>
      <w:spacing w:before="720" w:line="360" w:lineRule="auto"/>
    </w:pPr>
    <w:rPr>
      <w:rFonts w:eastAsiaTheme="minorHAnsi"/>
      <w:i/>
      <w:szCs w:val="22"/>
      <w:lang w:eastAsia="en-US"/>
    </w:rPr>
  </w:style>
  <w:style w:type="paragraph" w:customStyle="1" w:styleId="ManualConsidrant">
    <w:name w:val="Manual Considérant"/>
    <w:basedOn w:val="Normal"/>
    <w:rsid w:val="005455C2"/>
    <w:pPr>
      <w:widowControl/>
      <w:spacing w:before="120" w:after="120" w:line="360" w:lineRule="auto"/>
      <w:ind w:left="850" w:hanging="850"/>
    </w:pPr>
    <w:rPr>
      <w:rFonts w:eastAsiaTheme="minorHAnsi"/>
      <w:szCs w:val="22"/>
      <w:lang w:eastAsia="en-US"/>
    </w:rPr>
  </w:style>
  <w:style w:type="paragraph" w:customStyle="1" w:styleId="Personnequisigne">
    <w:name w:val="Personne qui signe"/>
    <w:basedOn w:val="Normal"/>
    <w:next w:val="Institutionquisigne"/>
    <w:rsid w:val="005455C2"/>
    <w:pPr>
      <w:widowControl/>
      <w:tabs>
        <w:tab w:val="left" w:pos="5669"/>
      </w:tabs>
      <w:spacing w:line="360" w:lineRule="auto"/>
    </w:pPr>
    <w:rPr>
      <w:rFonts w:eastAsiaTheme="minorHAnsi"/>
      <w:i/>
      <w:szCs w:val="22"/>
      <w:lang w:eastAsia="en-US"/>
    </w:rPr>
  </w:style>
  <w:style w:type="paragraph" w:customStyle="1" w:styleId="Titrearticle">
    <w:name w:val="Titre article"/>
    <w:basedOn w:val="Normal"/>
    <w:next w:val="Normal"/>
    <w:rsid w:val="005455C2"/>
    <w:pPr>
      <w:keepNext/>
      <w:widowControl/>
      <w:spacing w:before="360" w:after="120" w:line="360" w:lineRule="auto"/>
      <w:jc w:val="center"/>
    </w:pPr>
    <w:rPr>
      <w:rFonts w:eastAsiaTheme="minorHAnsi"/>
      <w:i/>
      <w:szCs w:val="22"/>
      <w:lang w:eastAsia="en-US"/>
    </w:rPr>
  </w:style>
  <w:style w:type="paragraph" w:customStyle="1" w:styleId="Titreobjet">
    <w:name w:val="Titre objet"/>
    <w:basedOn w:val="Normal"/>
    <w:next w:val="Normal"/>
    <w:rsid w:val="005455C2"/>
    <w:pPr>
      <w:widowControl/>
      <w:spacing w:before="360" w:after="360" w:line="360" w:lineRule="auto"/>
      <w:jc w:val="center"/>
    </w:pPr>
    <w:rPr>
      <w:rFonts w:eastAsiaTheme="minorHAnsi"/>
      <w:b/>
      <w:szCs w:val="22"/>
      <w:lang w:eastAsia="en-US"/>
    </w:rPr>
  </w:style>
  <w:style w:type="paragraph" w:customStyle="1" w:styleId="Typedudocument">
    <w:name w:val="Type du document"/>
    <w:basedOn w:val="Normal"/>
    <w:next w:val="Datedadoption"/>
    <w:rsid w:val="005455C2"/>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5455C2"/>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5455C2"/>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Annexetitre">
    <w:name w:val="Annexe titre"/>
    <w:basedOn w:val="Normal"/>
    <w:next w:val="Normal"/>
    <w:rsid w:val="005455C2"/>
    <w:pPr>
      <w:widowControl/>
      <w:spacing w:before="120" w:after="120" w:line="360" w:lineRule="auto"/>
      <w:jc w:val="center"/>
    </w:pPr>
    <w:rPr>
      <w:rFonts w:eastAsiaTheme="minorHAnsi"/>
      <w:b/>
      <w:szCs w:val="22"/>
      <w:u w:val="single"/>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5455C2"/>
    <w:pPr>
      <w:widowControl/>
      <w:spacing w:after="160" w:line="240" w:lineRule="exact"/>
      <w:jc w:val="both"/>
    </w:pPr>
    <w:rPr>
      <w:sz w:val="20"/>
      <w:vertAlign w:val="superscript"/>
      <w:lang w:val="en-GB"/>
    </w:rPr>
  </w:style>
  <w:style w:type="character" w:styleId="CommentReference">
    <w:name w:val="annotation reference"/>
    <w:basedOn w:val="DefaultParagraphFont"/>
    <w:rsid w:val="00C015C4"/>
    <w:rPr>
      <w:sz w:val="16"/>
      <w:szCs w:val="16"/>
    </w:rPr>
  </w:style>
  <w:style w:type="paragraph" w:styleId="CommentText">
    <w:name w:val="annotation text"/>
    <w:basedOn w:val="Normal"/>
    <w:link w:val="CommentTextChar"/>
    <w:rsid w:val="00C015C4"/>
    <w:rPr>
      <w:sz w:val="20"/>
    </w:rPr>
  </w:style>
  <w:style w:type="character" w:customStyle="1" w:styleId="CommentTextChar">
    <w:name w:val="Comment Text Char"/>
    <w:basedOn w:val="DefaultParagraphFont"/>
    <w:link w:val="CommentText"/>
    <w:rsid w:val="00C015C4"/>
    <w:rPr>
      <w:lang w:val="it-IT"/>
    </w:rPr>
  </w:style>
  <w:style w:type="paragraph" w:styleId="CommentSubject">
    <w:name w:val="annotation subject"/>
    <w:basedOn w:val="CommentText"/>
    <w:next w:val="CommentText"/>
    <w:link w:val="CommentSubjectChar"/>
    <w:rsid w:val="00C015C4"/>
    <w:rPr>
      <w:b/>
      <w:bCs/>
    </w:rPr>
  </w:style>
  <w:style w:type="character" w:customStyle="1" w:styleId="CommentSubjectChar">
    <w:name w:val="Comment Subject Char"/>
    <w:basedOn w:val="CommentTextChar"/>
    <w:link w:val="CommentSubject"/>
    <w:rsid w:val="00C015C4"/>
    <w:rPr>
      <w:b/>
      <w:bCs/>
      <w:lang w:val="it-IT"/>
    </w:rPr>
  </w:style>
  <w:style w:type="paragraph" w:styleId="BalloonText">
    <w:name w:val="Balloon Text"/>
    <w:basedOn w:val="Normal"/>
    <w:link w:val="BalloonTextChar"/>
    <w:rsid w:val="00C015C4"/>
    <w:rPr>
      <w:rFonts w:ascii="Segoe UI" w:hAnsi="Segoe UI" w:cs="Segoe UI"/>
      <w:sz w:val="18"/>
      <w:szCs w:val="18"/>
    </w:rPr>
  </w:style>
  <w:style w:type="character" w:customStyle="1" w:styleId="BalloonTextChar">
    <w:name w:val="Balloon Text Char"/>
    <w:basedOn w:val="DefaultParagraphFont"/>
    <w:link w:val="BalloonText"/>
    <w:rsid w:val="00C015C4"/>
    <w:rPr>
      <w:rFonts w:ascii="Segoe UI" w:hAnsi="Segoe UI" w:cs="Segoe UI"/>
      <w:sz w:val="18"/>
      <w:szCs w:val="18"/>
      <w:lang w:val="it-IT"/>
    </w:rPr>
  </w:style>
  <w:style w:type="paragraph" w:styleId="NormalWeb">
    <w:name w:val="Normal (Web)"/>
    <w:basedOn w:val="Normal"/>
    <w:uiPriority w:val="99"/>
    <w:unhideWhenUsed/>
    <w:rsid w:val="00C015C4"/>
    <w:pPr>
      <w:widowControl/>
      <w:spacing w:before="100" w:beforeAutospacing="1" w:after="100" w:afterAutospacing="1"/>
    </w:pPr>
    <w:rPr>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8DAF54-0AD1-4DE7-A117-BF9EBD9A8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4423</Words>
  <Characters>25184</Characters>
  <Application>Microsoft Office Word</Application>
  <DocSecurity>4</DocSecurity>
  <Lines>209</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dc:creator>
  <cp:keywords/>
  <cp:lastModifiedBy>SOLTYSOVA Zuzana</cp:lastModifiedBy>
  <cp:revision>2</cp:revision>
  <cp:lastPrinted>2004-11-19T15:42:00Z</cp:lastPrinted>
  <dcterms:created xsi:type="dcterms:W3CDTF">2024-07-02T13:43:00Z</dcterms:created>
  <dcterms:modified xsi:type="dcterms:W3CDTF">2024-07-02T13:43:00Z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P9_TA(2024)0081_</vt:lpwstr>
  </property>
  <property fmtid="{D5CDD505-2E9C-101B-9397-08002B2CF9AE}" pid="4" name="&lt;Type&gt;">
    <vt:lpwstr>RR</vt:lpwstr>
  </property>
</Properties>
</file>