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E5D" w:rsidTr="0010095E">
        <w:trPr>
          <w:trHeight w:hRule="exact" w:val="1418"/>
        </w:trPr>
        <w:tc>
          <w:tcPr>
            <w:tcW w:w="6804" w:type="dxa"/>
            <w:shd w:val="clear" w:color="auto" w:fill="auto"/>
            <w:vAlign w:val="center"/>
          </w:tcPr>
          <w:p w:rsidR="00751A4A" w:rsidRPr="00683E5D" w:rsidRDefault="00B375CC" w:rsidP="0010095E">
            <w:pPr>
              <w:pStyle w:val="EPName"/>
            </w:pPr>
            <w:r w:rsidRPr="00683E5D">
              <w:t>Europos Parlamentas</w:t>
            </w:r>
          </w:p>
          <w:p w:rsidR="00751A4A" w:rsidRPr="00683E5D" w:rsidRDefault="00817416" w:rsidP="00756632">
            <w:pPr>
              <w:pStyle w:val="EPTerm"/>
              <w:rPr>
                <w:rStyle w:val="HideTWBExt"/>
                <w:noProof w:val="0"/>
                <w:vanish w:val="0"/>
                <w:color w:val="auto"/>
              </w:rPr>
            </w:pPr>
            <w:r w:rsidRPr="00683E5D">
              <w:t>2019-2024</w:t>
            </w:r>
          </w:p>
        </w:tc>
        <w:tc>
          <w:tcPr>
            <w:tcW w:w="2268" w:type="dxa"/>
            <w:shd w:val="clear" w:color="auto" w:fill="auto"/>
          </w:tcPr>
          <w:p w:rsidR="00751A4A" w:rsidRPr="00683E5D" w:rsidRDefault="00187494" w:rsidP="0010095E">
            <w:pPr>
              <w:pStyle w:val="EPLogo"/>
            </w:pPr>
            <w:r w:rsidRPr="00683E5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3E5D" w:rsidRDefault="00D058B8" w:rsidP="004C5D52">
      <w:pPr>
        <w:pStyle w:val="LineTop"/>
      </w:pPr>
    </w:p>
    <w:p w:rsidR="00680577" w:rsidRPr="00683E5D" w:rsidRDefault="00B375CC" w:rsidP="00680577">
      <w:pPr>
        <w:pStyle w:val="EPBodyTA1"/>
      </w:pPr>
      <w:r w:rsidRPr="00683E5D">
        <w:t>PRIIMTI TEKSTAI</w:t>
      </w:r>
    </w:p>
    <w:p w:rsidR="00D058B8" w:rsidRPr="00683E5D" w:rsidRDefault="00D058B8" w:rsidP="00D058B8">
      <w:pPr>
        <w:pStyle w:val="LineBottom"/>
      </w:pPr>
    </w:p>
    <w:p w:rsidR="00B375CC" w:rsidRPr="00683E5D" w:rsidRDefault="00B375CC" w:rsidP="00B375CC">
      <w:pPr>
        <w:pStyle w:val="ATHeading1"/>
      </w:pPr>
      <w:bookmarkStart w:id="0" w:name="TANumber"/>
      <w:r w:rsidRPr="00683E5D">
        <w:t>P9_TA(2024)00</w:t>
      </w:r>
      <w:r w:rsidR="003803E3">
        <w:t>81</w:t>
      </w:r>
      <w:bookmarkEnd w:id="0"/>
    </w:p>
    <w:p w:rsidR="00B375CC" w:rsidRPr="00683E5D" w:rsidRDefault="00B375CC" w:rsidP="00B375CC">
      <w:pPr>
        <w:pStyle w:val="ATHeading2"/>
      </w:pPr>
      <w:bookmarkStart w:id="1" w:name="title"/>
      <w:r w:rsidRPr="00683E5D">
        <w:t>2021–2027 m. daugiametė finansinė programa</w:t>
      </w:r>
      <w:bookmarkEnd w:id="1"/>
    </w:p>
    <w:p w:rsidR="00B375CC" w:rsidRPr="00683E5D" w:rsidRDefault="00B375CC" w:rsidP="00B375CC">
      <w:pPr>
        <w:rPr>
          <w:i/>
          <w:vanish/>
        </w:rPr>
      </w:pPr>
      <w:r w:rsidRPr="00683E5D">
        <w:rPr>
          <w:i/>
        </w:rPr>
        <w:fldChar w:fldCharType="begin"/>
      </w:r>
      <w:r w:rsidRPr="00683E5D">
        <w:rPr>
          <w:i/>
        </w:rPr>
        <w:instrText xml:space="preserve"> TC"(</w:instrText>
      </w:r>
      <w:bookmarkStart w:id="2" w:name="DocNumber"/>
      <w:r w:rsidRPr="00683E5D">
        <w:rPr>
          <w:i/>
        </w:rPr>
        <w:instrText>A9-0051/2024</w:instrText>
      </w:r>
      <w:bookmarkEnd w:id="2"/>
      <w:r w:rsidRPr="00683E5D">
        <w:rPr>
          <w:i/>
        </w:rPr>
        <w:instrText xml:space="preserve"> - </w:instrText>
      </w:r>
      <w:proofErr w:type="spellStart"/>
      <w:r w:rsidR="00BA01C4">
        <w:rPr>
          <w:i/>
        </w:rPr>
        <w:instrText>Bendrapraneš</w:instrText>
      </w:r>
      <w:r w:rsidR="001F1374">
        <w:rPr>
          <w:i/>
        </w:rPr>
        <w:instrText>ėj</w:instrText>
      </w:r>
      <w:r w:rsidRPr="00683E5D">
        <w:rPr>
          <w:i/>
        </w:rPr>
        <w:instrText>ai</w:instrText>
      </w:r>
      <w:proofErr w:type="spellEnd"/>
      <w:r w:rsidRPr="00683E5D">
        <w:rPr>
          <w:i/>
        </w:rPr>
        <w:instrText xml:space="preserve">: Jan </w:instrText>
      </w:r>
      <w:proofErr w:type="spellStart"/>
      <w:r w:rsidRPr="00683E5D">
        <w:rPr>
          <w:i/>
        </w:rPr>
        <w:instrText>Olbrycht</w:instrText>
      </w:r>
      <w:proofErr w:type="spellEnd"/>
      <w:r w:rsidRPr="00683E5D">
        <w:rPr>
          <w:i/>
        </w:rPr>
        <w:instrText xml:space="preserve">, </w:instrText>
      </w:r>
      <w:proofErr w:type="spellStart"/>
      <w:r w:rsidRPr="00683E5D">
        <w:rPr>
          <w:i/>
        </w:rPr>
        <w:instrText>Margarida</w:instrText>
      </w:r>
      <w:proofErr w:type="spellEnd"/>
      <w:r w:rsidRPr="00683E5D">
        <w:rPr>
          <w:i/>
        </w:rPr>
        <w:instrText xml:space="preserve"> </w:instrText>
      </w:r>
      <w:proofErr w:type="spellStart"/>
      <w:r w:rsidRPr="00683E5D">
        <w:rPr>
          <w:i/>
        </w:rPr>
        <w:instrText>Marques</w:instrText>
      </w:r>
      <w:proofErr w:type="spellEnd"/>
      <w:r w:rsidRPr="00683E5D">
        <w:rPr>
          <w:i/>
        </w:rPr>
        <w:instrText xml:space="preserve">)"\l3 \n&gt; \* MERGEFORMAT </w:instrText>
      </w:r>
      <w:r w:rsidRPr="00683E5D">
        <w:rPr>
          <w:i/>
        </w:rPr>
        <w:fldChar w:fldCharType="end"/>
      </w:r>
    </w:p>
    <w:p w:rsidR="00B375CC" w:rsidRPr="00683E5D" w:rsidRDefault="00B375CC" w:rsidP="00B375CC">
      <w:pPr>
        <w:rPr>
          <w:vanish/>
        </w:rPr>
      </w:pPr>
      <w:bookmarkStart w:id="3" w:name="Commission"/>
      <w:r w:rsidRPr="00683E5D">
        <w:rPr>
          <w:vanish/>
        </w:rPr>
        <w:t>Biudžeto komitetas</w:t>
      </w:r>
      <w:bookmarkEnd w:id="3"/>
    </w:p>
    <w:p w:rsidR="00B375CC" w:rsidRPr="00683E5D" w:rsidRDefault="00B375CC" w:rsidP="00B375CC">
      <w:pPr>
        <w:rPr>
          <w:vanish/>
        </w:rPr>
      </w:pPr>
      <w:bookmarkStart w:id="4" w:name="PE"/>
      <w:r w:rsidRPr="00683E5D">
        <w:rPr>
          <w:vanish/>
        </w:rPr>
        <w:t>PE758.992</w:t>
      </w:r>
      <w:bookmarkEnd w:id="4"/>
    </w:p>
    <w:p w:rsidR="00B375CC" w:rsidRPr="00683E5D" w:rsidRDefault="001F1374" w:rsidP="00B375CC">
      <w:pPr>
        <w:pStyle w:val="ATHeading3"/>
      </w:pPr>
      <w:bookmarkStart w:id="5" w:name="Sujet"/>
      <w:r>
        <w:t xml:space="preserve">2024 m. vasario 27 d. </w:t>
      </w:r>
      <w:r w:rsidR="00B375CC" w:rsidRPr="00683E5D">
        <w:t>Europos Parlamento teisėkūros rezoliucija dėl Tarybos reglamento, kuriuo iš dalies keičiamas Reglamentas (ES, Euratomas) 2020/2093, kuriuo nustatoma 2021–2027 m. daugiametė finansinė programa, projekto</w:t>
      </w:r>
      <w:bookmarkEnd w:id="5"/>
      <w:r w:rsidR="00B375CC" w:rsidRPr="00683E5D">
        <w:t xml:space="preserve"> </w:t>
      </w:r>
      <w:bookmarkStart w:id="6" w:name="References"/>
      <w:r w:rsidR="00B375CC" w:rsidRPr="00683E5D">
        <w:t>(05818/2024 – C9-0030/2024 – 2023/0201(APP))</w:t>
      </w:r>
      <w:bookmarkEnd w:id="6"/>
    </w:p>
    <w:p w:rsidR="00B375CC" w:rsidRPr="00683E5D" w:rsidRDefault="00B375CC" w:rsidP="00B375CC"/>
    <w:p w:rsidR="007733EE" w:rsidRPr="00683E5D" w:rsidRDefault="007733EE" w:rsidP="007733EE">
      <w:pPr>
        <w:pStyle w:val="NormalBold"/>
      </w:pPr>
      <w:bookmarkStart w:id="7" w:name="TextBodyBegin"/>
      <w:bookmarkEnd w:id="7"/>
      <w:r w:rsidRPr="00683E5D">
        <w:t>(Speciali teisėkūros procedūra: pritarimas)</w:t>
      </w:r>
    </w:p>
    <w:p w:rsidR="007733EE" w:rsidRPr="00683E5D" w:rsidRDefault="007733EE" w:rsidP="007733EE">
      <w:pPr>
        <w:pStyle w:val="EPComma"/>
      </w:pPr>
      <w:r w:rsidRPr="00683E5D">
        <w:rPr>
          <w:i/>
        </w:rPr>
        <w:t>Europos Parlamentas</w:t>
      </w:r>
      <w:r w:rsidRPr="00683E5D">
        <w:t>,</w:t>
      </w:r>
    </w:p>
    <w:p w:rsidR="007733EE" w:rsidRPr="00683E5D" w:rsidRDefault="007733EE" w:rsidP="007733EE">
      <w:pPr>
        <w:pStyle w:val="NormalHanging12a"/>
      </w:pPr>
      <w:r w:rsidRPr="00683E5D">
        <w:t>–</w:t>
      </w:r>
      <w:r w:rsidRPr="00683E5D">
        <w:tab/>
        <w:t>atsižvelgdamas į Tarybos reglamento, kuriuo iš dalies keičiamas Reglamentas (ES, Euratomas) 2020/2093, kuriuo nustatoma 2021–2027 m. daugiametė finansinė programa, projektą (05818/2024),</w:t>
      </w:r>
    </w:p>
    <w:p w:rsidR="007733EE" w:rsidRPr="00683E5D" w:rsidRDefault="007733EE" w:rsidP="007733EE">
      <w:pPr>
        <w:pStyle w:val="NormalHanging12a"/>
      </w:pPr>
      <w:r w:rsidRPr="00683E5D">
        <w:t>–</w:t>
      </w:r>
      <w:r w:rsidRPr="00683E5D">
        <w:tab/>
        <w:t>atsižvelgdamas į prašymą dėl pritarimo, kurį Taryba pateikė pagal Sutarties dėl Europos Sąjungos veikimo 312 straipsnio 2 dalį (C9-0030/2024),</w:t>
      </w:r>
    </w:p>
    <w:p w:rsidR="007733EE" w:rsidRPr="00683E5D" w:rsidRDefault="007733EE" w:rsidP="007733EE">
      <w:pPr>
        <w:pStyle w:val="NormalHanging12a"/>
      </w:pPr>
      <w:r w:rsidRPr="00683E5D">
        <w:t>–</w:t>
      </w:r>
      <w:r w:rsidRPr="00683E5D">
        <w:tab/>
        <w:t>atsižvelgdamas į 2023 m. birželio 20 d. Komisijos pasiūlymą dėl Tarybos reglamento, kuriuo iš dalies keičiamas Reglamentas (ES, Euratomas) 2020/2093, kuriuo nustatoma 2021–2027 m. daugiametė finansinė programa (COM(2023)0337),</w:t>
      </w:r>
    </w:p>
    <w:p w:rsidR="007733EE" w:rsidRPr="00683E5D" w:rsidRDefault="007733EE" w:rsidP="007733EE">
      <w:pPr>
        <w:pStyle w:val="NormalHanging12a"/>
        <w:rPr>
          <w:snapToGrid w:val="0"/>
          <w:szCs w:val="24"/>
        </w:rPr>
      </w:pPr>
      <w:r w:rsidRPr="00683E5D">
        <w:t>–</w:t>
      </w:r>
      <w:r w:rsidRPr="00683E5D">
        <w:tab/>
      </w:r>
      <w:r w:rsidRPr="00683E5D">
        <w:rPr>
          <w:snapToGrid w:val="0"/>
        </w:rPr>
        <w:t>atsižvelgdamas į 2023 m. spalio 3 d. rezoliuciją dėl pasiūlymo dėl 2021–2027 m. daugiametės finansinės programos laikotarpio vidurio tikslinimo</w:t>
      </w:r>
      <w:r w:rsidRPr="00683E5D">
        <w:rPr>
          <w:snapToGrid w:val="0"/>
          <w:szCs w:val="24"/>
          <w:vertAlign w:val="superscript"/>
        </w:rPr>
        <w:footnoteReference w:id="1"/>
      </w:r>
      <w:r w:rsidRPr="00683E5D">
        <w:rPr>
          <w:snapToGrid w:val="0"/>
        </w:rPr>
        <w:t>,</w:t>
      </w:r>
    </w:p>
    <w:p w:rsidR="007733EE" w:rsidRPr="00683E5D" w:rsidRDefault="007733EE" w:rsidP="007733EE">
      <w:pPr>
        <w:pStyle w:val="NormalHanging12a"/>
      </w:pPr>
      <w:r w:rsidRPr="00683E5D">
        <w:t>–</w:t>
      </w:r>
      <w:r w:rsidRPr="00683E5D">
        <w:tab/>
        <w:t>atsižvelgdamas į Darbo taisyklių 92 straipsnį ir į 105 straipsnio 1 ir 4 dalis,</w:t>
      </w:r>
    </w:p>
    <w:p w:rsidR="007733EE" w:rsidRPr="00683E5D" w:rsidRDefault="007733EE" w:rsidP="007733EE">
      <w:pPr>
        <w:pStyle w:val="NormalHanging12a"/>
      </w:pPr>
      <w:r w:rsidRPr="00683E5D">
        <w:t>–</w:t>
      </w:r>
      <w:r w:rsidRPr="00683E5D">
        <w:tab/>
        <w:t>atsižvelgdamas į Biudžeto komiteto rekomendaciją (A9-0051/2024),</w:t>
      </w:r>
    </w:p>
    <w:p w:rsidR="007733EE" w:rsidRPr="00683E5D" w:rsidRDefault="007733EE" w:rsidP="007733EE">
      <w:pPr>
        <w:pStyle w:val="NormalHanging12a"/>
      </w:pPr>
      <w:r w:rsidRPr="00683E5D">
        <w:t>1.</w:t>
      </w:r>
      <w:r w:rsidRPr="00683E5D">
        <w:tab/>
        <w:t>pritaria šios rezoliucijos priede išdėstytam Tarybos reglamento projektui;</w:t>
      </w:r>
    </w:p>
    <w:p w:rsidR="007733EE" w:rsidRPr="00683E5D" w:rsidRDefault="007733EE" w:rsidP="007733EE">
      <w:pPr>
        <w:pStyle w:val="NormalHanging12a"/>
      </w:pPr>
      <w:r w:rsidRPr="00683E5D">
        <w:t>2.</w:t>
      </w:r>
      <w:r w:rsidRPr="00683E5D">
        <w:tab/>
        <w:t>pritaria prie šios rezoliucijos pridedamai Europos Parlamento, Tarybos ir Komisijos bendrai deklaracijai;</w:t>
      </w:r>
    </w:p>
    <w:p w:rsidR="007733EE" w:rsidRPr="00683E5D" w:rsidRDefault="007733EE" w:rsidP="007733EE">
      <w:pPr>
        <w:pStyle w:val="NormalHanging12a"/>
      </w:pPr>
      <w:r w:rsidRPr="00683E5D">
        <w:t>3.</w:t>
      </w:r>
      <w:r w:rsidRPr="00683E5D">
        <w:tab/>
        <w:t xml:space="preserve">paveda Pirmininkei perduoti Parlamento poziciją Tarybai, Komisijai ir nacionaliniams </w:t>
      </w:r>
      <w:r w:rsidRPr="00683E5D">
        <w:lastRenderedPageBreak/>
        <w:t>parlamentams.</w:t>
      </w:r>
    </w:p>
    <w:p w:rsidR="001F1374" w:rsidRDefault="001F1374" w:rsidP="007733EE">
      <w:pPr>
        <w:sectPr w:rsidR="001F1374" w:rsidSect="00683E5D">
          <w:footerReference w:type="even" r:id="rId9"/>
          <w:footerReference w:type="first" r:id="rId10"/>
          <w:footnotePr>
            <w:numRestart w:val="eachPage"/>
          </w:footnotePr>
          <w:pgSz w:w="11907" w:h="16839"/>
          <w:pgMar w:top="1134" w:right="1134" w:bottom="1134" w:left="1134" w:header="567" w:footer="567" w:gutter="0"/>
          <w:cols w:space="720"/>
          <w:docGrid w:linePitch="326"/>
        </w:sectPr>
      </w:pPr>
    </w:p>
    <w:p w:rsidR="007733EE" w:rsidRPr="00C8455C" w:rsidRDefault="007733EE" w:rsidP="007733EE">
      <w:pPr>
        <w:pStyle w:val="PageHeading"/>
        <w:rPr>
          <w:rFonts w:ascii="Times New Roman" w:hAnsi="Times New Roman" w:cs="Times New Roman"/>
          <w:caps/>
        </w:rPr>
      </w:pPr>
      <w:bookmarkStart w:id="8" w:name="_Toc159509473"/>
      <w:bookmarkStart w:id="9" w:name="_Toc159578085"/>
      <w:r w:rsidRPr="00C8455C">
        <w:rPr>
          <w:rFonts w:ascii="Times New Roman" w:hAnsi="Times New Roman" w:cs="Times New Roman"/>
          <w:caps/>
        </w:rPr>
        <w:lastRenderedPageBreak/>
        <w:t xml:space="preserve">1 PRIEDAS. TARYBOS REGLAMENTO, kuriuo iš dalies keičiamas Reglamentas </w:t>
      </w:r>
      <w:r w:rsidR="00C8455C" w:rsidRPr="00C8455C">
        <w:rPr>
          <w:rFonts w:ascii="Times New Roman" w:hAnsi="Times New Roman" w:cs="Times New Roman"/>
          <w:caps/>
        </w:rPr>
        <w:t xml:space="preserve">(ES, EURATOMAS) </w:t>
      </w:r>
      <w:r w:rsidRPr="00C8455C">
        <w:rPr>
          <w:rFonts w:ascii="Times New Roman" w:hAnsi="Times New Roman" w:cs="Times New Roman"/>
          <w:caps/>
        </w:rPr>
        <w:t>2020/2093, kuriuo nustatoma 2021–2027 m. daugiametė finansinė programa, PROJEKTAS</w:t>
      </w:r>
      <w:bookmarkEnd w:id="8"/>
      <w:bookmarkEnd w:id="9"/>
    </w:p>
    <w:p w:rsidR="007733EE" w:rsidRPr="00683E5D" w:rsidRDefault="007733EE" w:rsidP="007733EE">
      <w:pPr>
        <w:pStyle w:val="NormalHanging12a"/>
        <w:ind w:left="0" w:firstLine="0"/>
        <w:jc w:val="center"/>
        <w:rPr>
          <w:caps/>
        </w:rPr>
      </w:pPr>
    </w:p>
    <w:p w:rsidR="007733EE" w:rsidRPr="00683E5D" w:rsidRDefault="007733EE" w:rsidP="007733EE">
      <w:pPr>
        <w:pStyle w:val="Typedudocument"/>
        <w:spacing w:before="0" w:after="240" w:line="240" w:lineRule="auto"/>
      </w:pPr>
      <w:r w:rsidRPr="00683E5D">
        <w:t>TARYBOS REGLAMENTAS (ES, Euratomas) 2024/…</w:t>
      </w:r>
    </w:p>
    <w:p w:rsidR="007733EE" w:rsidRPr="00683E5D" w:rsidRDefault="007733EE" w:rsidP="007733EE">
      <w:pPr>
        <w:pStyle w:val="Datedadoption"/>
        <w:spacing w:before="0" w:after="240" w:line="240" w:lineRule="auto"/>
      </w:pPr>
      <w:r w:rsidRPr="00683E5D">
        <w:t>... m. ... ... d.</w:t>
      </w:r>
    </w:p>
    <w:p w:rsidR="007733EE" w:rsidRPr="00683E5D" w:rsidRDefault="007733EE" w:rsidP="007733EE">
      <w:pPr>
        <w:pStyle w:val="Titreobjet"/>
        <w:spacing w:before="0" w:after="240" w:line="240" w:lineRule="auto"/>
      </w:pPr>
      <w:r w:rsidRPr="00683E5D">
        <w:t xml:space="preserve">Reglamento (ES, Euratomas) 2020/2093, kuriuo nustatoma </w:t>
      </w:r>
      <w:r w:rsidRPr="00683E5D">
        <w:br/>
        <w:t>2021–2027 m. daugiametė finansinė programa, dalinis keitimas</w:t>
      </w:r>
    </w:p>
    <w:p w:rsidR="007733EE" w:rsidRPr="00683E5D" w:rsidRDefault="007733EE" w:rsidP="007733EE">
      <w:pPr>
        <w:pStyle w:val="Institutionquiagit"/>
        <w:spacing w:after="240" w:line="240" w:lineRule="auto"/>
      </w:pPr>
      <w:r w:rsidRPr="00683E5D">
        <w:t>EUROPOS SĄJUNGOS TARYBA,</w:t>
      </w:r>
    </w:p>
    <w:p w:rsidR="007733EE" w:rsidRPr="00683E5D" w:rsidRDefault="007733EE" w:rsidP="007733EE">
      <w:pPr>
        <w:spacing w:after="240"/>
      </w:pPr>
      <w:r w:rsidRPr="00683E5D">
        <w:t>atsižvelgdama į Sutartį dėl Europos Sąjungos veikimo, ypač į jos 312 straipsnį,</w:t>
      </w:r>
    </w:p>
    <w:p w:rsidR="007733EE" w:rsidRPr="00683E5D" w:rsidRDefault="007733EE" w:rsidP="007733EE">
      <w:pPr>
        <w:spacing w:after="240"/>
      </w:pPr>
      <w:r w:rsidRPr="00683E5D">
        <w:t>atsižvelgdama į Europos atominės energijos bendrijos steigimo sutartį, ypač į jos 106a straipsnį,</w:t>
      </w:r>
    </w:p>
    <w:p w:rsidR="007733EE" w:rsidRPr="00683E5D" w:rsidRDefault="007733EE" w:rsidP="007733EE">
      <w:pPr>
        <w:spacing w:after="240"/>
      </w:pPr>
      <w:r w:rsidRPr="00683E5D">
        <w:t>atsižvelgdama į Europos Komisijos pasiūlymą,</w:t>
      </w:r>
    </w:p>
    <w:p w:rsidR="007733EE" w:rsidRPr="00683E5D" w:rsidRDefault="007733EE" w:rsidP="007733EE">
      <w:pPr>
        <w:spacing w:after="240"/>
      </w:pPr>
      <w:r w:rsidRPr="00683E5D">
        <w:t>atsižvelgdama į Europos Parlamento pritarimą</w:t>
      </w:r>
      <w:r w:rsidRPr="00683E5D">
        <w:rPr>
          <w:rStyle w:val="FootnoteReference"/>
        </w:rPr>
        <w:footnoteReference w:id="2"/>
      </w:r>
      <w:r w:rsidRPr="00683E5D">
        <w:t>,</w:t>
      </w:r>
    </w:p>
    <w:p w:rsidR="007733EE" w:rsidRPr="00683E5D" w:rsidRDefault="007733EE" w:rsidP="007733EE">
      <w:pPr>
        <w:spacing w:after="240"/>
      </w:pPr>
      <w:r w:rsidRPr="00683E5D">
        <w:t>teisėkūros procedūra priimamo akto projektą perdavus nacionaliniams parlamentams,</w:t>
      </w:r>
    </w:p>
    <w:p w:rsidR="007733EE" w:rsidRPr="00683E5D" w:rsidRDefault="007733EE" w:rsidP="007733EE">
      <w:pPr>
        <w:spacing w:after="240"/>
      </w:pPr>
      <w:r w:rsidRPr="00683E5D">
        <w:t>laikydamasi specialios teisėkūros procedūros,</w:t>
      </w:r>
    </w:p>
    <w:p w:rsidR="007733EE" w:rsidRPr="00683E5D" w:rsidRDefault="007733EE" w:rsidP="007733EE">
      <w:pPr>
        <w:spacing w:after="240"/>
      </w:pPr>
      <w:r w:rsidRPr="00683E5D">
        <w:br w:type="page"/>
      </w:r>
      <w:r w:rsidRPr="00683E5D">
        <w:lastRenderedPageBreak/>
        <w:t>kadangi:</w:t>
      </w:r>
    </w:p>
    <w:p w:rsidR="007733EE" w:rsidRPr="00683E5D" w:rsidRDefault="007733EE" w:rsidP="007733EE">
      <w:pPr>
        <w:pStyle w:val="ManualConsidrant"/>
        <w:spacing w:before="0" w:after="240" w:line="240" w:lineRule="auto"/>
      </w:pPr>
      <w:r w:rsidRPr="00683E5D">
        <w:t>(1)</w:t>
      </w:r>
      <w:r w:rsidRPr="00683E5D">
        <w:tab/>
        <w:t>po pirmųjų jos įgyvendinimo metų Komisija pateikė Tarybos reglamente (ES, Euratomas) 2020/2093</w:t>
      </w:r>
      <w:r w:rsidRPr="00683E5D">
        <w:rPr>
          <w:rStyle w:val="FootnoteReference"/>
        </w:rPr>
        <w:footnoteReference w:id="3"/>
      </w:r>
      <w:r w:rsidRPr="00683E5D">
        <w:t xml:space="preserve"> nustatytos 2021–2027 m. daugiametės finansinės programos (DFP) veikimo peržiūros rezultatus, įskaitant išlaidų viršutinių ribų tvarumo vertinimą;</w:t>
      </w:r>
    </w:p>
    <w:p w:rsidR="007733EE" w:rsidRPr="00683E5D" w:rsidRDefault="007733EE" w:rsidP="007733EE">
      <w:pPr>
        <w:pStyle w:val="ManualConsidrant"/>
        <w:spacing w:before="0" w:after="240" w:line="240" w:lineRule="auto"/>
      </w:pPr>
      <w:r w:rsidRPr="00683E5D">
        <w:t>(2)</w:t>
      </w:r>
      <w:r w:rsidRPr="00683E5D">
        <w:tab/>
        <w:t>nuo 2020 m. gruodžio mėn. Sąjunga vienas po kito susidūrė su precedento neturinčiais ir netikėtais iššūkiais. Sąjunga ėmėsi skubių veiksmų ir pasinaudojo visomis turimomis priemonėmis, tačiau į 2021–2027 m. DFP integruotos ribotos biudžeto lankstumo galimybės yra beveik išnaudotos, todėl mažėja Sąjungos biudžeto pajėgumas spręsti net skubiausius uždavinius;</w:t>
      </w:r>
    </w:p>
    <w:p w:rsidR="007733EE" w:rsidRPr="00683E5D" w:rsidRDefault="007733EE" w:rsidP="007733EE">
      <w:pPr>
        <w:pStyle w:val="ManualConsidrant"/>
        <w:spacing w:before="0" w:after="240" w:line="240" w:lineRule="auto"/>
      </w:pPr>
      <w:r w:rsidRPr="00683E5D">
        <w:t>(3)</w:t>
      </w:r>
      <w:r w:rsidRPr="00683E5D">
        <w:tab/>
        <w:t>siekiant spręsti daugeriopus uždavinius pirmaisiais DFP įgyvendinimo metais plačiai naudotasi specialiomis priemonėmis. Poreikis imtis tolesnių veiksmų išlieka, o galimybės naudojantis biudžetu reaguoti į tokias situacijas likusiu DFP laikotarpiu yra ribotos;</w:t>
      </w:r>
    </w:p>
    <w:p w:rsidR="007733EE" w:rsidRPr="00683E5D" w:rsidRDefault="007733EE" w:rsidP="007733EE">
      <w:pPr>
        <w:pStyle w:val="ManualConsidrant"/>
        <w:spacing w:before="0" w:after="240" w:line="240" w:lineRule="auto"/>
        <w:ind w:left="851" w:hanging="851"/>
      </w:pPr>
      <w:r w:rsidRPr="00683E5D">
        <w:br w:type="page"/>
      </w:r>
      <w:r w:rsidRPr="00683E5D">
        <w:lastRenderedPageBreak/>
        <w:t>(4)</w:t>
      </w:r>
      <w:r w:rsidRPr="00683E5D">
        <w:tab/>
        <w:t>Sąjungos biudžetas turėtų sudaryti sąlygas Sąjungai politikos priemonėmis reikiamai sureaguoti į kylančius iššūkius ir įvykdyti teisinius įsipareigojimus, o tai neįmanoma esant dabartinėms viršutinėms riboms ir išnaudojus lankstumo galimybes. Turėtų būti pakeistos 1, 2, 3, 4, 5 ir 6 išlaidų kategorijų įsipareigojimų asignavimų išlaidų viršutinės ribos 2024, 2025, 2026 ir 2027 metams. Todėl, nors gali būti išlaikytos dabartinio lygio mokėjimų asignavimų išlaidų viršutinės ribos, 2026 m. bendros maržos priemonės mokėjimų asignavimų riba turėtų būti pakoreguota siekiant išvengti sankaupų rizikos. Be to, 5 straipsnyje numatytas su konkrečia programa susijęs papildomų lėšų bendros sumos patikslinimas ir Reglamento (ES, Euratomas) 2020/2093 II priedas turėtų būti iš dalies pakeisti;</w:t>
      </w:r>
    </w:p>
    <w:p w:rsidR="007733EE" w:rsidRPr="00683E5D" w:rsidRDefault="007733EE" w:rsidP="007733EE">
      <w:pPr>
        <w:pStyle w:val="ManualConsidrant"/>
        <w:spacing w:before="0" w:after="240" w:line="240" w:lineRule="auto"/>
        <w:ind w:left="851" w:hanging="851"/>
      </w:pPr>
      <w:r w:rsidRPr="00683E5D">
        <w:t>(5)</w:t>
      </w:r>
      <w:r w:rsidRPr="00683E5D">
        <w:tab/>
        <w:t>prisitaikymo prie „</w:t>
      </w:r>
      <w:proofErr w:type="spellStart"/>
      <w:r w:rsidRPr="00683E5D">
        <w:t>Brexit’o</w:t>
      </w:r>
      <w:proofErr w:type="spellEnd"/>
      <w:r w:rsidRPr="00683E5D">
        <w:t>“ rezervo ir Europos prisitaikymo prie globalizacijos padarinių fondo sumos taip pat turėtų būti pakeistos;</w:t>
      </w:r>
    </w:p>
    <w:p w:rsidR="007733EE" w:rsidRPr="00683E5D" w:rsidRDefault="007733EE" w:rsidP="007733EE">
      <w:pPr>
        <w:pStyle w:val="ManualConsidrant"/>
        <w:spacing w:before="0" w:after="240" w:line="240" w:lineRule="auto"/>
        <w:ind w:left="851" w:hanging="851"/>
      </w:pPr>
      <w:r w:rsidRPr="00683E5D">
        <w:t>(6)</w:t>
      </w:r>
      <w:r w:rsidRPr="00683E5D">
        <w:tab/>
        <w:t>dėl neteisėtos Rusijos agresijos prieš Ukrainą Europos teritorijoje vėl siaučia karas. Sąjunga toliau rems Ukrainą tiek, kiek reikės, ir tvirtai padės Ukrainai žengti į Europą. Tuo tikslu Europos Parlamentas ir Taryba priėmė Europos Parlamento ir Tarybos reglamentą (ES) 2024/...</w:t>
      </w:r>
      <w:r w:rsidRPr="00683E5D">
        <w:rPr>
          <w:rStyle w:val="FootnoteReference"/>
        </w:rPr>
        <w:footnoteReference w:id="4"/>
      </w:r>
      <w:r w:rsidRPr="00683E5D">
        <w:rPr>
          <w:rStyle w:val="FootnoteReference"/>
        </w:rPr>
        <w:footnoteReference w:customMarkFollows="1" w:id="5"/>
        <w:t>+</w:t>
      </w:r>
      <w:r w:rsidRPr="00683E5D">
        <w:t xml:space="preserve"> kaip Sąjungos atsaką siekiant remti Ukrainos makrofinansinį stabilumą, atstatymą ir modernizavimą, kartu remiant Ukrainos pastangas vykdyti reformas, kurios yra jos stojimo į Sąjungą kelio dalis (toliau – Ukrainos priemonė);</w:t>
      </w:r>
    </w:p>
    <w:p w:rsidR="007733EE" w:rsidRPr="00683E5D" w:rsidRDefault="007733EE" w:rsidP="007733EE">
      <w:pPr>
        <w:pStyle w:val="ManualConsidrant"/>
        <w:spacing w:before="0" w:after="240" w:line="240" w:lineRule="auto"/>
        <w:ind w:left="851" w:hanging="851"/>
      </w:pPr>
      <w:r w:rsidRPr="00683E5D">
        <w:br w:type="page"/>
      </w:r>
      <w:r w:rsidRPr="00683E5D">
        <w:lastRenderedPageBreak/>
        <w:t>(7)</w:t>
      </w:r>
      <w:r w:rsidRPr="00683E5D">
        <w:tab/>
        <w:t>atsižvelgiant į netikrumą, susijusį su Rusijos agresijos karu, Ukrainos priemonė turėtų būti lanksti priemonė, kuria naudojantis iki 2027 m. būtų teikiama tinkamos formos ir lygio parama. Parama pagal Ukrainos priemonę turėtų būti teikiama paskolų, negrąžintinos paramos ir biudžeto garantijų atidėjinių forma;</w:t>
      </w:r>
    </w:p>
    <w:p w:rsidR="007733EE" w:rsidRPr="00683E5D" w:rsidRDefault="007733EE" w:rsidP="007733EE">
      <w:pPr>
        <w:pStyle w:val="ManualConsidrant"/>
        <w:spacing w:before="0" w:after="240" w:line="240" w:lineRule="auto"/>
      </w:pPr>
      <w:r w:rsidRPr="00683E5D">
        <w:t>(8)</w:t>
      </w:r>
      <w:r w:rsidRPr="00683E5D">
        <w:tab/>
        <w:t>kalbant apie paskolų forma teikiamą paramos pagal Ukrainos priemonę dalį, tikslinga iki 2027 m. pratęsti esamos Sąjungos biudžeto garantijos Ukrainai teikiamai finansinei paramai padengti galiojimą. Todėl turėtų būti įmanoma, viršijant DFP viršutines ribas, Sąjungos biudžete mobilizuoti būtinus finansinės paramos Ukrainai asignavimus, kuriais būtų galima naudotis iki 2027 m. pabaigos. Sąjungos biudžeto garantija turėtų būti taikoma ne tik trumpalaikei finansinei paramai Ukrainai, kaip jau numatyta Reglamente (ES) 2022/2463, bet ir finansinės paramos Ukrainai 33 mlrd. EUR neviršijančiai sumai, kaip nurodyta Reglamente (ES) 2024/...</w:t>
      </w:r>
      <w:r w:rsidRPr="00683E5D">
        <w:rPr>
          <w:rStyle w:val="FootnoteReference"/>
        </w:rPr>
        <w:footnoteReference w:customMarkFollows="1" w:id="6"/>
        <w:t>+</w:t>
      </w:r>
      <w:r w:rsidRPr="00683E5D">
        <w:t>;</w:t>
      </w:r>
    </w:p>
    <w:p w:rsidR="007733EE" w:rsidRPr="00683E5D" w:rsidRDefault="007733EE" w:rsidP="007733EE">
      <w:pPr>
        <w:pStyle w:val="ManualConsidrant"/>
        <w:spacing w:before="0" w:after="240" w:line="240" w:lineRule="auto"/>
      </w:pPr>
      <w:r w:rsidRPr="00683E5D">
        <w:br w:type="page"/>
      </w:r>
      <w:r w:rsidRPr="00683E5D">
        <w:lastRenderedPageBreak/>
        <w:t>(9)</w:t>
      </w:r>
      <w:r w:rsidRPr="00683E5D">
        <w:tab/>
        <w:t>asignavimai paramos pagal Ukrainos priemonę daliai, teikiamai negrąžintinos paramos ir biudžeto garantijų atidėjinių forma, turėtų būti teikiami per naują specialią teminę priemonę – Ukrainos rezervą. Įsipareigojimų asignavimai ir atitinkami mokėjimų asignavimai turėtų būti mobilizuojami kasmet vykdant Sutarties dėl Europos Sąjungos veikimo (SESV) 314 straipsnyje nustatytą biudžeto procedūrą, viršijant DFP viršutines ribas. Siekiant tvarkingos išlaidų, kurios turi būti programuojamos pagal atitinkamas Reglamento (ES) 2024/…</w:t>
      </w:r>
      <w:r w:rsidRPr="00683E5D">
        <w:rPr>
          <w:rStyle w:val="FootnoteReference"/>
        </w:rPr>
        <w:footnoteReference w:customMarkFollows="1" w:id="7"/>
        <w:t>+</w:t>
      </w:r>
      <w:r w:rsidRPr="00683E5D">
        <w:t xml:space="preserve"> nuostatas, raidos ir visų pirma atsižvelgiant į sumas, kurios turi būti nustatytos Ukrainos plane, tikslinga nustatyti bendras ir metines maksimalias sumas, kurios gali būti prieinamos Ukrainos rezervui 2024–2027 m. laikotarpiu. Siekiant užtikrinti visišką įvykdymą ir lankstumą pereinant iš vienų metų į kitus, laikantis bendros sumos, vėlesniais metais iki 2027 m. turėtų būti galima panaudoti laisvą metinės sumos dalį atitinkamais metais, be atitinkamų metų maksimalios metinės sumos;</w:t>
      </w:r>
    </w:p>
    <w:p w:rsidR="007733EE" w:rsidRPr="00683E5D" w:rsidRDefault="007733EE" w:rsidP="007733EE">
      <w:pPr>
        <w:pStyle w:val="ManualConsidrant"/>
        <w:spacing w:before="0" w:after="240" w:line="240" w:lineRule="auto"/>
      </w:pPr>
      <w:r w:rsidRPr="00683E5D">
        <w:br w:type="page"/>
      </w:r>
      <w:r w:rsidRPr="00683E5D">
        <w:lastRenderedPageBreak/>
        <w:t>(10)</w:t>
      </w:r>
      <w:r w:rsidRPr="00683E5D">
        <w:tab/>
        <w:t>nuo 2022 m. Sąjungoje ir daugumoje didžiųjų ekonomikų padidėjo visų obligacijų emitentų, įskaitant Sąjungą, palūkanų normos. Todėl numatoma, kad skolinimosi pagal Europos Sąjungos ekonomikos gaivinimo priemonę „</w:t>
      </w:r>
      <w:proofErr w:type="spellStart"/>
      <w:r w:rsidRPr="00683E5D">
        <w:t>NextGenerationEU</w:t>
      </w:r>
      <w:proofErr w:type="spellEnd"/>
      <w:r w:rsidRPr="00683E5D">
        <w:t>“ (toliau – EURI) finansavimo išlaidos, kurios turi būti padengtos iš Sąjungos biudžeto pagal Tarybos sprendimo (ES, Euratomas) 2020/2053 5 straipsnio 2 dalį</w:t>
      </w:r>
      <w:r w:rsidRPr="00683E5D">
        <w:rPr>
          <w:rStyle w:val="FootnoteReference"/>
        </w:rPr>
        <w:footnoteReference w:id="8"/>
      </w:r>
      <w:r w:rsidRPr="00683E5D">
        <w:t>, viršys sąmatas, iš pradžių programuotas kaip nesiekiančias DFP viršutinių ribų šios priemonės priėmimo 2020 m. gruodžio mėn. metu, kurios atitinkamai buvo 2 332 mln. EUR 2025 m. (2018 m. kainomis), 3 196 mln. EUR 2026 m. (2018 m. kainomis) ir 4 168 mln. EUR 2027 m. (2018 m. kainomis);</w:t>
      </w:r>
    </w:p>
    <w:p w:rsidR="007733EE" w:rsidRPr="00683E5D" w:rsidRDefault="007733EE" w:rsidP="007733EE">
      <w:pPr>
        <w:pStyle w:val="ManualConsidrant"/>
        <w:spacing w:before="0" w:after="240" w:line="240" w:lineRule="auto"/>
      </w:pPr>
      <w:r w:rsidRPr="00683E5D">
        <w:t>(11)</w:t>
      </w:r>
      <w:r w:rsidRPr="00683E5D">
        <w:tab/>
        <w:t>atsižvelgiant į netikrumą, susijusį su būsima palūkanų normų raida kintančiomis rinkos aplinkybėmis, taip pat į bendrus skolinimosi poreikius vykdomoms Sąjungos programoms, finansuojamoms pagal EURI, finansuoti, kaip dalį atidėjinių, reikalingų, kad metinė biudžeto procedūra vyktų sklandžiai, taip pat siekiant užtikrinti prieinamus finansinius išteklius, kad Sąjunga galėtų vykdyti savo teisinius įsipareigojimus, tikslinga nustatyti išimtinę ir laikiną priemonę, galiojančią tik dabartinės DFP laikotarpiu, skirtą EURI skolinimosi, viršijančio iš pradžių programuotas sumas, finansavimo išlaidoms padengti. Todėl turėtų būti sukurta nauja speciali teminė priemonė – EURI priemonė, kurios vienintelis tikslas būtų padengti nepadengtus išlaidų perviršius. Ši priemonė turėtų būti išimtinė ir negalėtų būti laikoma precedentu būsimai tvarkai, taikomai DFP po 2027 m., visų pirma siekiant padengti rinkose pasiskolintų lėšų EURI finansuoti palūkanų mokėjimų išlaidas;</w:t>
      </w:r>
    </w:p>
    <w:p w:rsidR="007733EE" w:rsidRPr="00683E5D" w:rsidRDefault="007733EE" w:rsidP="007733EE">
      <w:pPr>
        <w:pStyle w:val="ManualConsidrant"/>
        <w:spacing w:before="0" w:after="240" w:line="240" w:lineRule="auto"/>
      </w:pPr>
      <w:r w:rsidRPr="00683E5D">
        <w:br w:type="page"/>
      </w:r>
      <w:r w:rsidRPr="00683E5D">
        <w:lastRenderedPageBreak/>
        <w:t>(12)</w:t>
      </w:r>
      <w:r w:rsidRPr="00683E5D">
        <w:tab/>
        <w:t>biudžeto institucija turėtų mobilizuoti EURI priemonę metinės biudžeto procedūros metu, jei būtina. Nedarant poveikio biudžeto institucijos teisėms, jos lėšos turėtų būti mobilizuojamos išsėmus kitas finansavimo galimybes, be kita ko, panaudojant rezervą, susidariusį vykdant programų biudžetinį įgyvendinimą, pertvarkant prioritetus, taip pat panaudojant specialias netemines priemones siekiant padengti didelę dalį būtinų sumų, viršijančių sumas, iš pradžių įrašytas esamoje 2b išlaidų kategorijos EURI biudžeto eilutėje, kiek tai įmanoma, siekiant kaip bazinę normą mobilizuoti sumą, lygią maždaug 50 % EURI palūkanų mokėjimų išlaidų perviršių. Tai bus atliekama laikantis taikytinų sektorinių taisyklių ir kitų teisinių pareigų, taip pat atsižvelgiant į prioritetus, apdairų biudžeto sudarymą ir patikimą finansų valdymą – tam visų pirma reikia, kad nenumatytoms išlaidoms būtų taikomos tinkamos ribos. Valstybių narių nacionaliniams paketams, dėl kurių buvo prisiimti teisiniai įsipareigojimai, visų pirma paketams pagal bendrą žemės ūkio politiką ir sanglaudos politiką, poveikis nebus daromas. EURI priemonės įsipareigojimų asignavimai ir atitinkami mokėjimų asignavimai Sąjungos biudžete turėtų būti prieinami viršijant DFP viršutines ribas. Pagal EURI priemonę pirmiausia turėtų būti naudojama suma, lygi sumai asignavimų, išskyrus išorės asignuotąsias pajamas, panaikintų nuo dabartinės DFP pradžios. Neturėtų būti atsižvelgiama į panaikintų asignavimų, kurie vėl prieinami pagal atitinkamas esamas nuostatas, sumas. Pagal EURI priemonę prieinama panaikintų įsipareigojimų suma turėtų būti apskaičiuojama kiekvienais metais atliekant DFP techninį koregavimą, aiškiai nurodant bendras turimas lėšas ir sumas, į kurias jau atsižvelgta anksčiau mobilizuojant EURI priemonę. Susiklosčius netikėtai situacijai, kai perviršis tebebus nepadengtas, kaip finansinį stabilumą stiprinanti priemonė pagal EURI priemonę turėtų būti mobilizuojama būtina papildoma suma išlaidoms visiškai finansuoti, kaip kraštutinė priemonė. Jei susiklosto neįprasta situacija ir viena ar daugiau valstybių narių mano, kad dėl šios finansinio stabilumo stiprinimo priemonės mobilizavimo kyla didelių problemų, jos galėtų prašyti Europos Vadovų Tarybos pirmininko perduoti klausimą svarstyti kitame Europos Vadovų Tarybos susitikime. Šis procesas paprastai neturėtų trukti ilgiau kaip vieną mėnesį ir juo turi būti visiškai paisoma institucijų teisių, kaip numatyta Sutartyse;</w:t>
      </w:r>
    </w:p>
    <w:p w:rsidR="007733EE" w:rsidRPr="00683E5D" w:rsidRDefault="007733EE" w:rsidP="007733EE">
      <w:pPr>
        <w:pStyle w:val="ManualConsidrant"/>
        <w:spacing w:before="0" w:after="240" w:line="240" w:lineRule="auto"/>
      </w:pPr>
      <w:r w:rsidRPr="00683E5D">
        <w:br w:type="page"/>
      </w:r>
      <w:r w:rsidRPr="00683E5D">
        <w:lastRenderedPageBreak/>
        <w:t>(13)</w:t>
      </w:r>
      <w:r w:rsidRPr="00683E5D">
        <w:tab/>
        <w:t>atsižvelgiant į gaivalines nelaimes, įvykusias valstybėse narėse ir šalyse, kurios veda derybas dėl narystės Sąjungoje, ir gaivalines nelaimes bei humanitarines krizes trečiosiose valstybėse ir siekiant užtikrinti tinkamą finansavimą abiem atvejais, reikėtų sustiprinti esamą solidarumo ir neatidėliotinos pagalbos rezervą ir jį padalinti į dvi atskiras priemones: Europos solidarumo rezervą, iš kurio būtų teikiama parama nukentėjusioms valstybėms ir regionams pagal Europos Sąjungos solidarumo fondą, įsteigtą Tarybos reglamentu (EB) Nr. 2012/2002</w:t>
      </w:r>
      <w:r w:rsidRPr="00683E5D">
        <w:rPr>
          <w:rStyle w:val="FootnoteReference"/>
        </w:rPr>
        <w:footnoteReference w:id="9"/>
      </w:r>
      <w:r w:rsidRPr="00683E5D">
        <w:t>, ir neatidėliotinos pagalbos rezervą, iš kurio būtų didinamas biudžetas atitinkamoms Sąjungos programoms, reaguojant į krizes ir ekstremaliąsias situacijas Sąjungoje ir už jos ribų;</w:t>
      </w:r>
    </w:p>
    <w:p w:rsidR="007733EE" w:rsidRPr="00683E5D" w:rsidRDefault="007733EE" w:rsidP="007733EE">
      <w:pPr>
        <w:pStyle w:val="ManualConsidrant"/>
        <w:spacing w:before="0" w:after="240" w:line="240" w:lineRule="auto"/>
      </w:pPr>
      <w:r w:rsidRPr="00683E5D">
        <w:t>(14)</w:t>
      </w:r>
      <w:r w:rsidRPr="00683E5D">
        <w:tab/>
        <w:t>siekiant, kad Sąjunga iki 2027 m. liktų pakankamai pajėgi reaguoti į nenumatytas aplinkybes, turėtų būti sustiprinta lankstumo priemonė. Nuo 2024 m. lankstumo priemonei turėtų būti prieinamos Europos solidarumo rezervo ir neatidėliotinos pagalbos rezervo panaikintos sumos;</w:t>
      </w:r>
    </w:p>
    <w:p w:rsidR="007733EE" w:rsidRPr="00683E5D" w:rsidRDefault="007733EE" w:rsidP="007733EE">
      <w:pPr>
        <w:pStyle w:val="ManualConsidrant"/>
        <w:spacing w:before="0" w:after="240" w:line="240" w:lineRule="auto"/>
      </w:pPr>
      <w:r w:rsidRPr="00683E5D">
        <w:t>(15)</w:t>
      </w:r>
      <w:r w:rsidRPr="00683E5D">
        <w:tab/>
        <w:t>atsižvelgiant į šiuos nenumatytus įvykius ir naujus iššūkius, būtina peržiūrėti DFP, todėl Reglamentas (ES, Euratomas) 2020/2093 turėtų būti atitinkamai iš dalies pakeistas;</w:t>
      </w:r>
    </w:p>
    <w:p w:rsidR="007733EE" w:rsidRPr="00683E5D" w:rsidRDefault="007733EE" w:rsidP="007733EE">
      <w:pPr>
        <w:pStyle w:val="ManualConsidrant"/>
        <w:spacing w:before="0" w:after="240" w:line="240" w:lineRule="auto"/>
      </w:pPr>
      <w:r w:rsidRPr="00683E5D">
        <w:br w:type="page"/>
      </w:r>
      <w:r w:rsidRPr="00683E5D">
        <w:lastRenderedPageBreak/>
        <w:t>(16)</w:t>
      </w:r>
      <w:r w:rsidRPr="00683E5D">
        <w:tab/>
        <w:t>Reglamento (ES, Euratomas) 2020/2093 pakeitimai nedaro poveikio pareigai laikytis nuosavų išteklių viršutinių ribų, nustatytų Sprendimo (ES, Euratomas) 2020/2053 3 straipsnio 1 dalyje ir 6 straipsnyje;</w:t>
      </w:r>
    </w:p>
    <w:p w:rsidR="007733EE" w:rsidRPr="00683E5D" w:rsidRDefault="007733EE" w:rsidP="007733EE">
      <w:pPr>
        <w:pStyle w:val="ManualConsidrant"/>
        <w:spacing w:before="0" w:after="240" w:line="240" w:lineRule="auto"/>
      </w:pPr>
      <w:r w:rsidRPr="00683E5D">
        <w:t>(17)</w:t>
      </w:r>
      <w:r w:rsidRPr="00683E5D">
        <w:tab/>
        <w:t xml:space="preserve">atsižvelgiant į padėtį Ukrainoje, šis reglamentas turėtų įsigalioti skubos tvarka jo paskelbimo </w:t>
      </w:r>
      <w:r w:rsidRPr="00683E5D">
        <w:rPr>
          <w:i/>
        </w:rPr>
        <w:t>Europos Sąjungos oficialiajame leidinyje</w:t>
      </w:r>
      <w:r w:rsidRPr="00683E5D">
        <w:t xml:space="preserve"> dieną ir turėtų būti taikomas atgaline data nuo 2024 m. sausio 1 d.,</w:t>
      </w:r>
    </w:p>
    <w:p w:rsidR="007733EE" w:rsidRPr="00683E5D" w:rsidRDefault="007733EE" w:rsidP="007733EE">
      <w:pPr>
        <w:pStyle w:val="Formuledadoption"/>
        <w:spacing w:before="0" w:after="240" w:line="240" w:lineRule="auto"/>
      </w:pPr>
      <w:r w:rsidRPr="00683E5D">
        <w:t>PRIĖMĖ ŠĮ REGLAMENTĄ:</w:t>
      </w:r>
    </w:p>
    <w:p w:rsidR="007733EE" w:rsidRPr="00683E5D" w:rsidRDefault="007733EE" w:rsidP="007733EE">
      <w:pPr>
        <w:pStyle w:val="Titrearticle"/>
        <w:spacing w:before="0" w:after="240" w:line="240" w:lineRule="auto"/>
      </w:pPr>
      <w:r w:rsidRPr="00683E5D">
        <w:br w:type="page"/>
      </w:r>
      <w:r w:rsidRPr="00683E5D">
        <w:lastRenderedPageBreak/>
        <w:t>1 straipsnis</w:t>
      </w:r>
    </w:p>
    <w:p w:rsidR="007733EE" w:rsidRPr="00683E5D" w:rsidRDefault="007733EE" w:rsidP="007733EE">
      <w:pPr>
        <w:spacing w:after="240"/>
      </w:pPr>
      <w:r w:rsidRPr="00683E5D">
        <w:t>Reglamentas (ES, Euratomas) 2020/2093 iš dalies keičiamas taip:</w:t>
      </w:r>
    </w:p>
    <w:p w:rsidR="007733EE" w:rsidRPr="00683E5D" w:rsidRDefault="007733EE" w:rsidP="007733EE">
      <w:pPr>
        <w:pStyle w:val="Point0"/>
        <w:spacing w:before="0" w:after="240" w:line="240" w:lineRule="auto"/>
      </w:pPr>
      <w:r w:rsidRPr="00683E5D">
        <w:t>1)</w:t>
      </w:r>
      <w:r w:rsidRPr="00683E5D">
        <w:tab/>
        <w:t>2 straipsnis iš dalies keičiamas taip:</w:t>
      </w:r>
    </w:p>
    <w:p w:rsidR="007733EE" w:rsidRPr="00683E5D" w:rsidRDefault="007733EE" w:rsidP="007733EE">
      <w:pPr>
        <w:pStyle w:val="Point1"/>
        <w:spacing w:before="0" w:after="240" w:line="240" w:lineRule="auto"/>
      </w:pPr>
      <w:r w:rsidRPr="00683E5D">
        <w:t>a)</w:t>
      </w:r>
      <w:r w:rsidRPr="00683E5D">
        <w:tab/>
        <w:t>2 dalies pirma pastraipa pakeičiama taip:</w:t>
      </w:r>
    </w:p>
    <w:p w:rsidR="007733EE" w:rsidRPr="00683E5D" w:rsidRDefault="007733EE" w:rsidP="007733EE">
      <w:pPr>
        <w:pStyle w:val="Point2"/>
        <w:spacing w:before="0" w:after="240" w:line="240" w:lineRule="auto"/>
      </w:pPr>
      <w:r w:rsidRPr="00683E5D">
        <w:t>„2.</w:t>
      </w:r>
      <w:r w:rsidRPr="00683E5D">
        <w:tab/>
        <w:t>Tais atvejais, kai būtina panaudoti 8, 9, 10, 10a, 10b ir 12 straipsniuose numatytų specialių priemonių išteklius, įsipareigojimų ir atitinkamų mokėjimų asignavimai įtraukiami į biudžetą viršijant atitinkamas DFP viršutines ribas.“;</w:t>
      </w:r>
    </w:p>
    <w:p w:rsidR="007733EE" w:rsidRPr="00683E5D" w:rsidRDefault="007733EE" w:rsidP="007733EE">
      <w:pPr>
        <w:pStyle w:val="Point1"/>
        <w:spacing w:before="0" w:after="240" w:line="240" w:lineRule="auto"/>
      </w:pPr>
      <w:r w:rsidRPr="00683E5D">
        <w:t>b)</w:t>
      </w:r>
      <w:r w:rsidRPr="00683E5D">
        <w:tab/>
        <w:t>3 dalis papildoma šia pastraipa:</w:t>
      </w:r>
    </w:p>
    <w:p w:rsidR="007733EE" w:rsidRPr="00683E5D" w:rsidRDefault="007733EE" w:rsidP="007733EE">
      <w:pPr>
        <w:pStyle w:val="Text2"/>
        <w:spacing w:before="0" w:after="240" w:line="240" w:lineRule="auto"/>
      </w:pPr>
      <w:r w:rsidRPr="00683E5D">
        <w:t>„Tais atvejais, kai būtina mobilizuoti garantiją finansinei paramai Ukrainai, kurios prieinama bendra suma paskolų forma 2024–2027 m. yra ne didesnė kaip 33 000 mln. EUR dabartinėmis kainomis, kaip nurodyta Europos Parlamento ir Tarybos reglamente (ES) 2024/…</w:t>
      </w:r>
      <w:r w:rsidRPr="00683E5D">
        <w:rPr>
          <w:b/>
          <w:vertAlign w:val="superscript"/>
        </w:rPr>
        <w:t>*</w:t>
      </w:r>
      <w:r w:rsidRPr="00683E5D">
        <w:rPr>
          <w:rStyle w:val="FootnoteReference"/>
        </w:rPr>
        <w:footnoteReference w:customMarkFollows="1" w:id="10"/>
        <w:t>+</w:t>
      </w:r>
      <w:r w:rsidRPr="00683E5D">
        <w:t>, ir kuri leidžiama pagal Finansinio reglamento 220 straipsnio 1 dalį, reikiama suma mobilizuojama viršijant DFP viršutines ribas.</w:t>
      </w:r>
    </w:p>
    <w:p w:rsidR="007733EE" w:rsidRPr="00683E5D" w:rsidRDefault="007733EE" w:rsidP="007733EE">
      <w:pPr>
        <w:pStyle w:val="Text2"/>
        <w:spacing w:before="0" w:after="240" w:line="240" w:lineRule="auto"/>
      </w:pPr>
      <w:r w:rsidRPr="00683E5D">
        <w:t>________________</w:t>
      </w:r>
    </w:p>
    <w:p w:rsidR="007733EE" w:rsidRPr="00683E5D" w:rsidRDefault="007733EE" w:rsidP="007733EE">
      <w:pPr>
        <w:pStyle w:val="Point2"/>
        <w:spacing w:before="0" w:after="240" w:line="240" w:lineRule="auto"/>
        <w:ind w:left="1985"/>
      </w:pPr>
      <w:r w:rsidRPr="00683E5D">
        <w:rPr>
          <w:b/>
          <w:vertAlign w:val="superscript"/>
        </w:rPr>
        <w:t>*</w:t>
      </w:r>
      <w:r w:rsidRPr="00683E5D">
        <w:tab/>
        <w:t>... m. ... ... d. Europos Parlamento ir Tarybos reglamentas (ES) 2024/..., kuriuo nustatoma Ukrainos priemonė (OL L, …, ELI: …).“;</w:t>
      </w:r>
    </w:p>
    <w:p w:rsidR="007733EE" w:rsidRPr="00683E5D" w:rsidRDefault="007733EE" w:rsidP="007733EE">
      <w:pPr>
        <w:pStyle w:val="Point0"/>
        <w:spacing w:before="0" w:after="240" w:line="240" w:lineRule="auto"/>
      </w:pPr>
      <w:r w:rsidRPr="00683E5D">
        <w:br w:type="page"/>
      </w:r>
      <w:r w:rsidRPr="00683E5D">
        <w:lastRenderedPageBreak/>
        <w:t>2)</w:t>
      </w:r>
      <w:r w:rsidRPr="00683E5D">
        <w:tab/>
        <w:t>4 straipsnio 1 dalis papildoma šiais punktais:</w:t>
      </w:r>
    </w:p>
    <w:p w:rsidR="007733EE" w:rsidRPr="00683E5D" w:rsidRDefault="007733EE" w:rsidP="007733EE">
      <w:pPr>
        <w:pStyle w:val="Point1"/>
        <w:spacing w:before="0" w:after="240" w:line="240" w:lineRule="auto"/>
      </w:pPr>
      <w:r w:rsidRPr="00683E5D">
        <w:t>„f)</w:t>
      </w:r>
      <w:r w:rsidRPr="00683E5D">
        <w:tab/>
        <w:t>apskaičiuoja EURI priemonei skirtą sumą pagal 10a straipsnio 3 dalies a punktą;</w:t>
      </w:r>
    </w:p>
    <w:p w:rsidR="007733EE" w:rsidRPr="00683E5D" w:rsidRDefault="007733EE" w:rsidP="007733EE">
      <w:pPr>
        <w:pStyle w:val="Point1"/>
        <w:spacing w:before="0" w:after="240" w:line="240" w:lineRule="auto"/>
      </w:pPr>
      <w:r w:rsidRPr="00683E5D">
        <w:t>g)</w:t>
      </w:r>
      <w:r w:rsidRPr="00683E5D">
        <w:tab/>
        <w:t>apskaičiuoja lankstumo priemonei skirtinas sumas pagal 12 straipsnio 1 dalies antrą pastraipą.“;</w:t>
      </w:r>
    </w:p>
    <w:p w:rsidR="007733EE" w:rsidRPr="00683E5D" w:rsidRDefault="007733EE" w:rsidP="007733EE">
      <w:pPr>
        <w:pStyle w:val="Point0"/>
        <w:spacing w:before="0" w:after="240" w:line="240" w:lineRule="auto"/>
      </w:pPr>
      <w:r w:rsidRPr="00683E5D">
        <w:t>3)</w:t>
      </w:r>
      <w:r w:rsidRPr="00683E5D">
        <w:tab/>
        <w:t>5 straipsnio 1 dalies antra pastraipa pakeičiama taip:</w:t>
      </w:r>
    </w:p>
    <w:p w:rsidR="007733EE" w:rsidRPr="00683E5D" w:rsidRDefault="007733EE" w:rsidP="007733EE">
      <w:pPr>
        <w:pStyle w:val="Text1"/>
        <w:spacing w:before="0" w:after="240" w:line="240" w:lineRule="auto"/>
      </w:pPr>
      <w:r w:rsidRPr="00683E5D">
        <w:t xml:space="preserve">„Bendra papildomų asignavimų atitinkamai įsipareigojimų ir mokėjimų </w:t>
      </w:r>
      <w:proofErr w:type="spellStart"/>
      <w:r w:rsidRPr="00683E5D">
        <w:t>asignavimams</w:t>
      </w:r>
      <w:proofErr w:type="spellEnd"/>
      <w:r w:rsidRPr="00683E5D">
        <w:t xml:space="preserve"> suma 2022–2027 m. laikotarpiu yra 155 mln. EUR (2018 m. kainomis). Kiekvienais 2022–2026 m. laikotarpio metais metinė papildomų asignavimų atitinkamai įsipareigojimų ir mokėjimų </w:t>
      </w:r>
      <w:proofErr w:type="spellStart"/>
      <w:r w:rsidRPr="00683E5D">
        <w:t>asignavimams</w:t>
      </w:r>
      <w:proofErr w:type="spellEnd"/>
      <w:r w:rsidRPr="00683E5D">
        <w:t xml:space="preserve"> suma turi būti ne mažesnė kaip 1 mln. EUR (2018 m. kainomis) ir negali viršyti 000 mln. EUR (2018 m. kainomis).“;</w:t>
      </w:r>
    </w:p>
    <w:p w:rsidR="007733EE" w:rsidRPr="00683E5D" w:rsidRDefault="007733EE" w:rsidP="007733EE">
      <w:pPr>
        <w:pStyle w:val="Point0"/>
        <w:spacing w:before="0" w:after="240" w:line="240" w:lineRule="auto"/>
      </w:pPr>
      <w:r w:rsidRPr="00683E5D">
        <w:br w:type="page"/>
      </w:r>
      <w:r w:rsidRPr="00683E5D">
        <w:lastRenderedPageBreak/>
        <w:t>4)</w:t>
      </w:r>
      <w:r w:rsidRPr="00683E5D">
        <w:tab/>
        <w:t>8 ir 9 straipsniai pakeičiami taip:</w:t>
      </w:r>
    </w:p>
    <w:p w:rsidR="007733EE" w:rsidRPr="00683E5D" w:rsidRDefault="007733EE" w:rsidP="007733EE">
      <w:pPr>
        <w:pStyle w:val="Text1"/>
        <w:spacing w:before="0" w:after="240" w:line="240" w:lineRule="auto"/>
      </w:pPr>
      <w:r w:rsidRPr="00683E5D">
        <w:t>„</w:t>
      </w:r>
      <w:r w:rsidRPr="00683E5D">
        <w:rPr>
          <w:i/>
        </w:rPr>
        <w:t>8 straipsnis</w:t>
      </w:r>
      <w:r w:rsidRPr="00683E5D">
        <w:rPr>
          <w:i/>
        </w:rPr>
        <w:br/>
        <w:t>Europos prisitaikymo prie globalizacijos padarinių fondas</w:t>
      </w:r>
    </w:p>
    <w:p w:rsidR="007733EE" w:rsidRPr="00683E5D" w:rsidRDefault="007733EE" w:rsidP="007733EE">
      <w:pPr>
        <w:pStyle w:val="Point1"/>
        <w:spacing w:before="0" w:after="240" w:line="240" w:lineRule="auto"/>
      </w:pPr>
      <w:r w:rsidRPr="00683E5D">
        <w:t>1.</w:t>
      </w:r>
      <w:r w:rsidRPr="00683E5D">
        <w:tab/>
        <w:t>Europos prisitaikymo prie globalizacijos padarinių fondo, kurio tikslai ir taikymo sritis nustatyti Europos Parlamento ir Tarybos reglamente (ES) 2021/691</w:t>
      </w:r>
      <w:r w:rsidRPr="00683E5D">
        <w:rPr>
          <w:b/>
          <w:vertAlign w:val="superscript"/>
        </w:rPr>
        <w:t>*</w:t>
      </w:r>
      <w:r w:rsidRPr="00683E5D">
        <w:t>, didžiausia metinė suma neviršija 30 mln. EUR (2018 m. kainomis).</w:t>
      </w:r>
    </w:p>
    <w:p w:rsidR="007733EE" w:rsidRPr="00683E5D" w:rsidRDefault="007733EE" w:rsidP="007733EE">
      <w:pPr>
        <w:pStyle w:val="Point1"/>
        <w:spacing w:before="0" w:after="240" w:line="240" w:lineRule="auto"/>
      </w:pPr>
      <w:r w:rsidRPr="00683E5D">
        <w:t>2.</w:t>
      </w:r>
      <w:r w:rsidRPr="00683E5D">
        <w:tab/>
        <w:t xml:space="preserve">Europos prisitaikymo prie globalizacijos padarinių fondui skirti asignavimai įtraukiami į Sąjungos bendrąjį biudžetą kaip </w:t>
      </w:r>
      <w:proofErr w:type="spellStart"/>
      <w:r w:rsidRPr="00683E5D">
        <w:t>atidėjinys</w:t>
      </w:r>
      <w:proofErr w:type="spellEnd"/>
      <w:r w:rsidRPr="00683E5D">
        <w:t>.</w:t>
      </w:r>
    </w:p>
    <w:p w:rsidR="007733EE" w:rsidRPr="00683E5D" w:rsidRDefault="007733EE" w:rsidP="007733EE">
      <w:pPr>
        <w:pStyle w:val="Text1"/>
        <w:spacing w:before="0" w:after="240" w:line="240" w:lineRule="auto"/>
      </w:pPr>
      <w:r w:rsidRPr="00683E5D">
        <w:rPr>
          <w:i/>
        </w:rPr>
        <w:t>„9 straipsnis</w:t>
      </w:r>
      <w:r w:rsidRPr="00683E5D">
        <w:rPr>
          <w:i/>
        </w:rPr>
        <w:br/>
        <w:t>Solidarumo ir neatidėliotinos pagalbos rezervas</w:t>
      </w:r>
    </w:p>
    <w:p w:rsidR="007733EE" w:rsidRPr="00683E5D" w:rsidRDefault="007733EE" w:rsidP="007733EE">
      <w:pPr>
        <w:pStyle w:val="Point1"/>
        <w:spacing w:before="0" w:after="240" w:line="240" w:lineRule="auto"/>
      </w:pPr>
      <w:r w:rsidRPr="00683E5D">
        <w:t>1.</w:t>
      </w:r>
      <w:r w:rsidRPr="00683E5D">
        <w:tab/>
        <w:t>Solidarumo ir neatidėliotinos pagalbos rezervą sudaro dvi priemonės, kurios gali būti naudojamos finansuoti atitinkamai:</w:t>
      </w:r>
    </w:p>
    <w:p w:rsidR="007733EE" w:rsidRPr="00683E5D" w:rsidRDefault="007733EE" w:rsidP="007733EE">
      <w:pPr>
        <w:pStyle w:val="Point2"/>
        <w:spacing w:before="0" w:after="240" w:line="240" w:lineRule="auto"/>
      </w:pPr>
      <w:r w:rsidRPr="00683E5D">
        <w:t>a)</w:t>
      </w:r>
      <w:r w:rsidRPr="00683E5D">
        <w:tab/>
        <w:t>paramą reaguojant į ekstremaliąsias situacijas, susidariusias dėl didelių nelaimių, kurioms taikomas Europos Sąjungos solidarumo fondas, kurio tikslai ir taikymo sritis nustatyti Tarybos reglamente (EB) Nr. 2012/2002</w:t>
      </w:r>
      <w:r w:rsidRPr="00683E5D">
        <w:rPr>
          <w:b/>
          <w:vertAlign w:val="superscript"/>
        </w:rPr>
        <w:t>**</w:t>
      </w:r>
      <w:r w:rsidRPr="00683E5D">
        <w:t xml:space="preserve"> (toliau – Europos solidarumo rezervas), ir</w:t>
      </w:r>
    </w:p>
    <w:p w:rsidR="007733EE" w:rsidRPr="00683E5D" w:rsidRDefault="007733EE" w:rsidP="007733EE">
      <w:pPr>
        <w:pStyle w:val="Point2"/>
        <w:spacing w:before="0" w:after="240" w:line="240" w:lineRule="auto"/>
      </w:pPr>
      <w:r w:rsidRPr="00683E5D">
        <w:br w:type="page"/>
      </w:r>
      <w:r w:rsidRPr="00683E5D">
        <w:lastRenderedPageBreak/>
        <w:t>b)</w:t>
      </w:r>
      <w:r w:rsidRPr="00683E5D">
        <w:tab/>
        <w:t xml:space="preserve">skubaus reagavimo į konkrečius neatidėliotinus poreikius Sąjungoje arba trečiosiose valstybėse dėl įvykių, kurie negalėjo būti numatyti sudarant biudžetą, veiksmus, visų pirma skiriant lėšas neatidėliotinos pagalbos veiksmams ir paramos operacijoms reaguojant į gaivalines nelaimes, kurioms netaikomas a punktas, žmogaus sukeltas nelaimes, humanitarines krizes kilus didelio masto visuomenės sveikatos, veterinarijos ar </w:t>
      </w:r>
      <w:proofErr w:type="spellStart"/>
      <w:r w:rsidRPr="00683E5D">
        <w:t>fitosanitarijos</w:t>
      </w:r>
      <w:proofErr w:type="spellEnd"/>
      <w:r w:rsidRPr="00683E5D">
        <w:t xml:space="preserve"> grėsmėms, taip pat situacijas, kuomet dėl migrantų srautų prie Sąjungos išorės sienų susidaro itin didelis spaudimas, kai to reikalauja aplinkybės (toliau – neatidėliotinos pagalbos rezervas).</w:t>
      </w:r>
    </w:p>
    <w:p w:rsidR="007733EE" w:rsidRPr="00683E5D" w:rsidRDefault="007733EE" w:rsidP="007733EE">
      <w:pPr>
        <w:pStyle w:val="Point1"/>
        <w:spacing w:before="0" w:after="240" w:line="240" w:lineRule="auto"/>
      </w:pPr>
      <w:r w:rsidRPr="00683E5D">
        <w:t>2.</w:t>
      </w:r>
      <w:r w:rsidRPr="00683E5D">
        <w:tab/>
        <w:t>Europos solidarumo rezervo didžiausia metinė suma neviršija 1 016 mln. EUR (2018 m. kainomis). Bet kokia n metais nepanaudota metinės sumos dalis gali būti naudojama iki n+1 metų. Pirmiausia naudojama iš praėjusių metų susidariusi metinės sumos dalis. Bet kokia n metų metinės sumos dalis, kuri n+1 metais nebuvo panaudota, panaikinama.</w:t>
      </w:r>
    </w:p>
    <w:p w:rsidR="007733EE" w:rsidRPr="00683E5D" w:rsidRDefault="007733EE" w:rsidP="007733EE">
      <w:pPr>
        <w:pStyle w:val="Text2"/>
        <w:spacing w:before="0" w:after="240" w:line="240" w:lineRule="auto"/>
      </w:pPr>
      <w:r w:rsidRPr="00683E5D">
        <w:t>Kiekvienų metų spalio 1 d. turi likti prieinama ne mažiau kaip ketvirtadalis Europos solidarumo rezervo metinės sumos, kad būtų galima patenkinti iki tų metų pabaigos atsirandančius poreikius.</w:t>
      </w:r>
    </w:p>
    <w:p w:rsidR="007733EE" w:rsidRPr="00683E5D" w:rsidRDefault="007733EE" w:rsidP="007733EE">
      <w:pPr>
        <w:pStyle w:val="Text2"/>
        <w:spacing w:before="0" w:after="240" w:line="240" w:lineRule="auto"/>
      </w:pPr>
      <w:r w:rsidRPr="00683E5D">
        <w:br w:type="page"/>
      </w:r>
      <w:r w:rsidRPr="00683E5D">
        <w:lastRenderedPageBreak/>
        <w:t>Išimtiniais atvejais ir jei likusių turimų finansinių išteklių nepakanka sumoms, kurios laikomos būtinomis, padengti tais metais, kuriais įvyksta 1 dalies a punkte nurodyta nelaimė, Komisija gali pasiūlyti, kad skirtumas būtų finansuojamas iš šios dalies pirmoje pastraipoje nurodytos kitiems metams skirtos metinės sumos, neviršijant maksimalios 400 mln. EUR sumos (2018 m. kainomis).</w:t>
      </w:r>
    </w:p>
    <w:p w:rsidR="007733EE" w:rsidRPr="00683E5D" w:rsidRDefault="007733EE" w:rsidP="007733EE">
      <w:pPr>
        <w:pStyle w:val="Point1"/>
        <w:spacing w:before="0" w:after="240" w:line="240" w:lineRule="auto"/>
      </w:pPr>
      <w:r w:rsidRPr="00683E5D">
        <w:t>3.</w:t>
      </w:r>
      <w:r w:rsidRPr="00683E5D">
        <w:tab/>
        <w:t>Neatidėliotinos pagalbos rezervo maksimali metinė suma neviršija 508 mln. EUR (2018 m. kainomis). Bet kokia n metais nepanaudota metinės sumos dalis gali būti naudojama iki n+1 metų. Pirmiausia naudojama iš praėjusių metų susidariusi metinės sumos dalis. Bet kokia n metų metinės sumos dalis, kuri n+1 metais nebuvo panaudota, panaikinama.</w:t>
      </w:r>
    </w:p>
    <w:p w:rsidR="007733EE" w:rsidRPr="00683E5D" w:rsidRDefault="007733EE" w:rsidP="007733EE">
      <w:pPr>
        <w:pStyle w:val="Point1"/>
        <w:spacing w:before="0" w:after="240" w:line="240" w:lineRule="auto"/>
      </w:pPr>
      <w:r w:rsidRPr="00683E5D">
        <w:t>4.</w:t>
      </w:r>
      <w:r w:rsidRPr="00683E5D">
        <w:tab/>
        <w:t xml:space="preserve">Europos solidarumo rezervui ir neatidėliotinos pagalbos rezervui skirti asignavimai įtraukiami į Sąjungos bendrąjį biudžetą kaip </w:t>
      </w:r>
      <w:proofErr w:type="spellStart"/>
      <w:r w:rsidRPr="00683E5D">
        <w:t>atidėjinys</w:t>
      </w:r>
      <w:proofErr w:type="spellEnd"/>
      <w:r w:rsidRPr="00683E5D">
        <w:t>.</w:t>
      </w:r>
    </w:p>
    <w:p w:rsidR="007733EE" w:rsidRPr="00683E5D" w:rsidRDefault="007733EE" w:rsidP="007733EE">
      <w:pPr>
        <w:pStyle w:val="Text1"/>
        <w:spacing w:before="0" w:after="240" w:line="240" w:lineRule="auto"/>
      </w:pPr>
      <w:r w:rsidRPr="00683E5D">
        <w:t>________________</w:t>
      </w:r>
    </w:p>
    <w:p w:rsidR="007733EE" w:rsidRPr="00683E5D" w:rsidRDefault="007733EE" w:rsidP="007733EE">
      <w:pPr>
        <w:pStyle w:val="Point1"/>
        <w:spacing w:before="0" w:after="240" w:line="240" w:lineRule="auto"/>
        <w:ind w:left="1418"/>
      </w:pPr>
      <w:r w:rsidRPr="00683E5D">
        <w:rPr>
          <w:b/>
          <w:vertAlign w:val="superscript"/>
        </w:rPr>
        <w:t>*</w:t>
      </w:r>
      <w:r w:rsidRPr="00683E5D">
        <w:tab/>
        <w:t>2021 m. balandžio 28 d. Europos Parlamento ir Tarybos reglamentas (ES) 2021/691 dėl Europos prisitaikymo prie globalizacijos padarinių fondo atleistiems darbuotojams (EGF), kuriuo panaikinamas Reglamentas (ES) Nr. 1309/2013 (OL L 153, 2021 5 3, p. 48).</w:t>
      </w:r>
    </w:p>
    <w:p w:rsidR="007733EE" w:rsidRPr="00683E5D" w:rsidRDefault="007733EE" w:rsidP="007733EE">
      <w:pPr>
        <w:pStyle w:val="Point1"/>
        <w:spacing w:before="0" w:after="240" w:line="240" w:lineRule="auto"/>
        <w:ind w:left="1418"/>
      </w:pPr>
      <w:r w:rsidRPr="00683E5D">
        <w:rPr>
          <w:b/>
          <w:vertAlign w:val="superscript"/>
        </w:rPr>
        <w:t>**</w:t>
      </w:r>
      <w:r w:rsidRPr="00683E5D">
        <w:tab/>
        <w:t>2002 m. lapkričio 11 d. Tarybos reglamentas (EB) Nr. 2012/2002, įsteigiantis Europos Sąjungos solidarumo fondą (OL L 311, 2002 11 14, p. 3).“;</w:t>
      </w:r>
    </w:p>
    <w:p w:rsidR="007733EE" w:rsidRPr="00683E5D" w:rsidRDefault="007733EE" w:rsidP="007733EE">
      <w:pPr>
        <w:pStyle w:val="Point0"/>
        <w:spacing w:before="0" w:after="240" w:line="240" w:lineRule="auto"/>
      </w:pPr>
      <w:r w:rsidRPr="00683E5D">
        <w:t>5)</w:t>
      </w:r>
      <w:r w:rsidRPr="00683E5D">
        <w:tab/>
        <w:t>10 straipsnio 2 dalis pakeičiama taip:</w:t>
      </w:r>
    </w:p>
    <w:p w:rsidR="007733EE" w:rsidRPr="00683E5D" w:rsidRDefault="007733EE" w:rsidP="007733EE">
      <w:pPr>
        <w:pStyle w:val="Point1"/>
        <w:spacing w:before="0" w:after="240" w:line="240" w:lineRule="auto"/>
      </w:pPr>
      <w:r w:rsidRPr="00683E5D">
        <w:t>„2.</w:t>
      </w:r>
      <w:r w:rsidRPr="00683E5D">
        <w:tab/>
        <w:t>Prisitaikymo prie „</w:t>
      </w:r>
      <w:proofErr w:type="spellStart"/>
      <w:r w:rsidRPr="00683E5D">
        <w:t>Brexit’o</w:t>
      </w:r>
      <w:proofErr w:type="spellEnd"/>
      <w:r w:rsidRPr="00683E5D">
        <w:t>“ rezervo suma neviršija 4 491 mln. EUR (2018 m. kainomis).“;</w:t>
      </w:r>
    </w:p>
    <w:p w:rsidR="007733EE" w:rsidRPr="00683E5D" w:rsidRDefault="007733EE" w:rsidP="007733EE">
      <w:pPr>
        <w:pStyle w:val="Point0"/>
        <w:spacing w:before="0" w:after="240" w:line="240" w:lineRule="auto"/>
      </w:pPr>
      <w:r w:rsidRPr="00683E5D">
        <w:br w:type="page"/>
      </w:r>
      <w:r w:rsidRPr="00683E5D">
        <w:lastRenderedPageBreak/>
        <w:t>6)</w:t>
      </w:r>
      <w:r w:rsidRPr="00683E5D">
        <w:tab/>
        <w:t>įterpiami šie straipsniai:</w:t>
      </w:r>
    </w:p>
    <w:p w:rsidR="007733EE" w:rsidRPr="00683E5D" w:rsidRDefault="007733EE" w:rsidP="007733EE">
      <w:pPr>
        <w:pStyle w:val="Text1"/>
        <w:spacing w:before="0" w:after="240" w:line="240" w:lineRule="auto"/>
      </w:pPr>
      <w:r w:rsidRPr="00683E5D">
        <w:t>„</w:t>
      </w:r>
      <w:r w:rsidRPr="00683E5D">
        <w:rPr>
          <w:i/>
        </w:rPr>
        <w:t>10a straipsnis</w:t>
      </w:r>
      <w:r w:rsidRPr="00683E5D">
        <w:rPr>
          <w:i/>
        </w:rPr>
        <w:br/>
        <w:t>EURI priemonė</w:t>
      </w:r>
    </w:p>
    <w:p w:rsidR="007733EE" w:rsidRPr="00683E5D" w:rsidRDefault="007733EE" w:rsidP="007733EE">
      <w:pPr>
        <w:pStyle w:val="Point1"/>
        <w:spacing w:before="0" w:after="240" w:line="240" w:lineRule="auto"/>
      </w:pPr>
      <w:r w:rsidRPr="00683E5D">
        <w:t>1.</w:t>
      </w:r>
      <w:r w:rsidRPr="00683E5D">
        <w:tab/>
        <w:t>Nuo 2025 m. EURI priemonė gali būti naudojama finansuoti dalį konkrečių metų palūkanų ir atkarpos mokėjimų, mokėtinų dėl kapitalo rinkose pasiskolintų lėšų, pagal Tarybos sprendimo (ES, Euratomas) 2020/2053</w:t>
      </w:r>
      <w:r w:rsidRPr="00683E5D">
        <w:rPr>
          <w:b/>
          <w:vertAlign w:val="superscript"/>
        </w:rPr>
        <w:t>*</w:t>
      </w:r>
      <w:r w:rsidRPr="00683E5D">
        <w:t xml:space="preserve"> 5 straipsnio 2 dalį. Konkrečiais metais EURI priemonės lėšas galima mobilizuoti tik tam, kad tiek, kiek nurodyta tolesnėse dalyse, būtų padengta šių mokėjimų, viršijančių toliau nurodytas sumas (2018 m. kainomis), suma:</w:t>
      </w:r>
    </w:p>
    <w:p w:rsidR="007733EE" w:rsidRPr="00683E5D" w:rsidRDefault="007733EE" w:rsidP="007733EE">
      <w:pPr>
        <w:pStyle w:val="Tiret2"/>
        <w:numPr>
          <w:ilvl w:val="0"/>
          <w:numId w:val="0"/>
        </w:numPr>
        <w:tabs>
          <w:tab w:val="left" w:pos="1984"/>
        </w:tabs>
        <w:spacing w:before="0" w:after="240" w:line="240" w:lineRule="auto"/>
        <w:ind w:left="1984" w:hanging="567"/>
      </w:pPr>
      <w:r w:rsidRPr="00683E5D">
        <w:rPr>
          <w:bdr w:val="none" w:sz="0" w:space="0" w:color="auto" w:frame="1"/>
        </w:rPr>
        <w:t>–</w:t>
      </w:r>
      <w:r w:rsidRPr="00683E5D">
        <w:rPr>
          <w:bdr w:val="none" w:sz="0" w:space="0" w:color="auto" w:frame="1"/>
        </w:rPr>
        <w:tab/>
      </w:r>
      <w:r w:rsidRPr="00683E5D">
        <w:t>2025 m. – 2 332 mln. EUR,</w:t>
      </w:r>
    </w:p>
    <w:p w:rsidR="007733EE" w:rsidRPr="00683E5D" w:rsidRDefault="007733EE" w:rsidP="007733EE">
      <w:pPr>
        <w:pStyle w:val="Tiret2"/>
        <w:numPr>
          <w:ilvl w:val="0"/>
          <w:numId w:val="0"/>
        </w:numPr>
        <w:tabs>
          <w:tab w:val="left" w:pos="1984"/>
        </w:tabs>
        <w:spacing w:before="0" w:after="240" w:line="240" w:lineRule="auto"/>
        <w:ind w:left="1984" w:hanging="567"/>
      </w:pPr>
      <w:r w:rsidRPr="00683E5D">
        <w:rPr>
          <w:bdr w:val="none" w:sz="0" w:space="0" w:color="auto" w:frame="1"/>
        </w:rPr>
        <w:t>–</w:t>
      </w:r>
      <w:r w:rsidRPr="00683E5D">
        <w:rPr>
          <w:bdr w:val="none" w:sz="0" w:space="0" w:color="auto" w:frame="1"/>
        </w:rPr>
        <w:tab/>
      </w:r>
      <w:r w:rsidRPr="00683E5D">
        <w:t>2026 m. – 3 196 mln. EUR,</w:t>
      </w:r>
    </w:p>
    <w:p w:rsidR="007733EE" w:rsidRPr="00683E5D" w:rsidRDefault="007733EE" w:rsidP="007733EE">
      <w:pPr>
        <w:pStyle w:val="Tiret2"/>
        <w:numPr>
          <w:ilvl w:val="0"/>
          <w:numId w:val="0"/>
        </w:numPr>
        <w:tabs>
          <w:tab w:val="left" w:pos="1984"/>
        </w:tabs>
        <w:spacing w:before="0" w:after="240" w:line="240" w:lineRule="auto"/>
        <w:ind w:left="1984" w:hanging="567"/>
      </w:pPr>
      <w:r w:rsidRPr="00683E5D">
        <w:rPr>
          <w:bdr w:val="none" w:sz="0" w:space="0" w:color="auto" w:frame="1"/>
        </w:rPr>
        <w:t>–</w:t>
      </w:r>
      <w:r w:rsidRPr="00683E5D">
        <w:rPr>
          <w:bdr w:val="none" w:sz="0" w:space="0" w:color="auto" w:frame="1"/>
        </w:rPr>
        <w:tab/>
      </w:r>
      <w:r w:rsidRPr="00683E5D">
        <w:t>2027 m. – 4 168 mln. EUR.</w:t>
      </w:r>
    </w:p>
    <w:p w:rsidR="007733EE" w:rsidRPr="00683E5D" w:rsidRDefault="007733EE" w:rsidP="007733EE">
      <w:pPr>
        <w:pStyle w:val="Point1"/>
        <w:spacing w:before="0" w:after="240" w:line="240" w:lineRule="auto"/>
      </w:pPr>
      <w:r w:rsidRPr="00683E5D">
        <w:t>2.</w:t>
      </w:r>
      <w:r w:rsidRPr="00683E5D">
        <w:tab/>
        <w:t xml:space="preserve">Vykdydami SESV 314 straipsnyje numatytą biudžeto procedūrą, EURI priemonės lėšas Europos Parlamentas ir Taryba gali mobilizuoti tik išsėmę kitas finansavimo priemones, siekdami padengti didelę dalį sumų, viršijančių šio straipsnio 1 dalyje nurodytas sumas, </w:t>
      </w:r>
      <w:bookmarkStart w:id="10" w:name="_Hlk155701821"/>
      <w:r w:rsidRPr="00683E5D">
        <w:t>laikydamiesi taikytinų sektoriaus taisyklių ir kitų teisinių pareigų,</w:t>
      </w:r>
      <w:bookmarkEnd w:id="10"/>
      <w:r w:rsidRPr="00683E5D">
        <w:t xml:space="preserve"> kartu atsižvelgdami į prioritetus, apdairų biudžeto sudarymą ir patikimą finansų valdymą.</w:t>
      </w:r>
    </w:p>
    <w:p w:rsidR="007733EE" w:rsidRPr="00683E5D" w:rsidRDefault="007733EE" w:rsidP="007733EE">
      <w:pPr>
        <w:pStyle w:val="Text2"/>
        <w:spacing w:before="0" w:after="240" w:line="240" w:lineRule="auto"/>
      </w:pPr>
      <w:r w:rsidRPr="00683E5D">
        <w:br w:type="page"/>
      </w:r>
      <w:r w:rsidRPr="00683E5D">
        <w:lastRenderedPageBreak/>
        <w:t>EURI priemonės asignavimai turi būti prieinami viršijant DFP viršutines ribas.</w:t>
      </w:r>
    </w:p>
    <w:p w:rsidR="007733EE" w:rsidRPr="00683E5D" w:rsidRDefault="007733EE" w:rsidP="007733EE">
      <w:pPr>
        <w:pStyle w:val="Point1"/>
        <w:spacing w:before="0" w:after="240" w:line="240" w:lineRule="auto"/>
      </w:pPr>
      <w:r w:rsidRPr="00683E5D">
        <w:t>3.</w:t>
      </w:r>
      <w:r w:rsidRPr="00683E5D">
        <w:tab/>
        <w:t>EURI priemonę sudaro:</w:t>
      </w:r>
    </w:p>
    <w:p w:rsidR="007733EE" w:rsidRPr="00683E5D" w:rsidRDefault="007733EE" w:rsidP="007733EE">
      <w:pPr>
        <w:pStyle w:val="Point2"/>
        <w:spacing w:before="0" w:after="240" w:line="240" w:lineRule="auto"/>
      </w:pPr>
      <w:r w:rsidRPr="00683E5D">
        <w:t>a)</w:t>
      </w:r>
      <w:r w:rsidRPr="00683E5D">
        <w:tab/>
        <w:t>suma, lygi sumai asignavimų, išskyrus išorės asignuotąsias pajamas, panaikintų nuo 2021 m., kurie ankstesniais metais nebuvo mobilizuoti pagal šią priemonę, išskyrus sumas panaikintų asignavimų, kuriuos vėl galima naudoti pagal Finansinio reglamento 15 straipsnio nuostatas ir konkrečias taisykles dėl asignavimų pakartotinio skyrimo, kaip nurodyta atitinkamuose pagrindiniuose aktuose. Pirmiausia panaudojama ši suma;</w:t>
      </w:r>
    </w:p>
    <w:p w:rsidR="007733EE" w:rsidRPr="00683E5D" w:rsidRDefault="007733EE" w:rsidP="007733EE">
      <w:pPr>
        <w:pStyle w:val="Point2"/>
        <w:spacing w:before="0" w:after="240" w:line="240" w:lineRule="auto"/>
      </w:pPr>
      <w:r w:rsidRPr="00683E5D">
        <w:t>b)</w:t>
      </w:r>
      <w:r w:rsidRPr="00683E5D">
        <w:tab/>
        <w:t xml:space="preserve">tik tuo atveju, jei šios dalies a punkte nurodytos sumos nepakanka, papildoma suma, būtina visiškai finansuoti 1 dalyje nurodytus </w:t>
      </w:r>
      <w:proofErr w:type="spellStart"/>
      <w:r w:rsidRPr="00683E5D">
        <w:t>mokėjimus</w:t>
      </w:r>
      <w:proofErr w:type="spellEnd"/>
      <w:r w:rsidRPr="00683E5D">
        <w:t xml:space="preserve"> konkrečiais metais.</w:t>
      </w:r>
    </w:p>
    <w:p w:rsidR="007733EE" w:rsidRPr="00683E5D" w:rsidRDefault="007733EE" w:rsidP="007733EE">
      <w:pPr>
        <w:pStyle w:val="Text2"/>
        <w:spacing w:before="0" w:after="240" w:line="240" w:lineRule="auto"/>
      </w:pPr>
      <w:r w:rsidRPr="00683E5D">
        <w:t xml:space="preserve">Kiekvienais metais, atlikdama 4 straipsnyje nurodytus techninius </w:t>
      </w:r>
      <w:proofErr w:type="spellStart"/>
      <w:r w:rsidRPr="00683E5D">
        <w:t>patikslinimus</w:t>
      </w:r>
      <w:proofErr w:type="spellEnd"/>
      <w:r w:rsidRPr="00683E5D">
        <w:t>, Komisija apskaičiuoja prieinamą sumą remdamasi šios dalies pirmos pastraipos a punktu, atsižvelgdama į sumas, į kurias tuo tikslu atsižvelgta ankstesniais metais.</w:t>
      </w:r>
    </w:p>
    <w:p w:rsidR="007733EE" w:rsidRPr="00683E5D" w:rsidRDefault="007733EE" w:rsidP="007733EE">
      <w:pPr>
        <w:pStyle w:val="Text1"/>
        <w:spacing w:before="0" w:after="240" w:line="240" w:lineRule="auto"/>
        <w:rPr>
          <w:i/>
          <w:iCs/>
        </w:rPr>
      </w:pPr>
      <w:r w:rsidRPr="00683E5D">
        <w:br w:type="page"/>
      </w:r>
      <w:r w:rsidRPr="00683E5D">
        <w:rPr>
          <w:i/>
        </w:rPr>
        <w:lastRenderedPageBreak/>
        <w:t>10b straipsnis</w:t>
      </w:r>
      <w:r w:rsidRPr="00683E5D">
        <w:rPr>
          <w:i/>
        </w:rPr>
        <w:br/>
        <w:t>Ukrainos rezervas</w:t>
      </w:r>
    </w:p>
    <w:p w:rsidR="007733EE" w:rsidRPr="00683E5D" w:rsidRDefault="007733EE" w:rsidP="007733EE">
      <w:pPr>
        <w:pStyle w:val="Point1"/>
        <w:spacing w:before="0" w:after="240" w:line="240" w:lineRule="auto"/>
      </w:pPr>
      <w:r w:rsidRPr="00683E5D">
        <w:t>1.</w:t>
      </w:r>
      <w:r w:rsidRPr="00683E5D">
        <w:tab/>
        <w:t>Ukrainos rezervas gali būti mobilizuojamas vieninteliam tikslui – išlaidoms pagal Reglamentą (ES) 2024/…</w:t>
      </w:r>
      <w:r w:rsidRPr="00683E5D">
        <w:rPr>
          <w:rStyle w:val="FootnoteReference"/>
        </w:rPr>
        <w:footnoteReference w:customMarkFollows="1" w:id="11"/>
        <w:t>+</w:t>
      </w:r>
      <w:r w:rsidRPr="00683E5D">
        <w:t xml:space="preserve"> finansuoti.</w:t>
      </w:r>
    </w:p>
    <w:p w:rsidR="007733EE" w:rsidRPr="00683E5D" w:rsidRDefault="007733EE" w:rsidP="007733EE">
      <w:pPr>
        <w:pStyle w:val="Point1"/>
        <w:spacing w:before="0" w:after="240" w:line="240" w:lineRule="auto"/>
      </w:pPr>
      <w:r w:rsidRPr="00683E5D">
        <w:t>2.</w:t>
      </w:r>
      <w:r w:rsidRPr="00683E5D">
        <w:tab/>
        <w:t>Ukrainos rezervas 2024–2027 m. laikotarpiu neturi viršyti 17 000 mln. EUR einamosiomis kainomis.</w:t>
      </w:r>
    </w:p>
    <w:p w:rsidR="007733EE" w:rsidRPr="00683E5D" w:rsidRDefault="007733EE" w:rsidP="007733EE">
      <w:pPr>
        <w:pStyle w:val="Point1"/>
        <w:spacing w:before="0" w:after="240" w:line="240" w:lineRule="auto"/>
      </w:pPr>
      <w:r w:rsidRPr="00683E5D">
        <w:t>3.</w:t>
      </w:r>
      <w:r w:rsidRPr="00683E5D">
        <w:tab/>
        <w:t>Metinė konkrečiais metais pagal Ukrainos rezervą mobilizuojama suma neturi viršyti 5 000 mln. EUR einamosiomis kainomis. Nedarant poveikio 2 dalyje nustatytai bendrai sumai, atitinkamais metais nepanaudota metinės sumos dalis gali būti panaudota vėlesniais metais iki 2027 m.</w:t>
      </w:r>
    </w:p>
    <w:p w:rsidR="007733EE" w:rsidRPr="00683E5D" w:rsidRDefault="007733EE" w:rsidP="007733EE">
      <w:pPr>
        <w:pStyle w:val="Point1"/>
        <w:spacing w:before="0" w:after="240" w:line="240" w:lineRule="auto"/>
      </w:pPr>
      <w:r w:rsidRPr="00683E5D">
        <w:t>4.</w:t>
      </w:r>
      <w:r w:rsidRPr="00683E5D">
        <w:tab/>
        <w:t>Ukrainos rezervo lėšas gali mobilizuoti Europos Parlamentas ir Taryba, vykdydami SESV 314 straipsnyje numatytą biudžeto procedūrą.</w:t>
      </w:r>
    </w:p>
    <w:p w:rsidR="007733EE" w:rsidRPr="00683E5D" w:rsidRDefault="007733EE" w:rsidP="007733EE">
      <w:pPr>
        <w:pStyle w:val="Text1"/>
        <w:spacing w:before="0" w:after="240" w:line="240" w:lineRule="auto"/>
      </w:pPr>
      <w:r w:rsidRPr="00683E5D">
        <w:t>________________</w:t>
      </w:r>
    </w:p>
    <w:p w:rsidR="007733EE" w:rsidRPr="00683E5D" w:rsidRDefault="007733EE" w:rsidP="007733EE">
      <w:pPr>
        <w:pStyle w:val="Point1"/>
        <w:spacing w:before="0" w:after="240" w:line="240" w:lineRule="auto"/>
        <w:ind w:left="1418"/>
      </w:pPr>
      <w:r w:rsidRPr="00683E5D">
        <w:rPr>
          <w:b/>
          <w:vertAlign w:val="superscript"/>
        </w:rPr>
        <w:t>*</w:t>
      </w:r>
      <w:r w:rsidRPr="00683E5D">
        <w:tab/>
        <w:t>2020 m. gruodžio 14 d. Tarybos sprendimas (ES, Euratomas) 2020/2053 dėl Europos Sąjungos nuosavų išteklių sistemos, kuriuo panaikinamas Sprendimas 2014/335/ES, Euratomas (OL L 424, 2020 12 15, p. 1).“;</w:t>
      </w:r>
    </w:p>
    <w:p w:rsidR="007733EE" w:rsidRPr="00683E5D" w:rsidRDefault="007733EE" w:rsidP="007733EE">
      <w:pPr>
        <w:pStyle w:val="Point0"/>
        <w:spacing w:before="0" w:after="240" w:line="240" w:lineRule="auto"/>
      </w:pPr>
      <w:r w:rsidRPr="00683E5D">
        <w:br w:type="page"/>
      </w:r>
      <w:r w:rsidRPr="00683E5D">
        <w:lastRenderedPageBreak/>
        <w:t>7)</w:t>
      </w:r>
      <w:r w:rsidRPr="00683E5D">
        <w:tab/>
        <w:t>11 straipsnyje įterpiama ši dalis:</w:t>
      </w:r>
    </w:p>
    <w:p w:rsidR="007733EE" w:rsidRPr="00683E5D" w:rsidRDefault="007733EE" w:rsidP="007733EE">
      <w:pPr>
        <w:pStyle w:val="Point1"/>
        <w:spacing w:before="0" w:after="240" w:line="240" w:lineRule="auto"/>
      </w:pPr>
      <w:r w:rsidRPr="00683E5D">
        <w:t>„3a.</w:t>
      </w:r>
      <w:r w:rsidRPr="00683E5D">
        <w:tab/>
        <w:t>Šio straipsnio 3 dalyje nurodyta didžiausia 2026 m. metinio koregavimo suma, padidinta 5 straipsnio 2 dalies antroje pastraipoje nurodyta suma, koreguojama suma yra lygi nepanaudotos didžiausios 2025 m. sumos daliai.“;</w:t>
      </w:r>
    </w:p>
    <w:p w:rsidR="007733EE" w:rsidRPr="00683E5D" w:rsidRDefault="007733EE" w:rsidP="007733EE">
      <w:pPr>
        <w:pStyle w:val="Point0"/>
        <w:spacing w:before="0" w:after="240" w:line="240" w:lineRule="auto"/>
      </w:pPr>
      <w:r w:rsidRPr="00683E5D">
        <w:t>8)</w:t>
      </w:r>
      <w:r w:rsidRPr="00683E5D">
        <w:tab/>
        <w:t>12 straipsnis pakeičiamas taip:</w:t>
      </w:r>
    </w:p>
    <w:p w:rsidR="007733EE" w:rsidRPr="00683E5D" w:rsidRDefault="007733EE" w:rsidP="007733EE">
      <w:pPr>
        <w:pStyle w:val="Text1"/>
        <w:spacing w:before="0" w:after="240" w:line="240" w:lineRule="auto"/>
      </w:pPr>
      <w:r w:rsidRPr="00683E5D">
        <w:t>„</w:t>
      </w:r>
      <w:r w:rsidRPr="00683E5D">
        <w:rPr>
          <w:i/>
        </w:rPr>
        <w:t>12 straipsnis</w:t>
      </w:r>
      <w:r w:rsidRPr="00683E5D">
        <w:rPr>
          <w:i/>
        </w:rPr>
        <w:br/>
        <w:t>Lankstumo priemonė</w:t>
      </w:r>
    </w:p>
    <w:p w:rsidR="007733EE" w:rsidRPr="00683E5D" w:rsidRDefault="007733EE" w:rsidP="007733EE">
      <w:pPr>
        <w:pStyle w:val="Point1"/>
        <w:spacing w:before="0" w:after="240" w:line="240" w:lineRule="auto"/>
      </w:pPr>
      <w:r w:rsidRPr="00683E5D">
        <w:t>1.</w:t>
      </w:r>
      <w:r w:rsidRPr="00683E5D">
        <w:tab/>
        <w:t>Lankstumo priemonė gali būti naudojama įsipareigojimų asignavimų ir atitinkamų mokėjimų asignavimų konkrečioms nenumatytoms išlaidoms finansuoti konkrečiais finansiniais metais, kai tokių išlaidų negalima finansuoti laikantis vienai arba daugiau kitų išlaidų kategorijų numatytų viršutinių ribų. Lankstumo priemonei skirtos metinės sumos viršutinė riba 2021–2023 m. yra 915 mln. EUR (2018 m. kainomis). Lankstumo priemonei skirtos metinės sumos viršutinė riba 2024–2027 m. yra 1 346 mln. EUR (2018 m. kainomis).</w:t>
      </w:r>
    </w:p>
    <w:p w:rsidR="007733EE" w:rsidRPr="00683E5D" w:rsidRDefault="007733EE" w:rsidP="007733EE">
      <w:pPr>
        <w:pStyle w:val="Text2"/>
        <w:spacing w:before="0" w:after="240" w:line="240" w:lineRule="auto"/>
      </w:pPr>
      <w:r w:rsidRPr="00683E5D">
        <w:t>Kiekvienais metais lankstumo priemonei skirta metinė suma padidinama suma, lygia Europos solidarumo rezervui ir neatidėliotinos pagalbos rezervui skirtų metinių sumų dalims, panaikintoms praėjusiais metais pagal 9 straipsnį.</w:t>
      </w:r>
    </w:p>
    <w:p w:rsidR="007733EE" w:rsidRPr="00683E5D" w:rsidRDefault="007733EE" w:rsidP="007733EE">
      <w:pPr>
        <w:pStyle w:val="Point1"/>
        <w:spacing w:before="0" w:after="240" w:line="240" w:lineRule="auto"/>
      </w:pPr>
      <w:r w:rsidRPr="00683E5D">
        <w:br w:type="page"/>
      </w:r>
      <w:r w:rsidRPr="00683E5D">
        <w:lastRenderedPageBreak/>
        <w:t>2.</w:t>
      </w:r>
      <w:r w:rsidRPr="00683E5D">
        <w:tab/>
        <w:t>Nepanaudota lankstumo priemonės metinės sumos dalis gali būti naudojama iki n+2 metų. Pirmiausia naudojama bet kuri iš praėjusių metų susidariusi metinės sumos dalis eilės tvarka. Bet kuri n metų metinės sumos dalis, nepanaudota iki n+2 metų pabaigos, panaikinama.“;</w:t>
      </w:r>
    </w:p>
    <w:p w:rsidR="007733EE" w:rsidRPr="00683E5D" w:rsidRDefault="007733EE" w:rsidP="007733EE">
      <w:pPr>
        <w:pStyle w:val="Point0"/>
        <w:spacing w:before="0" w:after="240" w:line="240" w:lineRule="auto"/>
      </w:pPr>
      <w:r w:rsidRPr="00683E5D">
        <w:t>9)</w:t>
      </w:r>
      <w:r w:rsidRPr="00683E5D">
        <w:tab/>
        <w:t>I ir II priedai pakeičiami šio reglamento priedo tekstu.</w:t>
      </w:r>
    </w:p>
    <w:p w:rsidR="007733EE" w:rsidRPr="00683E5D" w:rsidRDefault="007733EE" w:rsidP="007733EE">
      <w:pPr>
        <w:pStyle w:val="Titrearticle"/>
        <w:spacing w:before="0" w:after="240" w:line="240" w:lineRule="auto"/>
      </w:pPr>
      <w:r w:rsidRPr="00683E5D">
        <w:t>2 straipsnis</w:t>
      </w:r>
    </w:p>
    <w:p w:rsidR="007733EE" w:rsidRPr="00683E5D" w:rsidRDefault="007733EE" w:rsidP="007733EE">
      <w:pPr>
        <w:spacing w:after="240"/>
      </w:pPr>
      <w:r w:rsidRPr="00683E5D">
        <w:t xml:space="preserve">Šis reglamentas įsigalioja jo paskelbimo </w:t>
      </w:r>
      <w:r w:rsidRPr="00683E5D">
        <w:rPr>
          <w:i/>
        </w:rPr>
        <w:t>Europos Sąjungos oficialiajame leidinyje</w:t>
      </w:r>
      <w:r w:rsidRPr="00683E5D">
        <w:t xml:space="preserve"> dieną.</w:t>
      </w:r>
    </w:p>
    <w:p w:rsidR="007733EE" w:rsidRPr="00683E5D" w:rsidRDefault="007733EE" w:rsidP="007733EE">
      <w:pPr>
        <w:spacing w:after="240"/>
      </w:pPr>
      <w:r w:rsidRPr="00683E5D">
        <w:t>Jis taikomas nuo 2024 m. sausio 1 d.</w:t>
      </w:r>
    </w:p>
    <w:p w:rsidR="007733EE" w:rsidRPr="00683E5D" w:rsidRDefault="007733EE" w:rsidP="007733EE">
      <w:pPr>
        <w:pStyle w:val="Applicationdirecte"/>
        <w:spacing w:before="0" w:after="240" w:line="240" w:lineRule="auto"/>
      </w:pPr>
      <w:r w:rsidRPr="00683E5D">
        <w:t>Šis reglamentas privalomas visas ir tiesiogiai taikomas visose valstybėse narėse.</w:t>
      </w:r>
    </w:p>
    <w:p w:rsidR="007733EE" w:rsidRPr="00683E5D" w:rsidRDefault="007733EE" w:rsidP="007733EE">
      <w:pPr>
        <w:pStyle w:val="Fait"/>
        <w:spacing w:before="0" w:after="240" w:line="240" w:lineRule="auto"/>
      </w:pPr>
      <w:r w:rsidRPr="00683E5D">
        <w:t>Priimta …</w:t>
      </w:r>
    </w:p>
    <w:p w:rsidR="007733EE" w:rsidRPr="00683E5D" w:rsidRDefault="007733EE" w:rsidP="007733EE">
      <w:pPr>
        <w:pStyle w:val="Institutionquisigne"/>
        <w:spacing w:before="0" w:after="240" w:line="240" w:lineRule="auto"/>
      </w:pPr>
      <w:r w:rsidRPr="00683E5D">
        <w:tab/>
        <w:t>Tarybos vardu</w:t>
      </w:r>
    </w:p>
    <w:p w:rsidR="007733EE" w:rsidRPr="00683E5D" w:rsidRDefault="007733EE" w:rsidP="007733EE">
      <w:pPr>
        <w:pStyle w:val="Personnequisigne"/>
        <w:spacing w:after="240" w:line="240" w:lineRule="auto"/>
      </w:pPr>
      <w:r w:rsidRPr="00683E5D">
        <w:tab/>
        <w:t>Pirmininkas / Pirmininkė</w:t>
      </w:r>
    </w:p>
    <w:p w:rsidR="007733EE" w:rsidRPr="00683E5D" w:rsidRDefault="007733EE" w:rsidP="007733EE">
      <w:pPr>
        <w:pStyle w:val="Lignefinal"/>
      </w:pPr>
    </w:p>
    <w:p w:rsidR="007733EE" w:rsidRPr="00683E5D" w:rsidRDefault="007733EE" w:rsidP="007733EE"/>
    <w:p w:rsidR="007733EE" w:rsidRPr="00683E5D" w:rsidRDefault="007733EE" w:rsidP="007733EE">
      <w:pPr>
        <w:sectPr w:rsidR="007733EE" w:rsidRPr="00683E5D" w:rsidSect="00683E5D">
          <w:footnotePr>
            <w:numRestart w:val="eachPage"/>
          </w:footnotePr>
          <w:pgSz w:w="11907" w:h="16839"/>
          <w:pgMar w:top="1134" w:right="1134" w:bottom="1134" w:left="1134" w:header="567" w:footer="567" w:gutter="0"/>
          <w:cols w:space="720"/>
          <w:docGrid w:linePitch="326"/>
        </w:sectPr>
      </w:pPr>
    </w:p>
    <w:p w:rsidR="007733EE" w:rsidRPr="00683E5D" w:rsidRDefault="007733EE" w:rsidP="007733EE">
      <w:pPr>
        <w:pStyle w:val="Annexetitre"/>
      </w:pPr>
      <w:r w:rsidRPr="00683E5D">
        <w:lastRenderedPageBreak/>
        <w:t>PRIEDAS</w:t>
      </w:r>
    </w:p>
    <w:p w:rsidR="007733EE" w:rsidRPr="00683E5D" w:rsidRDefault="007733EE" w:rsidP="007733EE">
      <w:pPr>
        <w:pStyle w:val="NormalCentered"/>
      </w:pPr>
      <w:r w:rsidRPr="00683E5D">
        <w:t>„I PRIEDAS.</w:t>
      </w:r>
      <w:r w:rsidRPr="00683E5D">
        <w:br/>
        <w:t>DAUGIAMETĖ FINANSINĖ PROGRAMA (ES 27)</w:t>
      </w:r>
    </w:p>
    <w:tbl>
      <w:tblPr>
        <w:tblW w:w="5050" w:type="pct"/>
        <w:tblLook w:val="04A0" w:firstRow="1" w:lastRow="0" w:firstColumn="1" w:lastColumn="0" w:noHBand="0" w:noVBand="1"/>
      </w:tblPr>
      <w:tblGrid>
        <w:gridCol w:w="6350"/>
        <w:gridCol w:w="1016"/>
        <w:gridCol w:w="1016"/>
        <w:gridCol w:w="1016"/>
        <w:gridCol w:w="1016"/>
        <w:gridCol w:w="1016"/>
        <w:gridCol w:w="1016"/>
        <w:gridCol w:w="1016"/>
        <w:gridCol w:w="1176"/>
      </w:tblGrid>
      <w:tr w:rsidR="007733EE" w:rsidRPr="00683E5D" w:rsidTr="00F94EF1">
        <w:trPr>
          <w:trHeight w:val="315"/>
          <w:tblHeader/>
        </w:trPr>
        <w:tc>
          <w:tcPr>
            <w:tcW w:w="1927" w:type="pct"/>
            <w:noWrap/>
            <w:vAlign w:val="bottom"/>
            <w:hideMark/>
          </w:tcPr>
          <w:p w:rsidR="007733EE" w:rsidRPr="00683E5D" w:rsidRDefault="007733EE" w:rsidP="00F94EF1"/>
        </w:tc>
        <w:tc>
          <w:tcPr>
            <w:tcW w:w="347" w:type="pct"/>
            <w:noWrap/>
            <w:vAlign w:val="bottom"/>
            <w:hideMark/>
          </w:tcPr>
          <w:p w:rsidR="007733EE" w:rsidRPr="00683E5D" w:rsidRDefault="007733EE" w:rsidP="00F94EF1">
            <w:pPr>
              <w:spacing w:after="160" w:line="256" w:lineRule="auto"/>
              <w:rPr>
                <w:rFonts w:asciiTheme="minorHAnsi" w:hAnsiTheme="minorHAnsi" w:cstheme="minorBidi"/>
                <w:sz w:val="20"/>
              </w:rPr>
            </w:pPr>
          </w:p>
        </w:tc>
        <w:tc>
          <w:tcPr>
            <w:tcW w:w="350" w:type="pct"/>
            <w:noWrap/>
            <w:vAlign w:val="bottom"/>
            <w:hideMark/>
          </w:tcPr>
          <w:p w:rsidR="007733EE" w:rsidRPr="00683E5D" w:rsidRDefault="007733EE" w:rsidP="00F94EF1">
            <w:pPr>
              <w:spacing w:after="160" w:line="256" w:lineRule="auto"/>
              <w:rPr>
                <w:rFonts w:asciiTheme="minorHAnsi" w:hAnsiTheme="minorHAnsi" w:cstheme="minorBidi"/>
                <w:sz w:val="20"/>
              </w:rPr>
            </w:pPr>
          </w:p>
        </w:tc>
        <w:tc>
          <w:tcPr>
            <w:tcW w:w="350" w:type="pct"/>
            <w:noWrap/>
            <w:vAlign w:val="bottom"/>
            <w:hideMark/>
          </w:tcPr>
          <w:p w:rsidR="007733EE" w:rsidRPr="00683E5D" w:rsidRDefault="007733EE" w:rsidP="00F94EF1">
            <w:pPr>
              <w:spacing w:after="160" w:line="256" w:lineRule="auto"/>
              <w:rPr>
                <w:rFonts w:asciiTheme="minorHAnsi" w:hAnsiTheme="minorHAnsi" w:cstheme="minorBidi"/>
                <w:sz w:val="20"/>
              </w:rPr>
            </w:pPr>
          </w:p>
        </w:tc>
        <w:tc>
          <w:tcPr>
            <w:tcW w:w="350" w:type="pct"/>
            <w:noWrap/>
            <w:vAlign w:val="bottom"/>
            <w:hideMark/>
          </w:tcPr>
          <w:p w:rsidR="007733EE" w:rsidRPr="00683E5D" w:rsidRDefault="007733EE" w:rsidP="00F94EF1">
            <w:pPr>
              <w:spacing w:after="160" w:line="256" w:lineRule="auto"/>
              <w:rPr>
                <w:rFonts w:asciiTheme="minorHAnsi" w:hAnsiTheme="minorHAnsi" w:cstheme="minorBidi"/>
                <w:sz w:val="20"/>
              </w:rPr>
            </w:pPr>
          </w:p>
        </w:tc>
        <w:tc>
          <w:tcPr>
            <w:tcW w:w="349" w:type="pct"/>
            <w:noWrap/>
            <w:vAlign w:val="bottom"/>
            <w:hideMark/>
          </w:tcPr>
          <w:p w:rsidR="007733EE" w:rsidRPr="00683E5D" w:rsidRDefault="007733EE" w:rsidP="00F94EF1">
            <w:pPr>
              <w:spacing w:after="160" w:line="256" w:lineRule="auto"/>
              <w:rPr>
                <w:rFonts w:asciiTheme="minorHAnsi" w:hAnsiTheme="minorHAnsi" w:cstheme="minorBidi"/>
                <w:sz w:val="20"/>
              </w:rPr>
            </w:pPr>
          </w:p>
        </w:tc>
        <w:tc>
          <w:tcPr>
            <w:tcW w:w="1327" w:type="pct"/>
            <w:gridSpan w:val="3"/>
            <w:noWrap/>
            <w:vAlign w:val="center"/>
            <w:hideMark/>
          </w:tcPr>
          <w:p w:rsidR="007733EE" w:rsidRPr="00683E5D" w:rsidRDefault="007733EE" w:rsidP="00F94EF1">
            <w:pPr>
              <w:spacing w:before="60" w:after="60"/>
              <w:jc w:val="right"/>
              <w:rPr>
                <w:szCs w:val="22"/>
              </w:rPr>
            </w:pPr>
            <w:r w:rsidRPr="00683E5D">
              <w:t>(</w:t>
            </w:r>
            <w:r w:rsidRPr="00683E5D">
              <w:rPr>
                <w:i/>
              </w:rPr>
              <w:t>mln. EUR, 2018 m. kainomis</w:t>
            </w:r>
            <w:r w:rsidRPr="00683E5D">
              <w:t>)</w:t>
            </w:r>
          </w:p>
        </w:tc>
      </w:tr>
      <w:tr w:rsidR="007733EE" w:rsidRPr="00683E5D" w:rsidTr="00F94EF1">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7733EE" w:rsidRPr="00683E5D" w:rsidRDefault="007733EE" w:rsidP="00F94EF1">
            <w:pPr>
              <w:spacing w:before="60" w:after="60"/>
              <w:jc w:val="center"/>
              <w:rPr>
                <w:b/>
                <w:bCs/>
              </w:rPr>
            </w:pPr>
            <w:r w:rsidRPr="00683E5D">
              <w:rPr>
                <w:b/>
              </w:rPr>
              <w:t>ĮSIPAREIGOJIMŲ ASIGNAVIMAI</w:t>
            </w:r>
          </w:p>
        </w:tc>
        <w:tc>
          <w:tcPr>
            <w:tcW w:w="347"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2021 m.</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2022 m.</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2023 m.</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2024 m.</w:t>
            </w:r>
          </w:p>
        </w:tc>
        <w:tc>
          <w:tcPr>
            <w:tcW w:w="349"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2025 m.</w:t>
            </w:r>
          </w:p>
        </w:tc>
        <w:tc>
          <w:tcPr>
            <w:tcW w:w="348"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2026 m.</w:t>
            </w:r>
          </w:p>
        </w:tc>
        <w:tc>
          <w:tcPr>
            <w:tcW w:w="34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center"/>
              <w:rPr>
                <w:b/>
                <w:bCs/>
              </w:rPr>
            </w:pPr>
            <w:r w:rsidRPr="00683E5D">
              <w:rPr>
                <w:b/>
              </w:rPr>
              <w:t>2027 m.</w:t>
            </w:r>
          </w:p>
        </w:tc>
        <w:tc>
          <w:tcPr>
            <w:tcW w:w="639" w:type="pct"/>
            <w:tcBorders>
              <w:top w:val="single" w:sz="8" w:space="0" w:color="auto"/>
              <w:left w:val="single" w:sz="4" w:space="0" w:color="auto"/>
              <w:bottom w:val="single" w:sz="8" w:space="0" w:color="auto"/>
              <w:right w:val="single" w:sz="8" w:space="0" w:color="auto"/>
            </w:tcBorders>
            <w:vAlign w:val="center"/>
            <w:hideMark/>
          </w:tcPr>
          <w:p w:rsidR="007733EE" w:rsidRPr="00683E5D" w:rsidRDefault="007733EE" w:rsidP="00F94EF1">
            <w:pPr>
              <w:spacing w:before="60" w:after="60"/>
              <w:jc w:val="center"/>
              <w:rPr>
                <w:b/>
                <w:bCs/>
              </w:rPr>
            </w:pPr>
            <w:r w:rsidRPr="00683E5D">
              <w:rPr>
                <w:b/>
              </w:rPr>
              <w:t>Iš viso 2021–2027 m.</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1.</w:t>
            </w:r>
            <w:r w:rsidRPr="00683E5D">
              <w:rPr>
                <w:b/>
              </w:rPr>
              <w:tab/>
              <w:t>Bendroji rinka, inovacijos ir skaitmeniniai klausimai</w:t>
            </w:r>
          </w:p>
        </w:tc>
        <w:tc>
          <w:tcPr>
            <w:tcW w:w="347" w:type="pct"/>
            <w:noWrap/>
            <w:vAlign w:val="center"/>
            <w:hideMark/>
          </w:tcPr>
          <w:p w:rsidR="007733EE" w:rsidRPr="00683E5D" w:rsidRDefault="007733EE" w:rsidP="00F94EF1">
            <w:pPr>
              <w:spacing w:before="60" w:after="60"/>
              <w:jc w:val="right"/>
              <w:rPr>
                <w:b/>
                <w:bCs/>
              </w:rPr>
            </w:pPr>
            <w:r w:rsidRPr="00683E5D">
              <w:rPr>
                <w:b/>
              </w:rPr>
              <w:t>19 712</w:t>
            </w:r>
          </w:p>
        </w:tc>
        <w:tc>
          <w:tcPr>
            <w:tcW w:w="350" w:type="pct"/>
            <w:noWrap/>
            <w:vAlign w:val="center"/>
            <w:hideMark/>
          </w:tcPr>
          <w:p w:rsidR="007733EE" w:rsidRPr="00683E5D" w:rsidRDefault="007733EE" w:rsidP="00F94EF1">
            <w:pPr>
              <w:spacing w:before="60" w:after="60"/>
              <w:jc w:val="right"/>
              <w:rPr>
                <w:b/>
                <w:bCs/>
              </w:rPr>
            </w:pPr>
            <w:r w:rsidRPr="00683E5D">
              <w:rPr>
                <w:b/>
              </w:rPr>
              <w:t>20 211</w:t>
            </w:r>
          </w:p>
        </w:tc>
        <w:tc>
          <w:tcPr>
            <w:tcW w:w="350" w:type="pct"/>
            <w:noWrap/>
            <w:vAlign w:val="center"/>
            <w:hideMark/>
          </w:tcPr>
          <w:p w:rsidR="007733EE" w:rsidRPr="00683E5D" w:rsidRDefault="007733EE" w:rsidP="00F94EF1">
            <w:pPr>
              <w:spacing w:before="60" w:after="60"/>
              <w:jc w:val="right"/>
              <w:rPr>
                <w:b/>
                <w:bCs/>
              </w:rPr>
            </w:pPr>
            <w:r w:rsidRPr="00683E5D">
              <w:rPr>
                <w:b/>
              </w:rPr>
              <w:t>19 678</w:t>
            </w:r>
          </w:p>
        </w:tc>
        <w:tc>
          <w:tcPr>
            <w:tcW w:w="350" w:type="pct"/>
            <w:noWrap/>
            <w:vAlign w:val="center"/>
            <w:hideMark/>
          </w:tcPr>
          <w:p w:rsidR="007733EE" w:rsidRPr="00683E5D" w:rsidRDefault="007733EE" w:rsidP="00F94EF1">
            <w:pPr>
              <w:spacing w:before="60" w:after="60"/>
              <w:jc w:val="right"/>
              <w:rPr>
                <w:b/>
                <w:bCs/>
              </w:rPr>
            </w:pPr>
            <w:r w:rsidRPr="00683E5D">
              <w:rPr>
                <w:b/>
              </w:rPr>
              <w:t>19 178</w:t>
            </w:r>
          </w:p>
        </w:tc>
        <w:tc>
          <w:tcPr>
            <w:tcW w:w="349" w:type="pct"/>
            <w:noWrap/>
            <w:vAlign w:val="center"/>
            <w:hideMark/>
          </w:tcPr>
          <w:p w:rsidR="007733EE" w:rsidRPr="00683E5D" w:rsidRDefault="007733EE" w:rsidP="00F94EF1">
            <w:pPr>
              <w:spacing w:before="60" w:after="60"/>
              <w:jc w:val="right"/>
              <w:rPr>
                <w:b/>
                <w:bCs/>
              </w:rPr>
            </w:pPr>
            <w:r w:rsidRPr="00683E5D">
              <w:rPr>
                <w:b/>
              </w:rPr>
              <w:t>18 173</w:t>
            </w:r>
          </w:p>
        </w:tc>
        <w:tc>
          <w:tcPr>
            <w:tcW w:w="348" w:type="pct"/>
            <w:noWrap/>
            <w:vAlign w:val="center"/>
            <w:hideMark/>
          </w:tcPr>
          <w:p w:rsidR="007733EE" w:rsidRPr="00683E5D" w:rsidRDefault="007733EE" w:rsidP="00F94EF1">
            <w:pPr>
              <w:spacing w:before="60" w:after="60"/>
              <w:jc w:val="right"/>
              <w:rPr>
                <w:b/>
                <w:bCs/>
              </w:rPr>
            </w:pPr>
            <w:r w:rsidRPr="00683E5D">
              <w:rPr>
                <w:b/>
              </w:rPr>
              <w:t>18 120</w:t>
            </w:r>
          </w:p>
        </w:tc>
        <w:tc>
          <w:tcPr>
            <w:tcW w:w="340" w:type="pct"/>
            <w:noWrap/>
            <w:vAlign w:val="center"/>
            <w:hideMark/>
          </w:tcPr>
          <w:p w:rsidR="007733EE" w:rsidRPr="00683E5D" w:rsidRDefault="007733EE" w:rsidP="00F94EF1">
            <w:pPr>
              <w:spacing w:before="60" w:after="60"/>
              <w:jc w:val="right"/>
              <w:rPr>
                <w:b/>
                <w:bCs/>
              </w:rPr>
            </w:pPr>
            <w:r w:rsidRPr="00683E5D">
              <w:rPr>
                <w:b/>
              </w:rPr>
              <w:t>17 565</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132 637</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2.</w:t>
            </w:r>
            <w:r w:rsidRPr="00683E5D">
              <w:rPr>
                <w:b/>
              </w:rPr>
              <w:tab/>
              <w:t>Sanglauda, atsparumas ir vertybės</w:t>
            </w:r>
          </w:p>
        </w:tc>
        <w:tc>
          <w:tcPr>
            <w:tcW w:w="347" w:type="pct"/>
            <w:noWrap/>
            <w:vAlign w:val="center"/>
            <w:hideMark/>
          </w:tcPr>
          <w:p w:rsidR="007733EE" w:rsidRPr="00683E5D" w:rsidRDefault="007733EE" w:rsidP="00F94EF1">
            <w:pPr>
              <w:spacing w:before="60" w:after="60"/>
              <w:jc w:val="right"/>
              <w:rPr>
                <w:b/>
                <w:bCs/>
              </w:rPr>
            </w:pPr>
            <w:r w:rsidRPr="00683E5D">
              <w:rPr>
                <w:b/>
              </w:rPr>
              <w:t>5 996</w:t>
            </w:r>
          </w:p>
        </w:tc>
        <w:tc>
          <w:tcPr>
            <w:tcW w:w="350" w:type="pct"/>
            <w:noWrap/>
            <w:vAlign w:val="center"/>
            <w:hideMark/>
          </w:tcPr>
          <w:p w:rsidR="007733EE" w:rsidRPr="00683E5D" w:rsidRDefault="007733EE" w:rsidP="00F94EF1">
            <w:pPr>
              <w:spacing w:before="60" w:after="60"/>
              <w:jc w:val="right"/>
              <w:rPr>
                <w:b/>
                <w:bCs/>
              </w:rPr>
            </w:pPr>
            <w:r w:rsidRPr="00683E5D">
              <w:rPr>
                <w:b/>
              </w:rPr>
              <w:t>62 642</w:t>
            </w:r>
          </w:p>
        </w:tc>
        <w:tc>
          <w:tcPr>
            <w:tcW w:w="350" w:type="pct"/>
            <w:noWrap/>
            <w:vAlign w:val="center"/>
            <w:hideMark/>
          </w:tcPr>
          <w:p w:rsidR="007733EE" w:rsidRPr="00683E5D" w:rsidRDefault="007733EE" w:rsidP="00F94EF1">
            <w:pPr>
              <w:spacing w:before="60" w:after="60"/>
              <w:jc w:val="right"/>
              <w:rPr>
                <w:b/>
                <w:bCs/>
              </w:rPr>
            </w:pPr>
            <w:r w:rsidRPr="00683E5D">
              <w:rPr>
                <w:b/>
              </w:rPr>
              <w:t>63 525</w:t>
            </w:r>
          </w:p>
        </w:tc>
        <w:tc>
          <w:tcPr>
            <w:tcW w:w="350" w:type="pct"/>
            <w:noWrap/>
            <w:vAlign w:val="center"/>
            <w:hideMark/>
          </w:tcPr>
          <w:p w:rsidR="007733EE" w:rsidRPr="00683E5D" w:rsidRDefault="007733EE" w:rsidP="00F94EF1">
            <w:pPr>
              <w:spacing w:before="60" w:after="60"/>
              <w:jc w:val="right"/>
              <w:rPr>
                <w:b/>
                <w:bCs/>
              </w:rPr>
            </w:pPr>
            <w:r w:rsidRPr="00683E5D">
              <w:rPr>
                <w:b/>
              </w:rPr>
              <w:t>65 079</w:t>
            </w:r>
          </w:p>
        </w:tc>
        <w:tc>
          <w:tcPr>
            <w:tcW w:w="349" w:type="pct"/>
            <w:noWrap/>
            <w:vAlign w:val="center"/>
            <w:hideMark/>
          </w:tcPr>
          <w:p w:rsidR="007733EE" w:rsidRPr="00683E5D" w:rsidRDefault="007733EE" w:rsidP="00F94EF1">
            <w:pPr>
              <w:spacing w:before="60" w:after="60"/>
              <w:jc w:val="right"/>
              <w:rPr>
                <w:b/>
                <w:bCs/>
              </w:rPr>
            </w:pPr>
            <w:r w:rsidRPr="00683E5D">
              <w:rPr>
                <w:b/>
              </w:rPr>
              <w:t>65 184</w:t>
            </w:r>
          </w:p>
        </w:tc>
        <w:tc>
          <w:tcPr>
            <w:tcW w:w="348" w:type="pct"/>
            <w:noWrap/>
            <w:vAlign w:val="center"/>
            <w:hideMark/>
          </w:tcPr>
          <w:p w:rsidR="007733EE" w:rsidRPr="00683E5D" w:rsidRDefault="007733EE" w:rsidP="00F94EF1">
            <w:pPr>
              <w:spacing w:before="60" w:after="60"/>
              <w:jc w:val="right"/>
              <w:rPr>
                <w:b/>
                <w:bCs/>
              </w:rPr>
            </w:pPr>
            <w:r w:rsidRPr="00683E5D">
              <w:rPr>
                <w:b/>
              </w:rPr>
              <w:t>56 675</w:t>
            </w:r>
          </w:p>
        </w:tc>
        <w:tc>
          <w:tcPr>
            <w:tcW w:w="340" w:type="pct"/>
            <w:noWrap/>
            <w:vAlign w:val="center"/>
            <w:hideMark/>
          </w:tcPr>
          <w:p w:rsidR="007733EE" w:rsidRPr="00683E5D" w:rsidRDefault="007733EE" w:rsidP="00F94EF1">
            <w:pPr>
              <w:spacing w:before="60" w:after="60"/>
              <w:jc w:val="right"/>
              <w:rPr>
                <w:b/>
                <w:bCs/>
              </w:rPr>
            </w:pPr>
            <w:r w:rsidRPr="00683E5D">
              <w:rPr>
                <w:b/>
              </w:rPr>
              <w:t>58 680</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377 781</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ind w:left="720"/>
            </w:pPr>
            <w:r w:rsidRPr="00683E5D">
              <w:t>2a.</w:t>
            </w:r>
            <w:r w:rsidRPr="00683E5D">
              <w:tab/>
              <w:t>Ekonominė, socialinė ir teritorinė sanglauda</w:t>
            </w:r>
          </w:p>
        </w:tc>
        <w:tc>
          <w:tcPr>
            <w:tcW w:w="347" w:type="pct"/>
            <w:noWrap/>
            <w:vAlign w:val="center"/>
            <w:hideMark/>
          </w:tcPr>
          <w:p w:rsidR="007733EE" w:rsidRPr="00683E5D" w:rsidRDefault="007733EE" w:rsidP="00F94EF1">
            <w:pPr>
              <w:spacing w:before="60" w:after="60"/>
              <w:jc w:val="right"/>
            </w:pPr>
            <w:r w:rsidRPr="00683E5D">
              <w:t>1 666</w:t>
            </w:r>
          </w:p>
        </w:tc>
        <w:tc>
          <w:tcPr>
            <w:tcW w:w="350" w:type="pct"/>
            <w:noWrap/>
            <w:vAlign w:val="center"/>
            <w:hideMark/>
          </w:tcPr>
          <w:p w:rsidR="007733EE" w:rsidRPr="00683E5D" w:rsidRDefault="007733EE" w:rsidP="00F94EF1">
            <w:pPr>
              <w:spacing w:before="60" w:after="60"/>
              <w:jc w:val="right"/>
            </w:pPr>
            <w:r w:rsidRPr="00683E5D">
              <w:t>56 673</w:t>
            </w:r>
          </w:p>
        </w:tc>
        <w:tc>
          <w:tcPr>
            <w:tcW w:w="350" w:type="pct"/>
            <w:noWrap/>
            <w:vAlign w:val="center"/>
            <w:hideMark/>
          </w:tcPr>
          <w:p w:rsidR="007733EE" w:rsidRPr="00683E5D" w:rsidRDefault="007733EE" w:rsidP="00F94EF1">
            <w:pPr>
              <w:spacing w:before="60" w:after="60"/>
              <w:jc w:val="right"/>
            </w:pPr>
            <w:r w:rsidRPr="00683E5D">
              <w:t>57 005</w:t>
            </w:r>
          </w:p>
        </w:tc>
        <w:tc>
          <w:tcPr>
            <w:tcW w:w="350" w:type="pct"/>
            <w:noWrap/>
            <w:vAlign w:val="center"/>
            <w:hideMark/>
          </w:tcPr>
          <w:p w:rsidR="007733EE" w:rsidRPr="00683E5D" w:rsidRDefault="007733EE" w:rsidP="00F94EF1">
            <w:pPr>
              <w:spacing w:before="60" w:after="60"/>
              <w:jc w:val="right"/>
            </w:pPr>
            <w:r w:rsidRPr="00683E5D">
              <w:t>57 436</w:t>
            </w:r>
          </w:p>
        </w:tc>
        <w:tc>
          <w:tcPr>
            <w:tcW w:w="349" w:type="pct"/>
            <w:noWrap/>
            <w:vAlign w:val="center"/>
            <w:hideMark/>
          </w:tcPr>
          <w:p w:rsidR="007733EE" w:rsidRPr="00683E5D" w:rsidRDefault="007733EE" w:rsidP="00F94EF1">
            <w:pPr>
              <w:spacing w:before="60" w:after="60"/>
              <w:jc w:val="right"/>
            </w:pPr>
            <w:r w:rsidRPr="00683E5D">
              <w:t>57 772</w:t>
            </w:r>
          </w:p>
        </w:tc>
        <w:tc>
          <w:tcPr>
            <w:tcW w:w="348" w:type="pct"/>
            <w:noWrap/>
            <w:vAlign w:val="center"/>
            <w:hideMark/>
          </w:tcPr>
          <w:p w:rsidR="007733EE" w:rsidRPr="00683E5D" w:rsidRDefault="007733EE" w:rsidP="00F94EF1">
            <w:pPr>
              <w:spacing w:before="60" w:after="60"/>
              <w:jc w:val="right"/>
            </w:pPr>
            <w:r w:rsidRPr="00683E5D">
              <w:t>48 302</w:t>
            </w:r>
          </w:p>
        </w:tc>
        <w:tc>
          <w:tcPr>
            <w:tcW w:w="340" w:type="pct"/>
            <w:noWrap/>
            <w:vAlign w:val="center"/>
            <w:hideMark/>
          </w:tcPr>
          <w:p w:rsidR="007733EE" w:rsidRPr="00683E5D" w:rsidRDefault="007733EE" w:rsidP="00F94EF1">
            <w:pPr>
              <w:spacing w:before="60" w:after="60"/>
              <w:jc w:val="right"/>
            </w:pPr>
            <w:r w:rsidRPr="00683E5D">
              <w:t>48 937</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pPr>
            <w:r w:rsidRPr="00683E5D">
              <w:t>327 791</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ind w:left="720"/>
            </w:pPr>
            <w:r w:rsidRPr="00683E5D">
              <w:t>2b.</w:t>
            </w:r>
            <w:r w:rsidRPr="00683E5D">
              <w:tab/>
              <w:t>Atsparumas ir vertybės</w:t>
            </w:r>
          </w:p>
        </w:tc>
        <w:tc>
          <w:tcPr>
            <w:tcW w:w="347" w:type="pct"/>
            <w:noWrap/>
            <w:vAlign w:val="center"/>
            <w:hideMark/>
          </w:tcPr>
          <w:p w:rsidR="007733EE" w:rsidRPr="00683E5D" w:rsidRDefault="007733EE" w:rsidP="00F94EF1">
            <w:pPr>
              <w:spacing w:before="60" w:after="60"/>
              <w:jc w:val="right"/>
            </w:pPr>
            <w:r w:rsidRPr="00683E5D">
              <w:t>4 330</w:t>
            </w:r>
          </w:p>
        </w:tc>
        <w:tc>
          <w:tcPr>
            <w:tcW w:w="350" w:type="pct"/>
            <w:noWrap/>
            <w:vAlign w:val="center"/>
            <w:hideMark/>
          </w:tcPr>
          <w:p w:rsidR="007733EE" w:rsidRPr="00683E5D" w:rsidRDefault="007733EE" w:rsidP="00F94EF1">
            <w:pPr>
              <w:spacing w:before="60" w:after="60"/>
              <w:jc w:val="right"/>
            </w:pPr>
            <w:r w:rsidRPr="00683E5D">
              <w:t>5 969</w:t>
            </w:r>
          </w:p>
        </w:tc>
        <w:tc>
          <w:tcPr>
            <w:tcW w:w="350" w:type="pct"/>
            <w:noWrap/>
            <w:vAlign w:val="center"/>
            <w:hideMark/>
          </w:tcPr>
          <w:p w:rsidR="007733EE" w:rsidRPr="00683E5D" w:rsidRDefault="007733EE" w:rsidP="00F94EF1">
            <w:pPr>
              <w:spacing w:before="60" w:after="60"/>
              <w:jc w:val="right"/>
            </w:pPr>
            <w:r w:rsidRPr="00683E5D">
              <w:t>6 520</w:t>
            </w:r>
          </w:p>
        </w:tc>
        <w:tc>
          <w:tcPr>
            <w:tcW w:w="350" w:type="pct"/>
            <w:noWrap/>
            <w:vAlign w:val="center"/>
            <w:hideMark/>
          </w:tcPr>
          <w:p w:rsidR="007733EE" w:rsidRPr="00683E5D" w:rsidRDefault="007733EE" w:rsidP="00F94EF1">
            <w:pPr>
              <w:spacing w:before="60" w:after="60"/>
              <w:jc w:val="right"/>
            </w:pPr>
            <w:r w:rsidRPr="00683E5D">
              <w:t>7 643</w:t>
            </w:r>
          </w:p>
        </w:tc>
        <w:tc>
          <w:tcPr>
            <w:tcW w:w="349" w:type="pct"/>
            <w:noWrap/>
            <w:vAlign w:val="center"/>
            <w:hideMark/>
          </w:tcPr>
          <w:p w:rsidR="007733EE" w:rsidRPr="00683E5D" w:rsidRDefault="007733EE" w:rsidP="00F94EF1">
            <w:pPr>
              <w:spacing w:before="60" w:after="60"/>
              <w:jc w:val="right"/>
            </w:pPr>
            <w:r w:rsidRPr="00683E5D">
              <w:t>7 412</w:t>
            </w:r>
          </w:p>
        </w:tc>
        <w:tc>
          <w:tcPr>
            <w:tcW w:w="348" w:type="pct"/>
            <w:noWrap/>
            <w:vAlign w:val="center"/>
            <w:hideMark/>
          </w:tcPr>
          <w:p w:rsidR="007733EE" w:rsidRPr="00683E5D" w:rsidRDefault="007733EE" w:rsidP="00F94EF1">
            <w:pPr>
              <w:spacing w:before="60" w:after="60"/>
              <w:jc w:val="right"/>
            </w:pPr>
            <w:r w:rsidRPr="00683E5D">
              <w:t>8 373</w:t>
            </w:r>
          </w:p>
        </w:tc>
        <w:tc>
          <w:tcPr>
            <w:tcW w:w="340" w:type="pct"/>
            <w:noWrap/>
            <w:vAlign w:val="center"/>
            <w:hideMark/>
          </w:tcPr>
          <w:p w:rsidR="007733EE" w:rsidRPr="00683E5D" w:rsidRDefault="007733EE" w:rsidP="00F94EF1">
            <w:pPr>
              <w:spacing w:before="60" w:after="60"/>
              <w:jc w:val="right"/>
            </w:pPr>
            <w:r w:rsidRPr="00683E5D">
              <w:t>9 743</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pPr>
            <w:r w:rsidRPr="00683E5D">
              <w:t>49 990</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3.</w:t>
            </w:r>
            <w:r w:rsidRPr="00683E5D">
              <w:rPr>
                <w:b/>
              </w:rPr>
              <w:tab/>
              <w:t>Gamtos ištekliai ir aplinka</w:t>
            </w:r>
          </w:p>
        </w:tc>
        <w:tc>
          <w:tcPr>
            <w:tcW w:w="347" w:type="pct"/>
            <w:noWrap/>
            <w:vAlign w:val="center"/>
            <w:hideMark/>
          </w:tcPr>
          <w:p w:rsidR="007733EE" w:rsidRPr="00683E5D" w:rsidRDefault="007733EE" w:rsidP="00F94EF1">
            <w:pPr>
              <w:spacing w:before="60" w:after="60"/>
              <w:jc w:val="right"/>
              <w:rPr>
                <w:b/>
                <w:bCs/>
              </w:rPr>
            </w:pPr>
            <w:r w:rsidRPr="00683E5D">
              <w:rPr>
                <w:b/>
              </w:rPr>
              <w:t>53 562</w:t>
            </w:r>
          </w:p>
        </w:tc>
        <w:tc>
          <w:tcPr>
            <w:tcW w:w="350" w:type="pct"/>
            <w:noWrap/>
            <w:vAlign w:val="center"/>
            <w:hideMark/>
          </w:tcPr>
          <w:p w:rsidR="007733EE" w:rsidRPr="00683E5D" w:rsidRDefault="007733EE" w:rsidP="00F94EF1">
            <w:pPr>
              <w:spacing w:before="60" w:after="60"/>
              <w:jc w:val="right"/>
              <w:rPr>
                <w:b/>
                <w:bCs/>
              </w:rPr>
            </w:pPr>
            <w:r w:rsidRPr="00683E5D">
              <w:rPr>
                <w:b/>
              </w:rPr>
              <w:t>52 626</w:t>
            </w:r>
          </w:p>
        </w:tc>
        <w:tc>
          <w:tcPr>
            <w:tcW w:w="350" w:type="pct"/>
            <w:noWrap/>
            <w:vAlign w:val="center"/>
            <w:hideMark/>
          </w:tcPr>
          <w:p w:rsidR="007733EE" w:rsidRPr="00683E5D" w:rsidRDefault="007733EE" w:rsidP="00F94EF1">
            <w:pPr>
              <w:spacing w:before="60" w:after="60"/>
              <w:jc w:val="right"/>
              <w:rPr>
                <w:b/>
                <w:bCs/>
              </w:rPr>
            </w:pPr>
            <w:r w:rsidRPr="00683E5D">
              <w:rPr>
                <w:b/>
              </w:rPr>
              <w:t>51 893</w:t>
            </w:r>
          </w:p>
        </w:tc>
        <w:tc>
          <w:tcPr>
            <w:tcW w:w="350" w:type="pct"/>
            <w:noWrap/>
            <w:vAlign w:val="center"/>
            <w:hideMark/>
          </w:tcPr>
          <w:p w:rsidR="007733EE" w:rsidRPr="00683E5D" w:rsidRDefault="007733EE" w:rsidP="00F94EF1">
            <w:pPr>
              <w:spacing w:before="60" w:after="60"/>
              <w:jc w:val="right"/>
              <w:rPr>
                <w:b/>
                <w:bCs/>
              </w:rPr>
            </w:pPr>
            <w:r w:rsidRPr="00683E5D">
              <w:rPr>
                <w:b/>
              </w:rPr>
              <w:t>51 013</w:t>
            </w:r>
          </w:p>
        </w:tc>
        <w:tc>
          <w:tcPr>
            <w:tcW w:w="349" w:type="pct"/>
            <w:noWrap/>
            <w:vAlign w:val="center"/>
            <w:hideMark/>
          </w:tcPr>
          <w:p w:rsidR="007733EE" w:rsidRPr="00683E5D" w:rsidRDefault="007733EE" w:rsidP="00F94EF1">
            <w:pPr>
              <w:spacing w:before="60" w:after="60"/>
              <w:jc w:val="right"/>
              <w:rPr>
                <w:b/>
                <w:bCs/>
              </w:rPr>
            </w:pPr>
            <w:r w:rsidRPr="00683E5D">
              <w:rPr>
                <w:b/>
              </w:rPr>
              <w:t>49 914</w:t>
            </w:r>
          </w:p>
        </w:tc>
        <w:tc>
          <w:tcPr>
            <w:tcW w:w="348" w:type="pct"/>
            <w:noWrap/>
            <w:vAlign w:val="center"/>
            <w:hideMark/>
          </w:tcPr>
          <w:p w:rsidR="007733EE" w:rsidRPr="00683E5D" w:rsidRDefault="007733EE" w:rsidP="00F94EF1">
            <w:pPr>
              <w:spacing w:before="60" w:after="60"/>
              <w:jc w:val="right"/>
              <w:rPr>
                <w:b/>
                <w:bCs/>
              </w:rPr>
            </w:pPr>
            <w:r w:rsidRPr="00683E5D">
              <w:rPr>
                <w:b/>
              </w:rPr>
              <w:t>48 734</w:t>
            </w:r>
          </w:p>
        </w:tc>
        <w:tc>
          <w:tcPr>
            <w:tcW w:w="340" w:type="pct"/>
            <w:noWrap/>
            <w:vAlign w:val="center"/>
            <w:hideMark/>
          </w:tcPr>
          <w:p w:rsidR="007733EE" w:rsidRPr="00683E5D" w:rsidRDefault="007733EE" w:rsidP="00F94EF1">
            <w:pPr>
              <w:spacing w:before="60" w:after="60"/>
              <w:jc w:val="right"/>
              <w:rPr>
                <w:b/>
                <w:bCs/>
              </w:rPr>
            </w:pPr>
            <w:r w:rsidRPr="00683E5D">
              <w:rPr>
                <w:b/>
              </w:rPr>
              <w:t>47 960</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355 702</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ind w:left="720"/>
            </w:pPr>
            <w:r w:rsidRPr="00683E5D">
              <w:t>iš jų: su rinka susijusios išlaidos ir tiesioginės išmokos</w:t>
            </w:r>
          </w:p>
        </w:tc>
        <w:tc>
          <w:tcPr>
            <w:tcW w:w="347" w:type="pct"/>
            <w:noWrap/>
            <w:vAlign w:val="center"/>
            <w:hideMark/>
          </w:tcPr>
          <w:p w:rsidR="007733EE" w:rsidRPr="00683E5D" w:rsidRDefault="007733EE" w:rsidP="00F94EF1">
            <w:pPr>
              <w:spacing w:before="60" w:after="60"/>
              <w:jc w:val="right"/>
            </w:pPr>
            <w:r w:rsidRPr="00683E5D">
              <w:t>38 040</w:t>
            </w:r>
          </w:p>
        </w:tc>
        <w:tc>
          <w:tcPr>
            <w:tcW w:w="350" w:type="pct"/>
            <w:noWrap/>
            <w:vAlign w:val="center"/>
            <w:hideMark/>
          </w:tcPr>
          <w:p w:rsidR="007733EE" w:rsidRPr="00683E5D" w:rsidRDefault="007733EE" w:rsidP="00F94EF1">
            <w:pPr>
              <w:spacing w:before="60" w:after="60"/>
              <w:jc w:val="right"/>
            </w:pPr>
            <w:r w:rsidRPr="00683E5D">
              <w:t>37 544</w:t>
            </w:r>
          </w:p>
        </w:tc>
        <w:tc>
          <w:tcPr>
            <w:tcW w:w="350" w:type="pct"/>
            <w:noWrap/>
            <w:vAlign w:val="center"/>
            <w:hideMark/>
          </w:tcPr>
          <w:p w:rsidR="007733EE" w:rsidRPr="00683E5D" w:rsidRDefault="007733EE" w:rsidP="00F94EF1">
            <w:pPr>
              <w:spacing w:before="60" w:after="60"/>
              <w:jc w:val="right"/>
            </w:pPr>
            <w:r w:rsidRPr="00683E5D">
              <w:t>36 857</w:t>
            </w:r>
          </w:p>
        </w:tc>
        <w:tc>
          <w:tcPr>
            <w:tcW w:w="350" w:type="pct"/>
            <w:noWrap/>
            <w:vAlign w:val="center"/>
            <w:hideMark/>
          </w:tcPr>
          <w:p w:rsidR="007733EE" w:rsidRPr="00683E5D" w:rsidRDefault="007733EE" w:rsidP="00F94EF1">
            <w:pPr>
              <w:spacing w:before="60" w:after="60"/>
              <w:jc w:val="right"/>
            </w:pPr>
            <w:r w:rsidRPr="00683E5D">
              <w:t>36 054</w:t>
            </w:r>
          </w:p>
        </w:tc>
        <w:tc>
          <w:tcPr>
            <w:tcW w:w="349" w:type="pct"/>
            <w:noWrap/>
            <w:vAlign w:val="center"/>
            <w:hideMark/>
          </w:tcPr>
          <w:p w:rsidR="007733EE" w:rsidRPr="00683E5D" w:rsidRDefault="007733EE" w:rsidP="00F94EF1">
            <w:pPr>
              <w:spacing w:before="60" w:after="60"/>
              <w:jc w:val="right"/>
            </w:pPr>
            <w:r w:rsidRPr="00683E5D">
              <w:t>35 283</w:t>
            </w:r>
          </w:p>
        </w:tc>
        <w:tc>
          <w:tcPr>
            <w:tcW w:w="348" w:type="pct"/>
            <w:noWrap/>
            <w:vAlign w:val="center"/>
            <w:hideMark/>
          </w:tcPr>
          <w:p w:rsidR="007733EE" w:rsidRPr="00683E5D" w:rsidRDefault="007733EE" w:rsidP="00F94EF1">
            <w:pPr>
              <w:spacing w:before="60" w:after="60"/>
              <w:jc w:val="right"/>
            </w:pPr>
            <w:r w:rsidRPr="00683E5D">
              <w:t>34 602</w:t>
            </w:r>
          </w:p>
        </w:tc>
        <w:tc>
          <w:tcPr>
            <w:tcW w:w="340" w:type="pct"/>
            <w:noWrap/>
            <w:vAlign w:val="center"/>
            <w:hideMark/>
          </w:tcPr>
          <w:p w:rsidR="007733EE" w:rsidRPr="00683E5D" w:rsidRDefault="007733EE" w:rsidP="00F94EF1">
            <w:pPr>
              <w:spacing w:before="60" w:after="60"/>
              <w:jc w:val="right"/>
            </w:pPr>
            <w:r w:rsidRPr="00683E5D">
              <w:t>33 886</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pPr>
            <w:r w:rsidRPr="00683E5D">
              <w:t>252 266</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pageBreakBefore/>
              <w:spacing w:before="60" w:after="60"/>
              <w:rPr>
                <w:b/>
                <w:bCs/>
              </w:rPr>
            </w:pPr>
            <w:r w:rsidRPr="00683E5D">
              <w:rPr>
                <w:b/>
              </w:rPr>
              <w:lastRenderedPageBreak/>
              <w:t>4.</w:t>
            </w:r>
            <w:r w:rsidRPr="00683E5D">
              <w:rPr>
                <w:b/>
              </w:rPr>
              <w:tab/>
              <w:t>Migracija ir sienų valdymas</w:t>
            </w:r>
          </w:p>
        </w:tc>
        <w:tc>
          <w:tcPr>
            <w:tcW w:w="347" w:type="pct"/>
            <w:noWrap/>
            <w:vAlign w:val="center"/>
            <w:hideMark/>
          </w:tcPr>
          <w:p w:rsidR="007733EE" w:rsidRPr="00683E5D" w:rsidRDefault="007733EE" w:rsidP="00F94EF1">
            <w:pPr>
              <w:spacing w:before="60" w:after="60"/>
              <w:jc w:val="right"/>
              <w:rPr>
                <w:b/>
                <w:bCs/>
              </w:rPr>
            </w:pPr>
            <w:r w:rsidRPr="00683E5D">
              <w:rPr>
                <w:b/>
              </w:rPr>
              <w:t>1 687</w:t>
            </w:r>
          </w:p>
        </w:tc>
        <w:tc>
          <w:tcPr>
            <w:tcW w:w="350" w:type="pct"/>
            <w:noWrap/>
            <w:vAlign w:val="center"/>
            <w:hideMark/>
          </w:tcPr>
          <w:p w:rsidR="007733EE" w:rsidRPr="00683E5D" w:rsidRDefault="007733EE" w:rsidP="00F94EF1">
            <w:pPr>
              <w:spacing w:before="60" w:after="60"/>
              <w:jc w:val="right"/>
              <w:rPr>
                <w:b/>
                <w:bCs/>
              </w:rPr>
            </w:pPr>
            <w:r w:rsidRPr="00683E5D">
              <w:rPr>
                <w:b/>
              </w:rPr>
              <w:t>3 104</w:t>
            </w:r>
          </w:p>
        </w:tc>
        <w:tc>
          <w:tcPr>
            <w:tcW w:w="350" w:type="pct"/>
            <w:noWrap/>
            <w:vAlign w:val="center"/>
            <w:hideMark/>
          </w:tcPr>
          <w:p w:rsidR="007733EE" w:rsidRPr="00683E5D" w:rsidRDefault="007733EE" w:rsidP="00F94EF1">
            <w:pPr>
              <w:spacing w:before="60" w:after="60"/>
              <w:jc w:val="right"/>
              <w:rPr>
                <w:b/>
                <w:bCs/>
              </w:rPr>
            </w:pPr>
            <w:r w:rsidRPr="00683E5D">
              <w:rPr>
                <w:b/>
              </w:rPr>
              <w:t>3 454</w:t>
            </w:r>
          </w:p>
        </w:tc>
        <w:tc>
          <w:tcPr>
            <w:tcW w:w="350" w:type="pct"/>
            <w:noWrap/>
            <w:vAlign w:val="center"/>
            <w:hideMark/>
          </w:tcPr>
          <w:p w:rsidR="007733EE" w:rsidRPr="00683E5D" w:rsidRDefault="007733EE" w:rsidP="00F94EF1">
            <w:pPr>
              <w:spacing w:before="60" w:after="60"/>
              <w:jc w:val="right"/>
              <w:rPr>
                <w:b/>
                <w:bCs/>
              </w:rPr>
            </w:pPr>
            <w:r w:rsidRPr="00683E5D">
              <w:rPr>
                <w:b/>
              </w:rPr>
              <w:t>3 569</w:t>
            </w:r>
          </w:p>
        </w:tc>
        <w:tc>
          <w:tcPr>
            <w:tcW w:w="349" w:type="pct"/>
            <w:noWrap/>
            <w:vAlign w:val="center"/>
            <w:hideMark/>
          </w:tcPr>
          <w:p w:rsidR="007733EE" w:rsidRPr="00683E5D" w:rsidRDefault="007733EE" w:rsidP="00F94EF1">
            <w:pPr>
              <w:spacing w:before="60" w:after="60"/>
              <w:jc w:val="right"/>
              <w:rPr>
                <w:b/>
                <w:bCs/>
              </w:rPr>
            </w:pPr>
            <w:r w:rsidRPr="00683E5D">
              <w:rPr>
                <w:b/>
              </w:rPr>
              <w:t>4 083</w:t>
            </w:r>
          </w:p>
        </w:tc>
        <w:tc>
          <w:tcPr>
            <w:tcW w:w="348" w:type="pct"/>
            <w:noWrap/>
            <w:vAlign w:val="center"/>
            <w:hideMark/>
          </w:tcPr>
          <w:p w:rsidR="007733EE" w:rsidRPr="00683E5D" w:rsidRDefault="007733EE" w:rsidP="00F94EF1">
            <w:pPr>
              <w:spacing w:before="60" w:after="60"/>
              <w:jc w:val="right"/>
              <w:rPr>
                <w:b/>
                <w:bCs/>
              </w:rPr>
            </w:pPr>
            <w:r w:rsidRPr="00683E5D">
              <w:rPr>
                <w:b/>
              </w:rPr>
              <w:t>4 145</w:t>
            </w:r>
          </w:p>
        </w:tc>
        <w:tc>
          <w:tcPr>
            <w:tcW w:w="340" w:type="pct"/>
            <w:noWrap/>
            <w:vAlign w:val="center"/>
            <w:hideMark/>
          </w:tcPr>
          <w:p w:rsidR="007733EE" w:rsidRPr="00683E5D" w:rsidRDefault="007733EE" w:rsidP="00F94EF1">
            <w:pPr>
              <w:spacing w:before="60" w:after="60"/>
              <w:jc w:val="right"/>
              <w:rPr>
                <w:b/>
                <w:bCs/>
              </w:rPr>
            </w:pPr>
            <w:r w:rsidRPr="00683E5D">
              <w:rPr>
                <w:b/>
              </w:rPr>
              <w:t>4 701</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24 743</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5.</w:t>
            </w:r>
            <w:r w:rsidRPr="00683E5D">
              <w:rPr>
                <w:b/>
              </w:rPr>
              <w:tab/>
              <w:t>Saugumas ir gynyba</w:t>
            </w:r>
          </w:p>
        </w:tc>
        <w:tc>
          <w:tcPr>
            <w:tcW w:w="347" w:type="pct"/>
            <w:noWrap/>
            <w:vAlign w:val="center"/>
            <w:hideMark/>
          </w:tcPr>
          <w:p w:rsidR="007733EE" w:rsidRPr="00683E5D" w:rsidRDefault="007733EE" w:rsidP="00F94EF1">
            <w:pPr>
              <w:spacing w:before="60" w:after="60"/>
              <w:jc w:val="right"/>
              <w:rPr>
                <w:b/>
                <w:bCs/>
              </w:rPr>
            </w:pPr>
            <w:r w:rsidRPr="00683E5D">
              <w:rPr>
                <w:b/>
              </w:rPr>
              <w:t>1 598</w:t>
            </w:r>
          </w:p>
        </w:tc>
        <w:tc>
          <w:tcPr>
            <w:tcW w:w="350" w:type="pct"/>
            <w:noWrap/>
            <w:vAlign w:val="center"/>
            <w:hideMark/>
          </w:tcPr>
          <w:p w:rsidR="007733EE" w:rsidRPr="00683E5D" w:rsidRDefault="007733EE" w:rsidP="00F94EF1">
            <w:pPr>
              <w:spacing w:before="60" w:after="60"/>
              <w:jc w:val="right"/>
              <w:rPr>
                <w:b/>
                <w:bCs/>
              </w:rPr>
            </w:pPr>
            <w:r w:rsidRPr="00683E5D">
              <w:rPr>
                <w:b/>
              </w:rPr>
              <w:t>1 750</w:t>
            </w:r>
          </w:p>
        </w:tc>
        <w:tc>
          <w:tcPr>
            <w:tcW w:w="350" w:type="pct"/>
            <w:noWrap/>
            <w:vAlign w:val="center"/>
            <w:hideMark/>
          </w:tcPr>
          <w:p w:rsidR="007733EE" w:rsidRPr="00683E5D" w:rsidRDefault="007733EE" w:rsidP="00F94EF1">
            <w:pPr>
              <w:spacing w:before="60" w:after="60"/>
              <w:jc w:val="right"/>
              <w:rPr>
                <w:b/>
                <w:bCs/>
              </w:rPr>
            </w:pPr>
            <w:r w:rsidRPr="00683E5D">
              <w:rPr>
                <w:b/>
              </w:rPr>
              <w:t>1 762</w:t>
            </w:r>
          </w:p>
        </w:tc>
        <w:tc>
          <w:tcPr>
            <w:tcW w:w="350" w:type="pct"/>
            <w:noWrap/>
            <w:vAlign w:val="center"/>
            <w:hideMark/>
          </w:tcPr>
          <w:p w:rsidR="007733EE" w:rsidRPr="00683E5D" w:rsidRDefault="007733EE" w:rsidP="00F94EF1">
            <w:pPr>
              <w:spacing w:before="60" w:after="60"/>
              <w:jc w:val="right"/>
              <w:rPr>
                <w:b/>
                <w:bCs/>
              </w:rPr>
            </w:pPr>
            <w:r w:rsidRPr="00683E5D">
              <w:rPr>
                <w:b/>
              </w:rPr>
              <w:t>2 112</w:t>
            </w:r>
          </w:p>
        </w:tc>
        <w:tc>
          <w:tcPr>
            <w:tcW w:w="349" w:type="pct"/>
            <w:noWrap/>
            <w:vAlign w:val="center"/>
            <w:hideMark/>
          </w:tcPr>
          <w:p w:rsidR="007733EE" w:rsidRPr="00683E5D" w:rsidRDefault="007733EE" w:rsidP="00F94EF1">
            <w:pPr>
              <w:spacing w:before="60" w:after="60"/>
              <w:jc w:val="right"/>
              <w:rPr>
                <w:b/>
                <w:bCs/>
              </w:rPr>
            </w:pPr>
            <w:r w:rsidRPr="00683E5D">
              <w:rPr>
                <w:b/>
              </w:rPr>
              <w:t>2 277</w:t>
            </w:r>
          </w:p>
        </w:tc>
        <w:tc>
          <w:tcPr>
            <w:tcW w:w="348" w:type="pct"/>
            <w:noWrap/>
            <w:vAlign w:val="center"/>
            <w:hideMark/>
          </w:tcPr>
          <w:p w:rsidR="007733EE" w:rsidRPr="00683E5D" w:rsidRDefault="007733EE" w:rsidP="00F94EF1">
            <w:pPr>
              <w:spacing w:before="60" w:after="60"/>
              <w:jc w:val="right"/>
              <w:rPr>
                <w:b/>
                <w:bCs/>
              </w:rPr>
            </w:pPr>
            <w:r w:rsidRPr="00683E5D">
              <w:rPr>
                <w:b/>
              </w:rPr>
              <w:t>2 398</w:t>
            </w:r>
          </w:p>
        </w:tc>
        <w:tc>
          <w:tcPr>
            <w:tcW w:w="340" w:type="pct"/>
            <w:noWrap/>
            <w:vAlign w:val="center"/>
            <w:hideMark/>
          </w:tcPr>
          <w:p w:rsidR="007733EE" w:rsidRPr="00683E5D" w:rsidRDefault="007733EE" w:rsidP="00F94EF1">
            <w:pPr>
              <w:spacing w:before="60" w:after="60"/>
              <w:jc w:val="right"/>
              <w:rPr>
                <w:b/>
                <w:bCs/>
              </w:rPr>
            </w:pPr>
            <w:r w:rsidRPr="00683E5D">
              <w:rPr>
                <w:b/>
              </w:rPr>
              <w:t>2 576</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14 473</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6.</w:t>
            </w:r>
            <w:r w:rsidRPr="00683E5D">
              <w:rPr>
                <w:b/>
              </w:rPr>
              <w:tab/>
              <w:t>Kaimyninės šalys ir pasaulis</w:t>
            </w:r>
          </w:p>
        </w:tc>
        <w:tc>
          <w:tcPr>
            <w:tcW w:w="347" w:type="pct"/>
            <w:noWrap/>
            <w:vAlign w:val="center"/>
            <w:hideMark/>
          </w:tcPr>
          <w:p w:rsidR="007733EE" w:rsidRPr="00683E5D" w:rsidRDefault="007733EE" w:rsidP="00F94EF1">
            <w:pPr>
              <w:spacing w:before="60" w:after="60"/>
              <w:jc w:val="right"/>
              <w:rPr>
                <w:b/>
                <w:bCs/>
              </w:rPr>
            </w:pPr>
            <w:r w:rsidRPr="00683E5D">
              <w:rPr>
                <w:b/>
              </w:rPr>
              <w:t>15 309</w:t>
            </w:r>
          </w:p>
        </w:tc>
        <w:tc>
          <w:tcPr>
            <w:tcW w:w="350" w:type="pct"/>
            <w:noWrap/>
            <w:vAlign w:val="center"/>
            <w:hideMark/>
          </w:tcPr>
          <w:p w:rsidR="007733EE" w:rsidRPr="00683E5D" w:rsidRDefault="007733EE" w:rsidP="00F94EF1">
            <w:pPr>
              <w:spacing w:before="60" w:after="60"/>
              <w:jc w:val="right"/>
              <w:rPr>
                <w:b/>
                <w:bCs/>
              </w:rPr>
            </w:pPr>
            <w:r w:rsidRPr="00683E5D">
              <w:rPr>
                <w:b/>
              </w:rPr>
              <w:t>15 522</w:t>
            </w:r>
          </w:p>
        </w:tc>
        <w:tc>
          <w:tcPr>
            <w:tcW w:w="350" w:type="pct"/>
            <w:noWrap/>
            <w:vAlign w:val="center"/>
            <w:hideMark/>
          </w:tcPr>
          <w:p w:rsidR="007733EE" w:rsidRPr="00683E5D" w:rsidRDefault="007733EE" w:rsidP="00F94EF1">
            <w:pPr>
              <w:spacing w:before="60" w:after="60"/>
              <w:jc w:val="right"/>
              <w:rPr>
                <w:b/>
                <w:bCs/>
              </w:rPr>
            </w:pPr>
            <w:r w:rsidRPr="00683E5D">
              <w:rPr>
                <w:b/>
              </w:rPr>
              <w:t>14 789</w:t>
            </w:r>
          </w:p>
        </w:tc>
        <w:tc>
          <w:tcPr>
            <w:tcW w:w="350" w:type="pct"/>
            <w:noWrap/>
            <w:vAlign w:val="center"/>
            <w:hideMark/>
          </w:tcPr>
          <w:p w:rsidR="007733EE" w:rsidRPr="00683E5D" w:rsidRDefault="007733EE" w:rsidP="00F94EF1">
            <w:pPr>
              <w:spacing w:before="60" w:after="60"/>
              <w:jc w:val="right"/>
              <w:rPr>
                <w:b/>
                <w:bCs/>
              </w:rPr>
            </w:pPr>
            <w:r w:rsidRPr="00683E5D">
              <w:rPr>
                <w:b/>
              </w:rPr>
              <w:t>14 500</w:t>
            </w:r>
          </w:p>
        </w:tc>
        <w:tc>
          <w:tcPr>
            <w:tcW w:w="349" w:type="pct"/>
            <w:noWrap/>
            <w:vAlign w:val="center"/>
            <w:hideMark/>
          </w:tcPr>
          <w:p w:rsidR="007733EE" w:rsidRPr="00683E5D" w:rsidRDefault="007733EE" w:rsidP="00F94EF1">
            <w:pPr>
              <w:spacing w:before="60" w:after="60"/>
              <w:jc w:val="right"/>
              <w:rPr>
                <w:b/>
                <w:bCs/>
              </w:rPr>
            </w:pPr>
            <w:r w:rsidRPr="00683E5D">
              <w:rPr>
                <w:b/>
              </w:rPr>
              <w:t>14 192</w:t>
            </w:r>
          </w:p>
        </w:tc>
        <w:tc>
          <w:tcPr>
            <w:tcW w:w="348" w:type="pct"/>
            <w:noWrap/>
            <w:vAlign w:val="center"/>
            <w:hideMark/>
          </w:tcPr>
          <w:p w:rsidR="007733EE" w:rsidRPr="00683E5D" w:rsidRDefault="007733EE" w:rsidP="00F94EF1">
            <w:pPr>
              <w:spacing w:before="60" w:after="60"/>
              <w:jc w:val="right"/>
              <w:rPr>
                <w:b/>
                <w:bCs/>
              </w:rPr>
            </w:pPr>
            <w:r w:rsidRPr="00683E5D">
              <w:rPr>
                <w:b/>
              </w:rPr>
              <w:t>13 326</w:t>
            </w:r>
          </w:p>
        </w:tc>
        <w:tc>
          <w:tcPr>
            <w:tcW w:w="340" w:type="pct"/>
            <w:noWrap/>
            <w:vAlign w:val="center"/>
            <w:hideMark/>
          </w:tcPr>
          <w:p w:rsidR="007733EE" w:rsidRPr="00683E5D" w:rsidRDefault="007733EE" w:rsidP="00F94EF1">
            <w:pPr>
              <w:spacing w:before="60" w:after="60"/>
              <w:jc w:val="right"/>
              <w:rPr>
                <w:b/>
                <w:bCs/>
              </w:rPr>
            </w:pPr>
            <w:r w:rsidRPr="00683E5D">
              <w:rPr>
                <w:b/>
              </w:rPr>
              <w:t>13 447</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101 085</w:t>
            </w:r>
          </w:p>
        </w:tc>
      </w:tr>
      <w:tr w:rsidR="007733EE" w:rsidRPr="00683E5D" w:rsidTr="00F94EF1">
        <w:trPr>
          <w:trHeight w:val="300"/>
        </w:trPr>
        <w:tc>
          <w:tcPr>
            <w:tcW w:w="1927" w:type="pct"/>
            <w:tcBorders>
              <w:top w:val="nil"/>
              <w:left w:val="single" w:sz="8" w:space="0" w:color="auto"/>
              <w:bottom w:val="nil"/>
              <w:right w:val="single" w:sz="4" w:space="0" w:color="auto"/>
            </w:tcBorders>
            <w:noWrap/>
            <w:vAlign w:val="center"/>
            <w:hideMark/>
          </w:tcPr>
          <w:p w:rsidR="007733EE" w:rsidRPr="00683E5D" w:rsidRDefault="007733EE" w:rsidP="00F94EF1">
            <w:pPr>
              <w:spacing w:before="60" w:after="60"/>
              <w:rPr>
                <w:b/>
                <w:bCs/>
              </w:rPr>
            </w:pPr>
            <w:r w:rsidRPr="00683E5D">
              <w:rPr>
                <w:b/>
              </w:rPr>
              <w:t>7.</w:t>
            </w:r>
            <w:r w:rsidRPr="00683E5D">
              <w:rPr>
                <w:b/>
              </w:rPr>
              <w:tab/>
              <w:t>Europos viešasis administravimas</w:t>
            </w:r>
          </w:p>
        </w:tc>
        <w:tc>
          <w:tcPr>
            <w:tcW w:w="347" w:type="pct"/>
            <w:noWrap/>
            <w:vAlign w:val="center"/>
            <w:hideMark/>
          </w:tcPr>
          <w:p w:rsidR="007733EE" w:rsidRPr="00683E5D" w:rsidRDefault="007733EE" w:rsidP="00F94EF1">
            <w:pPr>
              <w:spacing w:before="60" w:after="60"/>
              <w:jc w:val="right"/>
              <w:rPr>
                <w:b/>
                <w:bCs/>
              </w:rPr>
            </w:pPr>
            <w:r w:rsidRPr="00683E5D">
              <w:rPr>
                <w:b/>
              </w:rPr>
              <w:t>10 021</w:t>
            </w:r>
          </w:p>
        </w:tc>
        <w:tc>
          <w:tcPr>
            <w:tcW w:w="350" w:type="pct"/>
            <w:noWrap/>
            <w:vAlign w:val="center"/>
            <w:hideMark/>
          </w:tcPr>
          <w:p w:rsidR="007733EE" w:rsidRPr="00683E5D" w:rsidRDefault="007733EE" w:rsidP="00F94EF1">
            <w:pPr>
              <w:spacing w:before="60" w:after="60"/>
              <w:jc w:val="right"/>
              <w:rPr>
                <w:b/>
                <w:bCs/>
              </w:rPr>
            </w:pPr>
            <w:r w:rsidRPr="00683E5D">
              <w:rPr>
                <w:b/>
              </w:rPr>
              <w:t>10 215</w:t>
            </w:r>
          </w:p>
        </w:tc>
        <w:tc>
          <w:tcPr>
            <w:tcW w:w="350" w:type="pct"/>
            <w:noWrap/>
            <w:vAlign w:val="center"/>
            <w:hideMark/>
          </w:tcPr>
          <w:p w:rsidR="007733EE" w:rsidRPr="00683E5D" w:rsidRDefault="007733EE" w:rsidP="00F94EF1">
            <w:pPr>
              <w:spacing w:before="60" w:after="60"/>
              <w:jc w:val="right"/>
              <w:rPr>
                <w:b/>
                <w:bCs/>
              </w:rPr>
            </w:pPr>
            <w:r w:rsidRPr="00683E5D">
              <w:rPr>
                <w:b/>
              </w:rPr>
              <w:t>10 342</w:t>
            </w:r>
          </w:p>
        </w:tc>
        <w:tc>
          <w:tcPr>
            <w:tcW w:w="350" w:type="pct"/>
            <w:noWrap/>
            <w:vAlign w:val="center"/>
            <w:hideMark/>
          </w:tcPr>
          <w:p w:rsidR="007733EE" w:rsidRPr="00683E5D" w:rsidRDefault="007733EE" w:rsidP="00F94EF1">
            <w:pPr>
              <w:spacing w:before="60" w:after="60"/>
              <w:jc w:val="right"/>
              <w:rPr>
                <w:b/>
                <w:bCs/>
              </w:rPr>
            </w:pPr>
            <w:r w:rsidRPr="00683E5D">
              <w:rPr>
                <w:b/>
              </w:rPr>
              <w:t>10 454</w:t>
            </w:r>
          </w:p>
        </w:tc>
        <w:tc>
          <w:tcPr>
            <w:tcW w:w="349" w:type="pct"/>
            <w:noWrap/>
            <w:vAlign w:val="center"/>
            <w:hideMark/>
          </w:tcPr>
          <w:p w:rsidR="007733EE" w:rsidRPr="00683E5D" w:rsidRDefault="007733EE" w:rsidP="00F94EF1">
            <w:pPr>
              <w:spacing w:before="60" w:after="60"/>
              <w:jc w:val="right"/>
              <w:rPr>
                <w:b/>
                <w:bCs/>
              </w:rPr>
            </w:pPr>
            <w:r w:rsidRPr="00683E5D">
              <w:rPr>
                <w:b/>
              </w:rPr>
              <w:t>10 554</w:t>
            </w:r>
          </w:p>
        </w:tc>
        <w:tc>
          <w:tcPr>
            <w:tcW w:w="348" w:type="pct"/>
            <w:noWrap/>
            <w:vAlign w:val="center"/>
            <w:hideMark/>
          </w:tcPr>
          <w:p w:rsidR="007733EE" w:rsidRPr="00683E5D" w:rsidRDefault="007733EE" w:rsidP="00F94EF1">
            <w:pPr>
              <w:spacing w:before="60" w:after="60"/>
              <w:jc w:val="right"/>
              <w:rPr>
                <w:b/>
                <w:bCs/>
              </w:rPr>
            </w:pPr>
            <w:r w:rsidRPr="00683E5D">
              <w:rPr>
                <w:b/>
              </w:rPr>
              <w:t>10 673</w:t>
            </w:r>
          </w:p>
        </w:tc>
        <w:tc>
          <w:tcPr>
            <w:tcW w:w="340" w:type="pct"/>
            <w:noWrap/>
            <w:vAlign w:val="center"/>
            <w:hideMark/>
          </w:tcPr>
          <w:p w:rsidR="007733EE" w:rsidRPr="00683E5D" w:rsidRDefault="007733EE" w:rsidP="00F94EF1">
            <w:pPr>
              <w:spacing w:before="60" w:after="60"/>
              <w:jc w:val="right"/>
              <w:rPr>
                <w:b/>
                <w:bCs/>
              </w:rPr>
            </w:pPr>
            <w:r w:rsidRPr="00683E5D">
              <w:rPr>
                <w:b/>
              </w:rPr>
              <w:t>10 843</w:t>
            </w:r>
          </w:p>
        </w:tc>
        <w:tc>
          <w:tcPr>
            <w:tcW w:w="639" w:type="pct"/>
            <w:tcBorders>
              <w:top w:val="nil"/>
              <w:left w:val="single" w:sz="4" w:space="0" w:color="auto"/>
              <w:bottom w:val="nil"/>
              <w:right w:val="single" w:sz="8" w:space="0" w:color="auto"/>
            </w:tcBorders>
            <w:noWrap/>
            <w:vAlign w:val="center"/>
            <w:hideMark/>
          </w:tcPr>
          <w:p w:rsidR="007733EE" w:rsidRPr="00683E5D" w:rsidRDefault="007733EE" w:rsidP="00F94EF1">
            <w:pPr>
              <w:spacing w:before="60" w:after="60"/>
              <w:jc w:val="right"/>
              <w:rPr>
                <w:b/>
                <w:bCs/>
              </w:rPr>
            </w:pPr>
            <w:r w:rsidRPr="00683E5D">
              <w:rPr>
                <w:b/>
              </w:rPr>
              <w:t>73 102</w:t>
            </w:r>
          </w:p>
        </w:tc>
      </w:tr>
      <w:tr w:rsidR="007733EE" w:rsidRPr="00683E5D" w:rsidTr="00F94EF1">
        <w:trPr>
          <w:trHeight w:val="315"/>
        </w:trPr>
        <w:tc>
          <w:tcPr>
            <w:tcW w:w="1927" w:type="pct"/>
            <w:tcBorders>
              <w:top w:val="nil"/>
              <w:left w:val="single" w:sz="8" w:space="0" w:color="auto"/>
              <w:bottom w:val="single" w:sz="8" w:space="0" w:color="auto"/>
              <w:right w:val="single" w:sz="4" w:space="0" w:color="auto"/>
            </w:tcBorders>
            <w:noWrap/>
            <w:vAlign w:val="center"/>
            <w:hideMark/>
          </w:tcPr>
          <w:p w:rsidR="007733EE" w:rsidRPr="00683E5D" w:rsidRDefault="007733EE" w:rsidP="00F94EF1">
            <w:pPr>
              <w:spacing w:before="60" w:after="60"/>
              <w:ind w:left="720"/>
            </w:pPr>
            <w:r w:rsidRPr="00683E5D">
              <w:t>iš jų: administracinės institucijų išlaidos</w:t>
            </w:r>
          </w:p>
        </w:tc>
        <w:tc>
          <w:tcPr>
            <w:tcW w:w="347"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7 742</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7 878</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7 945</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7 997</w:t>
            </w:r>
          </w:p>
        </w:tc>
        <w:tc>
          <w:tcPr>
            <w:tcW w:w="349"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8 025</w:t>
            </w:r>
          </w:p>
        </w:tc>
        <w:tc>
          <w:tcPr>
            <w:tcW w:w="348"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8 077</w:t>
            </w:r>
          </w:p>
        </w:tc>
        <w:tc>
          <w:tcPr>
            <w:tcW w:w="34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pPr>
            <w:r w:rsidRPr="00683E5D">
              <w:t>8 188</w:t>
            </w:r>
          </w:p>
        </w:tc>
        <w:tc>
          <w:tcPr>
            <w:tcW w:w="639" w:type="pct"/>
            <w:tcBorders>
              <w:top w:val="nil"/>
              <w:left w:val="single" w:sz="4" w:space="0" w:color="auto"/>
              <w:bottom w:val="single" w:sz="8" w:space="0" w:color="auto"/>
              <w:right w:val="single" w:sz="8" w:space="0" w:color="auto"/>
            </w:tcBorders>
            <w:noWrap/>
            <w:vAlign w:val="center"/>
            <w:hideMark/>
          </w:tcPr>
          <w:p w:rsidR="007733EE" w:rsidRPr="00683E5D" w:rsidRDefault="007733EE" w:rsidP="00F94EF1">
            <w:pPr>
              <w:spacing w:before="60" w:after="60"/>
              <w:jc w:val="right"/>
            </w:pPr>
            <w:r w:rsidRPr="00683E5D">
              <w:t>55 852</w:t>
            </w:r>
          </w:p>
        </w:tc>
      </w:tr>
      <w:tr w:rsidR="007733EE" w:rsidRPr="00683E5D" w:rsidTr="00F94EF1">
        <w:trPr>
          <w:trHeight w:val="315"/>
        </w:trPr>
        <w:tc>
          <w:tcPr>
            <w:tcW w:w="1927" w:type="pct"/>
            <w:tcBorders>
              <w:top w:val="nil"/>
              <w:left w:val="single" w:sz="8" w:space="0" w:color="auto"/>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IŠ VISO ĮSIPAREIGOJIMŲ ASIGNAVIMŲ</w:t>
            </w:r>
          </w:p>
        </w:tc>
        <w:tc>
          <w:tcPr>
            <w:tcW w:w="347" w:type="pct"/>
            <w:tcBorders>
              <w:top w:val="nil"/>
              <w:left w:val="single" w:sz="4" w:space="0" w:color="auto"/>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107 885</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166 070</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165 443</w:t>
            </w:r>
          </w:p>
        </w:tc>
        <w:tc>
          <w:tcPr>
            <w:tcW w:w="35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165 905</w:t>
            </w:r>
          </w:p>
        </w:tc>
        <w:tc>
          <w:tcPr>
            <w:tcW w:w="349"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164 377</w:t>
            </w:r>
          </w:p>
        </w:tc>
        <w:tc>
          <w:tcPr>
            <w:tcW w:w="348"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154 071</w:t>
            </w:r>
          </w:p>
        </w:tc>
        <w:tc>
          <w:tcPr>
            <w:tcW w:w="340" w:type="pct"/>
            <w:tcBorders>
              <w:top w:val="nil"/>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7733EE" w:rsidRPr="00683E5D" w:rsidRDefault="007733EE" w:rsidP="00F94EF1">
            <w:pPr>
              <w:spacing w:before="60" w:after="60"/>
              <w:jc w:val="right"/>
              <w:rPr>
                <w:b/>
                <w:bCs/>
              </w:rPr>
            </w:pPr>
            <w:r w:rsidRPr="00683E5D">
              <w:rPr>
                <w:b/>
              </w:rPr>
              <w:t>1 079 523</w:t>
            </w:r>
          </w:p>
        </w:tc>
      </w:tr>
      <w:tr w:rsidR="007733EE" w:rsidRPr="00683E5D" w:rsidTr="00F94EF1">
        <w:trPr>
          <w:trHeight w:val="315"/>
        </w:trPr>
        <w:tc>
          <w:tcPr>
            <w:tcW w:w="1927"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pPr>
          </w:p>
        </w:tc>
        <w:tc>
          <w:tcPr>
            <w:tcW w:w="347"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50"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50"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50"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49"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48"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340"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c>
          <w:tcPr>
            <w:tcW w:w="639" w:type="pct"/>
            <w:tcBorders>
              <w:top w:val="single" w:sz="8" w:space="0" w:color="auto"/>
              <w:left w:val="nil"/>
              <w:bottom w:val="single" w:sz="8" w:space="0" w:color="auto"/>
              <w:right w:val="nil"/>
            </w:tcBorders>
            <w:noWrap/>
            <w:vAlign w:val="center"/>
          </w:tcPr>
          <w:p w:rsidR="007733EE" w:rsidRPr="00683E5D" w:rsidRDefault="007733EE" w:rsidP="00F94EF1">
            <w:pPr>
              <w:spacing w:before="60" w:after="60"/>
              <w:jc w:val="right"/>
            </w:pPr>
          </w:p>
        </w:tc>
      </w:tr>
      <w:tr w:rsidR="007733EE" w:rsidRPr="00683E5D" w:rsidTr="00F94EF1">
        <w:trPr>
          <w:trHeight w:val="315"/>
        </w:trPr>
        <w:tc>
          <w:tcPr>
            <w:tcW w:w="1927" w:type="pct"/>
            <w:tcBorders>
              <w:top w:val="single" w:sz="8" w:space="0" w:color="auto"/>
              <w:left w:val="single" w:sz="8" w:space="0" w:color="auto"/>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IŠ VISO MOKĖJIMŲ ASIGNAVIMŲ</w:t>
            </w:r>
          </w:p>
        </w:tc>
        <w:tc>
          <w:tcPr>
            <w:tcW w:w="347" w:type="pct"/>
            <w:tcBorders>
              <w:top w:val="single" w:sz="8" w:space="0" w:color="auto"/>
              <w:left w:val="single" w:sz="4" w:space="0" w:color="auto"/>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154 065</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153 850</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152 682</w:t>
            </w:r>
          </w:p>
        </w:tc>
        <w:tc>
          <w:tcPr>
            <w:tcW w:w="35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151 436</w:t>
            </w:r>
          </w:p>
        </w:tc>
        <w:tc>
          <w:tcPr>
            <w:tcW w:w="349"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151 175</w:t>
            </w:r>
          </w:p>
        </w:tc>
        <w:tc>
          <w:tcPr>
            <w:tcW w:w="348"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151 175</w:t>
            </w:r>
          </w:p>
        </w:tc>
        <w:tc>
          <w:tcPr>
            <w:tcW w:w="340" w:type="pct"/>
            <w:tcBorders>
              <w:top w:val="single" w:sz="8" w:space="0" w:color="auto"/>
              <w:left w:val="nil"/>
              <w:bottom w:val="single" w:sz="8" w:space="0" w:color="auto"/>
              <w:right w:val="nil"/>
            </w:tcBorders>
            <w:noWrap/>
            <w:vAlign w:val="center"/>
            <w:hideMark/>
          </w:tcPr>
          <w:p w:rsidR="007733EE" w:rsidRPr="00683E5D" w:rsidRDefault="007733EE" w:rsidP="00F94EF1">
            <w:pPr>
              <w:spacing w:before="60" w:after="60"/>
              <w:jc w:val="right"/>
              <w:rPr>
                <w:b/>
                <w:bCs/>
              </w:rPr>
            </w:pPr>
            <w:r w:rsidRPr="00683E5D">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7733EE" w:rsidRPr="00683E5D" w:rsidRDefault="007733EE" w:rsidP="00F94EF1">
            <w:pPr>
              <w:spacing w:before="60" w:after="60"/>
              <w:jc w:val="right"/>
              <w:rPr>
                <w:b/>
                <w:bCs/>
              </w:rPr>
            </w:pPr>
            <w:r w:rsidRPr="00683E5D">
              <w:rPr>
                <w:b/>
              </w:rPr>
              <w:t>1 065 558</w:t>
            </w:r>
          </w:p>
        </w:tc>
      </w:tr>
    </w:tbl>
    <w:p w:rsidR="007733EE" w:rsidRPr="00683E5D" w:rsidRDefault="007733EE" w:rsidP="007733EE">
      <w:pPr>
        <w:pStyle w:val="NormalRight"/>
      </w:pPr>
    </w:p>
    <w:p w:rsidR="007733EE" w:rsidRPr="00683E5D" w:rsidRDefault="007733EE" w:rsidP="007733EE">
      <w:pPr>
        <w:pStyle w:val="NormalCentered"/>
      </w:pPr>
      <w:r w:rsidRPr="00683E5D">
        <w:br w:type="page"/>
      </w:r>
      <w:r w:rsidRPr="00683E5D">
        <w:lastRenderedPageBreak/>
        <w:t>II PRIEDAS.</w:t>
      </w:r>
      <w:r w:rsidRPr="00683E5D">
        <w:br/>
        <w:t>SU KONKREČIA PROGRAMA SUSIJĘ PATIKSLINIMAI: PROGRAMŲ SĄRAŠAS, PASKIRSTYMO RAKTAS IR VISI PAPILDOMAI SKIRTI ĮSIPAREIGOJIMŲ ASIGNAVIMAI</w:t>
      </w:r>
    </w:p>
    <w:tbl>
      <w:tblPr>
        <w:tblW w:w="5000" w:type="pct"/>
        <w:tblLook w:val="04A0" w:firstRow="1" w:lastRow="0" w:firstColumn="1" w:lastColumn="0" w:noHBand="0" w:noVBand="1"/>
      </w:tblPr>
      <w:tblGrid>
        <w:gridCol w:w="6480"/>
        <w:gridCol w:w="1892"/>
        <w:gridCol w:w="2030"/>
        <w:gridCol w:w="3884"/>
      </w:tblGrid>
      <w:tr w:rsidR="007733EE" w:rsidRPr="00683E5D" w:rsidTr="00F94EF1">
        <w:trPr>
          <w:trHeight w:val="20"/>
        </w:trPr>
        <w:tc>
          <w:tcPr>
            <w:tcW w:w="1810" w:type="pct"/>
            <w:tcBorders>
              <w:top w:val="nil"/>
              <w:left w:val="nil"/>
              <w:bottom w:val="single" w:sz="8" w:space="0" w:color="auto"/>
              <w:right w:val="nil"/>
            </w:tcBorders>
            <w:noWrap/>
            <w:hideMark/>
          </w:tcPr>
          <w:p w:rsidR="007733EE" w:rsidRPr="00683E5D" w:rsidRDefault="007733EE" w:rsidP="00F94EF1"/>
        </w:tc>
        <w:tc>
          <w:tcPr>
            <w:tcW w:w="815" w:type="pct"/>
            <w:tcBorders>
              <w:top w:val="nil"/>
              <w:left w:val="nil"/>
              <w:bottom w:val="single" w:sz="8" w:space="0" w:color="auto"/>
              <w:right w:val="nil"/>
            </w:tcBorders>
            <w:noWrap/>
            <w:hideMark/>
          </w:tcPr>
          <w:p w:rsidR="007733EE" w:rsidRPr="00683E5D" w:rsidRDefault="007733EE" w:rsidP="00F94EF1">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7733EE" w:rsidRPr="00683E5D" w:rsidRDefault="007733EE" w:rsidP="00F94EF1">
            <w:pPr>
              <w:spacing w:before="60" w:after="60"/>
              <w:jc w:val="right"/>
              <w:rPr>
                <w:szCs w:val="22"/>
                <w:lang w:eastAsia="en-US"/>
              </w:rPr>
            </w:pPr>
          </w:p>
        </w:tc>
        <w:tc>
          <w:tcPr>
            <w:tcW w:w="1512" w:type="pct"/>
            <w:tcBorders>
              <w:top w:val="nil"/>
              <w:left w:val="nil"/>
              <w:bottom w:val="single" w:sz="8" w:space="0" w:color="auto"/>
              <w:right w:val="nil"/>
            </w:tcBorders>
            <w:noWrap/>
            <w:hideMark/>
          </w:tcPr>
          <w:p w:rsidR="007733EE" w:rsidRPr="00683E5D" w:rsidRDefault="007733EE" w:rsidP="00F94EF1">
            <w:pPr>
              <w:spacing w:before="60" w:after="60"/>
              <w:jc w:val="right"/>
            </w:pPr>
            <w:r w:rsidRPr="00683E5D">
              <w:t>(</w:t>
            </w:r>
            <w:r w:rsidRPr="00683E5D">
              <w:rPr>
                <w:i/>
              </w:rPr>
              <w:t>mln. EUR, 2018 m. kainomis</w:t>
            </w:r>
            <w:r w:rsidRPr="00683E5D">
              <w:t>)</w:t>
            </w:r>
          </w:p>
        </w:tc>
      </w:tr>
      <w:tr w:rsidR="007733EE" w:rsidRPr="00683E5D" w:rsidTr="00F94EF1">
        <w:trPr>
          <w:trHeight w:val="20"/>
        </w:trPr>
        <w:tc>
          <w:tcPr>
            <w:tcW w:w="1810" w:type="pct"/>
            <w:tcBorders>
              <w:top w:val="single" w:sz="8" w:space="0" w:color="auto"/>
              <w:left w:val="nil"/>
              <w:bottom w:val="single" w:sz="8" w:space="0" w:color="auto"/>
              <w:right w:val="nil"/>
            </w:tcBorders>
            <w:noWrap/>
            <w:hideMark/>
          </w:tcPr>
          <w:p w:rsidR="007733EE" w:rsidRPr="00683E5D" w:rsidRDefault="007733EE" w:rsidP="00F94EF1"/>
        </w:tc>
        <w:tc>
          <w:tcPr>
            <w:tcW w:w="1678" w:type="pct"/>
            <w:gridSpan w:val="2"/>
            <w:tcBorders>
              <w:top w:val="single" w:sz="4" w:space="0" w:color="auto"/>
              <w:left w:val="nil"/>
              <w:bottom w:val="single" w:sz="8" w:space="0" w:color="auto"/>
              <w:right w:val="nil"/>
            </w:tcBorders>
            <w:noWrap/>
            <w:hideMark/>
          </w:tcPr>
          <w:p w:rsidR="007733EE" w:rsidRPr="00683E5D" w:rsidRDefault="007733EE" w:rsidP="00F94EF1">
            <w:pPr>
              <w:spacing w:before="60" w:after="60"/>
              <w:jc w:val="center"/>
              <w:rPr>
                <w:szCs w:val="22"/>
              </w:rPr>
            </w:pPr>
            <w:r w:rsidRPr="00683E5D">
              <w:t>Paskirstymo raktas</w:t>
            </w:r>
          </w:p>
        </w:tc>
        <w:tc>
          <w:tcPr>
            <w:tcW w:w="1512" w:type="pct"/>
            <w:tcBorders>
              <w:top w:val="single" w:sz="8" w:space="0" w:color="auto"/>
              <w:left w:val="nil"/>
              <w:bottom w:val="single" w:sz="8" w:space="0" w:color="auto"/>
              <w:right w:val="nil"/>
            </w:tcBorders>
            <w:hideMark/>
          </w:tcPr>
          <w:p w:rsidR="007733EE" w:rsidRPr="00683E5D" w:rsidRDefault="007733EE" w:rsidP="00F94EF1">
            <w:pPr>
              <w:spacing w:before="60" w:after="60"/>
              <w:jc w:val="center"/>
            </w:pPr>
            <w:r w:rsidRPr="00683E5D">
              <w:t>Visi pagal 5 straipsnį papildomai skirti įsipareigojimų asignavimai</w:t>
            </w:r>
          </w:p>
        </w:tc>
      </w:tr>
      <w:tr w:rsidR="007733EE" w:rsidRPr="00683E5D" w:rsidTr="00F94EF1">
        <w:trPr>
          <w:trHeight w:val="20"/>
        </w:trPr>
        <w:tc>
          <w:tcPr>
            <w:tcW w:w="1810" w:type="pct"/>
            <w:tcBorders>
              <w:top w:val="single" w:sz="8" w:space="0" w:color="auto"/>
              <w:left w:val="nil"/>
              <w:bottom w:val="nil"/>
              <w:right w:val="nil"/>
            </w:tcBorders>
            <w:noWrap/>
          </w:tcPr>
          <w:p w:rsidR="007733EE" w:rsidRPr="00683E5D" w:rsidRDefault="007733EE" w:rsidP="00F94EF1">
            <w:pPr>
              <w:spacing w:before="60" w:after="60"/>
              <w:jc w:val="center"/>
            </w:pPr>
          </w:p>
        </w:tc>
        <w:tc>
          <w:tcPr>
            <w:tcW w:w="815" w:type="pct"/>
            <w:tcBorders>
              <w:top w:val="single" w:sz="8" w:space="0" w:color="auto"/>
              <w:left w:val="nil"/>
              <w:bottom w:val="nil"/>
              <w:right w:val="nil"/>
            </w:tcBorders>
            <w:noWrap/>
            <w:hideMark/>
          </w:tcPr>
          <w:p w:rsidR="007733EE" w:rsidRPr="00683E5D" w:rsidRDefault="007733EE" w:rsidP="00F94EF1">
            <w:pPr>
              <w:spacing w:before="60" w:after="60"/>
              <w:jc w:val="center"/>
              <w:rPr>
                <w:b/>
              </w:rPr>
            </w:pPr>
            <w:r w:rsidRPr="00683E5D">
              <w:rPr>
                <w:b/>
              </w:rPr>
              <w:t>2022-2024</w:t>
            </w:r>
          </w:p>
        </w:tc>
        <w:tc>
          <w:tcPr>
            <w:tcW w:w="863" w:type="pct"/>
            <w:tcBorders>
              <w:top w:val="single" w:sz="8" w:space="0" w:color="auto"/>
              <w:left w:val="nil"/>
              <w:bottom w:val="nil"/>
              <w:right w:val="nil"/>
            </w:tcBorders>
            <w:hideMark/>
          </w:tcPr>
          <w:p w:rsidR="007733EE" w:rsidRPr="00683E5D" w:rsidRDefault="007733EE" w:rsidP="00F94EF1">
            <w:pPr>
              <w:spacing w:before="60" w:after="60"/>
              <w:jc w:val="center"/>
              <w:rPr>
                <w:b/>
              </w:rPr>
            </w:pPr>
            <w:r w:rsidRPr="00683E5D">
              <w:rPr>
                <w:b/>
              </w:rPr>
              <w:t>2025-2027</w:t>
            </w:r>
          </w:p>
        </w:tc>
        <w:tc>
          <w:tcPr>
            <w:tcW w:w="1512" w:type="pct"/>
            <w:tcBorders>
              <w:top w:val="single" w:sz="8" w:space="0" w:color="auto"/>
              <w:left w:val="nil"/>
              <w:bottom w:val="nil"/>
              <w:right w:val="nil"/>
            </w:tcBorders>
          </w:tcPr>
          <w:p w:rsidR="007733EE" w:rsidRPr="00683E5D" w:rsidRDefault="007733EE" w:rsidP="00F94EF1">
            <w:pPr>
              <w:spacing w:before="60" w:after="60"/>
              <w:jc w:val="center"/>
            </w:pPr>
          </w:p>
        </w:tc>
      </w:tr>
      <w:tr w:rsidR="007733EE" w:rsidRPr="00683E5D" w:rsidTr="00F94EF1">
        <w:trPr>
          <w:trHeight w:val="20"/>
        </w:trPr>
        <w:tc>
          <w:tcPr>
            <w:tcW w:w="1810" w:type="pct"/>
            <w:noWrap/>
            <w:hideMark/>
          </w:tcPr>
          <w:p w:rsidR="007733EE" w:rsidRPr="00683E5D" w:rsidRDefault="007733EE" w:rsidP="00F94EF1">
            <w:pPr>
              <w:pStyle w:val="Point0"/>
              <w:spacing w:before="60" w:after="60" w:line="240" w:lineRule="auto"/>
              <w:rPr>
                <w:b/>
                <w:bCs/>
              </w:rPr>
            </w:pPr>
            <w:r w:rsidRPr="00683E5D">
              <w:rPr>
                <w:b/>
              </w:rPr>
              <w:t>1.</w:t>
            </w:r>
            <w:r w:rsidRPr="00683E5D">
              <w:rPr>
                <w:b/>
              </w:rPr>
              <w:tab/>
              <w:t>Bendroji rinka, inovacijos ir skaitmeniniai klausimai</w:t>
            </w:r>
          </w:p>
        </w:tc>
        <w:tc>
          <w:tcPr>
            <w:tcW w:w="815" w:type="pct"/>
            <w:noWrap/>
            <w:hideMark/>
          </w:tcPr>
          <w:p w:rsidR="007733EE" w:rsidRPr="00683E5D" w:rsidRDefault="007733EE" w:rsidP="00F94EF1">
            <w:pPr>
              <w:spacing w:before="60" w:after="60"/>
              <w:ind w:right="567"/>
              <w:jc w:val="right"/>
              <w:rPr>
                <w:b/>
              </w:rPr>
            </w:pPr>
            <w:r w:rsidRPr="00683E5D">
              <w:rPr>
                <w:b/>
              </w:rPr>
              <w:t>36,36 %</w:t>
            </w:r>
          </w:p>
        </w:tc>
        <w:tc>
          <w:tcPr>
            <w:tcW w:w="863" w:type="pct"/>
            <w:hideMark/>
          </w:tcPr>
          <w:p w:rsidR="007733EE" w:rsidRPr="00683E5D" w:rsidRDefault="007733EE" w:rsidP="00F94EF1">
            <w:pPr>
              <w:spacing w:before="60" w:after="60"/>
              <w:ind w:right="567"/>
              <w:jc w:val="right"/>
              <w:rPr>
                <w:b/>
              </w:rPr>
            </w:pPr>
            <w:r w:rsidRPr="00683E5D">
              <w:rPr>
                <w:b/>
              </w:rPr>
              <w:t>41,79 %</w:t>
            </w:r>
          </w:p>
        </w:tc>
        <w:tc>
          <w:tcPr>
            <w:tcW w:w="1512" w:type="pct"/>
            <w:noWrap/>
            <w:hideMark/>
          </w:tcPr>
          <w:p w:rsidR="007733EE" w:rsidRPr="00683E5D" w:rsidRDefault="007733EE" w:rsidP="00F94EF1">
            <w:pPr>
              <w:spacing w:before="60" w:after="60"/>
              <w:ind w:right="1134"/>
              <w:jc w:val="right"/>
              <w:rPr>
                <w:b/>
              </w:rPr>
            </w:pPr>
            <w:r w:rsidRPr="00683E5D">
              <w:rPr>
                <w:b/>
              </w:rPr>
              <w:t>4 000</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„Europos horizontas“</w:t>
            </w:r>
          </w:p>
        </w:tc>
        <w:tc>
          <w:tcPr>
            <w:tcW w:w="815" w:type="pct"/>
            <w:noWrap/>
            <w:hideMark/>
          </w:tcPr>
          <w:p w:rsidR="007733EE" w:rsidRPr="00683E5D" w:rsidRDefault="007733EE" w:rsidP="00F94EF1">
            <w:pPr>
              <w:spacing w:before="60" w:after="60"/>
              <w:ind w:left="-156" w:right="567" w:firstLine="156"/>
              <w:jc w:val="right"/>
            </w:pPr>
            <w:r w:rsidRPr="00683E5D">
              <w:t>27,27 %</w:t>
            </w:r>
          </w:p>
        </w:tc>
        <w:tc>
          <w:tcPr>
            <w:tcW w:w="863" w:type="pct"/>
            <w:hideMark/>
          </w:tcPr>
          <w:p w:rsidR="007733EE" w:rsidRPr="00683E5D" w:rsidRDefault="007733EE" w:rsidP="00F94EF1">
            <w:pPr>
              <w:spacing w:before="60" w:after="60"/>
              <w:ind w:right="567"/>
              <w:jc w:val="right"/>
            </w:pPr>
            <w:r w:rsidRPr="00683E5D">
              <w:t>31,34 %</w:t>
            </w:r>
          </w:p>
        </w:tc>
        <w:tc>
          <w:tcPr>
            <w:tcW w:w="1512" w:type="pct"/>
            <w:noWrap/>
            <w:hideMark/>
          </w:tcPr>
          <w:p w:rsidR="007733EE" w:rsidRPr="00683E5D" w:rsidRDefault="007733EE" w:rsidP="00F94EF1">
            <w:pPr>
              <w:spacing w:before="60" w:after="60"/>
              <w:ind w:right="1134"/>
              <w:jc w:val="right"/>
            </w:pPr>
            <w:r w:rsidRPr="00683E5D">
              <w:t>3 000</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w:t>
            </w:r>
            <w:proofErr w:type="spellStart"/>
            <w:r w:rsidRPr="00683E5D">
              <w:t>InvestEU</w:t>
            </w:r>
            <w:proofErr w:type="spellEnd"/>
            <w:r w:rsidRPr="00683E5D">
              <w:t>“ fondas</w:t>
            </w:r>
          </w:p>
        </w:tc>
        <w:tc>
          <w:tcPr>
            <w:tcW w:w="815" w:type="pct"/>
            <w:noWrap/>
            <w:hideMark/>
          </w:tcPr>
          <w:p w:rsidR="007733EE" w:rsidRPr="00683E5D" w:rsidRDefault="007733EE" w:rsidP="00F94EF1">
            <w:pPr>
              <w:spacing w:before="60" w:after="60"/>
              <w:ind w:right="567"/>
              <w:jc w:val="right"/>
            </w:pPr>
            <w:r w:rsidRPr="00683E5D">
              <w:t>9,09 %</w:t>
            </w:r>
          </w:p>
        </w:tc>
        <w:tc>
          <w:tcPr>
            <w:tcW w:w="863" w:type="pct"/>
            <w:hideMark/>
          </w:tcPr>
          <w:p w:rsidR="007733EE" w:rsidRPr="00683E5D" w:rsidRDefault="007733EE" w:rsidP="00F94EF1">
            <w:pPr>
              <w:spacing w:before="60" w:after="60"/>
              <w:ind w:right="567"/>
              <w:jc w:val="right"/>
            </w:pPr>
            <w:r w:rsidRPr="00683E5D">
              <w:t>10,45 %</w:t>
            </w:r>
          </w:p>
        </w:tc>
        <w:tc>
          <w:tcPr>
            <w:tcW w:w="1512" w:type="pct"/>
            <w:noWrap/>
            <w:hideMark/>
          </w:tcPr>
          <w:p w:rsidR="007733EE" w:rsidRPr="00683E5D" w:rsidRDefault="007733EE" w:rsidP="00F94EF1">
            <w:pPr>
              <w:spacing w:before="60" w:after="60"/>
              <w:ind w:right="1134"/>
              <w:jc w:val="right"/>
            </w:pPr>
            <w:r w:rsidRPr="00683E5D">
              <w:t>1 000</w:t>
            </w:r>
          </w:p>
        </w:tc>
      </w:tr>
      <w:tr w:rsidR="007733EE" w:rsidRPr="00683E5D" w:rsidTr="00F94EF1">
        <w:trPr>
          <w:trHeight w:val="20"/>
        </w:trPr>
        <w:tc>
          <w:tcPr>
            <w:tcW w:w="1810" w:type="pct"/>
            <w:noWrap/>
            <w:hideMark/>
          </w:tcPr>
          <w:p w:rsidR="007733EE" w:rsidRPr="00683E5D" w:rsidRDefault="007733EE" w:rsidP="00F94EF1">
            <w:pPr>
              <w:pStyle w:val="Point0"/>
              <w:spacing w:before="60" w:after="60" w:line="240" w:lineRule="auto"/>
              <w:rPr>
                <w:b/>
                <w:bCs/>
              </w:rPr>
            </w:pPr>
            <w:r w:rsidRPr="00683E5D">
              <w:rPr>
                <w:b/>
              </w:rPr>
              <w:t>2b.</w:t>
            </w:r>
            <w:r w:rsidRPr="00683E5D">
              <w:rPr>
                <w:b/>
              </w:rPr>
              <w:tab/>
              <w:t>Atsparumas ir vertybės</w:t>
            </w:r>
          </w:p>
        </w:tc>
        <w:tc>
          <w:tcPr>
            <w:tcW w:w="815" w:type="pct"/>
            <w:noWrap/>
            <w:hideMark/>
          </w:tcPr>
          <w:p w:rsidR="007733EE" w:rsidRPr="00683E5D" w:rsidRDefault="007733EE" w:rsidP="00F94EF1">
            <w:pPr>
              <w:spacing w:before="60" w:after="60"/>
              <w:ind w:right="567"/>
              <w:jc w:val="right"/>
              <w:rPr>
                <w:b/>
              </w:rPr>
            </w:pPr>
            <w:r w:rsidRPr="00683E5D">
              <w:rPr>
                <w:b/>
              </w:rPr>
              <w:t>54,55 %</w:t>
            </w:r>
          </w:p>
        </w:tc>
        <w:tc>
          <w:tcPr>
            <w:tcW w:w="863" w:type="pct"/>
            <w:hideMark/>
          </w:tcPr>
          <w:p w:rsidR="007733EE" w:rsidRPr="00683E5D" w:rsidRDefault="007733EE" w:rsidP="00F94EF1">
            <w:pPr>
              <w:spacing w:before="60" w:after="60"/>
              <w:ind w:right="567"/>
              <w:jc w:val="right"/>
              <w:rPr>
                <w:b/>
              </w:rPr>
            </w:pPr>
            <w:r w:rsidRPr="00683E5D">
              <w:rPr>
                <w:b/>
              </w:rPr>
              <w:t>47,76 %</w:t>
            </w:r>
          </w:p>
        </w:tc>
        <w:tc>
          <w:tcPr>
            <w:tcW w:w="1512" w:type="pct"/>
            <w:noWrap/>
            <w:hideMark/>
          </w:tcPr>
          <w:p w:rsidR="007733EE" w:rsidRPr="00683E5D" w:rsidRDefault="007733EE" w:rsidP="00F94EF1">
            <w:pPr>
              <w:spacing w:before="60" w:after="60"/>
              <w:ind w:right="1134"/>
              <w:jc w:val="right"/>
              <w:rPr>
                <w:b/>
              </w:rPr>
            </w:pPr>
            <w:r w:rsidRPr="00683E5D">
              <w:rPr>
                <w:b/>
              </w:rPr>
              <w:t>5 155</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„ES – sveikatos labui“</w:t>
            </w:r>
          </w:p>
        </w:tc>
        <w:tc>
          <w:tcPr>
            <w:tcW w:w="815" w:type="pct"/>
            <w:noWrap/>
            <w:hideMark/>
          </w:tcPr>
          <w:p w:rsidR="007733EE" w:rsidRPr="00683E5D" w:rsidRDefault="007733EE" w:rsidP="00F94EF1">
            <w:pPr>
              <w:spacing w:before="60" w:after="60"/>
              <w:ind w:right="567"/>
              <w:jc w:val="right"/>
            </w:pPr>
            <w:r w:rsidRPr="00683E5D">
              <w:t>26,37 %</w:t>
            </w:r>
          </w:p>
        </w:tc>
        <w:tc>
          <w:tcPr>
            <w:tcW w:w="863" w:type="pct"/>
            <w:hideMark/>
          </w:tcPr>
          <w:p w:rsidR="007733EE" w:rsidRPr="00683E5D" w:rsidRDefault="007733EE" w:rsidP="00F94EF1">
            <w:pPr>
              <w:spacing w:before="60" w:after="60"/>
              <w:ind w:right="567"/>
              <w:jc w:val="right"/>
            </w:pPr>
            <w:r w:rsidRPr="00683E5D">
              <w:t>15,37 %</w:t>
            </w:r>
          </w:p>
        </w:tc>
        <w:tc>
          <w:tcPr>
            <w:tcW w:w="1512" w:type="pct"/>
            <w:noWrap/>
            <w:hideMark/>
          </w:tcPr>
          <w:p w:rsidR="007733EE" w:rsidRPr="00683E5D" w:rsidRDefault="007733EE" w:rsidP="00F94EF1">
            <w:pPr>
              <w:spacing w:before="60" w:after="60"/>
              <w:ind w:right="1134"/>
              <w:jc w:val="right"/>
              <w:rPr>
                <w:bCs/>
              </w:rPr>
            </w:pPr>
            <w:r w:rsidRPr="00683E5D">
              <w:t>2 055</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„Erasmus+“</w:t>
            </w:r>
          </w:p>
        </w:tc>
        <w:tc>
          <w:tcPr>
            <w:tcW w:w="815" w:type="pct"/>
            <w:noWrap/>
            <w:hideMark/>
          </w:tcPr>
          <w:p w:rsidR="007733EE" w:rsidRPr="00683E5D" w:rsidRDefault="007733EE" w:rsidP="00F94EF1">
            <w:pPr>
              <w:spacing w:before="60" w:after="60"/>
              <w:ind w:right="567"/>
              <w:jc w:val="right"/>
            </w:pPr>
            <w:r w:rsidRPr="00683E5D">
              <w:t>15,46 %</w:t>
            </w:r>
          </w:p>
        </w:tc>
        <w:tc>
          <w:tcPr>
            <w:tcW w:w="863" w:type="pct"/>
            <w:hideMark/>
          </w:tcPr>
          <w:p w:rsidR="007733EE" w:rsidRPr="00683E5D" w:rsidRDefault="007733EE" w:rsidP="00F94EF1">
            <w:pPr>
              <w:spacing w:before="60" w:after="60"/>
              <w:ind w:right="567"/>
              <w:jc w:val="right"/>
            </w:pPr>
            <w:r w:rsidRPr="00683E5D">
              <w:t>17,77 %</w:t>
            </w:r>
          </w:p>
        </w:tc>
        <w:tc>
          <w:tcPr>
            <w:tcW w:w="1512" w:type="pct"/>
            <w:noWrap/>
            <w:hideMark/>
          </w:tcPr>
          <w:p w:rsidR="007733EE" w:rsidRPr="00683E5D" w:rsidRDefault="007733EE" w:rsidP="00F94EF1">
            <w:pPr>
              <w:spacing w:before="60" w:after="60"/>
              <w:ind w:right="1134"/>
              <w:jc w:val="right"/>
            </w:pPr>
            <w:r w:rsidRPr="00683E5D">
              <w:t>1 700</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„Kūrybiška Europa“</w:t>
            </w:r>
          </w:p>
        </w:tc>
        <w:tc>
          <w:tcPr>
            <w:tcW w:w="815" w:type="pct"/>
            <w:noWrap/>
            <w:hideMark/>
          </w:tcPr>
          <w:p w:rsidR="007733EE" w:rsidRPr="00683E5D" w:rsidRDefault="007733EE" w:rsidP="00F94EF1">
            <w:pPr>
              <w:spacing w:before="60" w:after="60"/>
              <w:ind w:right="567"/>
              <w:jc w:val="right"/>
            </w:pPr>
            <w:r w:rsidRPr="00683E5D">
              <w:t>5,45 %</w:t>
            </w:r>
          </w:p>
        </w:tc>
        <w:tc>
          <w:tcPr>
            <w:tcW w:w="863" w:type="pct"/>
            <w:hideMark/>
          </w:tcPr>
          <w:p w:rsidR="007733EE" w:rsidRPr="00683E5D" w:rsidRDefault="007733EE" w:rsidP="00F94EF1">
            <w:pPr>
              <w:spacing w:before="60" w:after="60"/>
              <w:ind w:right="567"/>
              <w:jc w:val="right"/>
            </w:pPr>
            <w:r w:rsidRPr="00683E5D">
              <w:t>6,26 %</w:t>
            </w:r>
          </w:p>
        </w:tc>
        <w:tc>
          <w:tcPr>
            <w:tcW w:w="1512" w:type="pct"/>
            <w:noWrap/>
            <w:hideMark/>
          </w:tcPr>
          <w:p w:rsidR="007733EE" w:rsidRPr="00683E5D" w:rsidRDefault="007733EE" w:rsidP="00F94EF1">
            <w:pPr>
              <w:spacing w:before="60" w:after="60"/>
              <w:ind w:right="1134"/>
              <w:jc w:val="right"/>
            </w:pPr>
            <w:r w:rsidRPr="00683E5D">
              <w:t>600</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„Teisės ir vertybės“</w:t>
            </w:r>
          </w:p>
        </w:tc>
        <w:tc>
          <w:tcPr>
            <w:tcW w:w="815" w:type="pct"/>
            <w:noWrap/>
            <w:hideMark/>
          </w:tcPr>
          <w:p w:rsidR="007733EE" w:rsidRPr="00683E5D" w:rsidRDefault="007733EE" w:rsidP="00F94EF1">
            <w:pPr>
              <w:spacing w:before="60" w:after="60"/>
              <w:ind w:right="567"/>
              <w:jc w:val="right"/>
            </w:pPr>
            <w:r w:rsidRPr="00683E5D">
              <w:t>7,27 %</w:t>
            </w:r>
          </w:p>
        </w:tc>
        <w:tc>
          <w:tcPr>
            <w:tcW w:w="863" w:type="pct"/>
            <w:hideMark/>
          </w:tcPr>
          <w:p w:rsidR="007733EE" w:rsidRPr="00683E5D" w:rsidRDefault="007733EE" w:rsidP="00F94EF1">
            <w:pPr>
              <w:spacing w:before="60" w:after="60"/>
              <w:ind w:right="567"/>
              <w:jc w:val="right"/>
              <w:rPr>
                <w:b/>
              </w:rPr>
            </w:pPr>
            <w:r w:rsidRPr="00683E5D">
              <w:rPr>
                <w:b/>
              </w:rPr>
              <w:t>8,36 %</w:t>
            </w:r>
          </w:p>
        </w:tc>
        <w:tc>
          <w:tcPr>
            <w:tcW w:w="1512" w:type="pct"/>
            <w:noWrap/>
            <w:hideMark/>
          </w:tcPr>
          <w:p w:rsidR="007733EE" w:rsidRPr="00683E5D" w:rsidRDefault="007733EE" w:rsidP="00F94EF1">
            <w:pPr>
              <w:spacing w:before="60" w:after="60"/>
              <w:ind w:right="1134"/>
              <w:jc w:val="right"/>
            </w:pPr>
            <w:r w:rsidRPr="00683E5D">
              <w:t>800</w:t>
            </w:r>
          </w:p>
        </w:tc>
      </w:tr>
      <w:tr w:rsidR="007733EE" w:rsidRPr="00683E5D" w:rsidTr="00F94EF1">
        <w:trPr>
          <w:trHeight w:val="20"/>
        </w:trPr>
        <w:tc>
          <w:tcPr>
            <w:tcW w:w="1810" w:type="pct"/>
            <w:noWrap/>
            <w:hideMark/>
          </w:tcPr>
          <w:p w:rsidR="007733EE" w:rsidRPr="00683E5D" w:rsidRDefault="007733EE" w:rsidP="00F94EF1">
            <w:pPr>
              <w:pStyle w:val="Point0"/>
              <w:spacing w:before="60" w:after="60" w:line="240" w:lineRule="auto"/>
              <w:rPr>
                <w:b/>
                <w:bCs/>
              </w:rPr>
            </w:pPr>
            <w:r w:rsidRPr="00683E5D">
              <w:rPr>
                <w:b/>
              </w:rPr>
              <w:t>4.</w:t>
            </w:r>
            <w:r w:rsidRPr="00683E5D">
              <w:rPr>
                <w:b/>
              </w:rPr>
              <w:tab/>
              <w:t>Migracija ir sienų valdymas</w:t>
            </w:r>
          </w:p>
        </w:tc>
        <w:tc>
          <w:tcPr>
            <w:tcW w:w="815" w:type="pct"/>
            <w:noWrap/>
            <w:hideMark/>
          </w:tcPr>
          <w:p w:rsidR="007733EE" w:rsidRPr="00683E5D" w:rsidRDefault="007733EE" w:rsidP="00F94EF1">
            <w:pPr>
              <w:spacing w:before="60" w:after="60"/>
              <w:ind w:right="567"/>
              <w:jc w:val="right"/>
              <w:rPr>
                <w:b/>
              </w:rPr>
            </w:pPr>
            <w:r w:rsidRPr="00683E5D">
              <w:rPr>
                <w:b/>
              </w:rPr>
              <w:t>9,09 %</w:t>
            </w:r>
          </w:p>
        </w:tc>
        <w:tc>
          <w:tcPr>
            <w:tcW w:w="863" w:type="pct"/>
            <w:hideMark/>
          </w:tcPr>
          <w:p w:rsidR="007733EE" w:rsidRPr="00683E5D" w:rsidRDefault="007733EE" w:rsidP="00F94EF1">
            <w:pPr>
              <w:spacing w:before="60" w:after="60"/>
              <w:ind w:right="567"/>
              <w:jc w:val="right"/>
              <w:rPr>
                <w:b/>
              </w:rPr>
            </w:pPr>
            <w:r w:rsidRPr="00683E5D">
              <w:rPr>
                <w:b/>
              </w:rPr>
              <w:t>10,45 %</w:t>
            </w:r>
          </w:p>
        </w:tc>
        <w:tc>
          <w:tcPr>
            <w:tcW w:w="1512" w:type="pct"/>
            <w:noWrap/>
            <w:hideMark/>
          </w:tcPr>
          <w:p w:rsidR="007733EE" w:rsidRPr="00683E5D" w:rsidRDefault="007733EE" w:rsidP="00F94EF1">
            <w:pPr>
              <w:spacing w:before="60" w:after="60"/>
              <w:ind w:right="1134"/>
              <w:jc w:val="right"/>
              <w:rPr>
                <w:b/>
              </w:rPr>
            </w:pPr>
            <w:r w:rsidRPr="00683E5D">
              <w:rPr>
                <w:b/>
              </w:rPr>
              <w:t>1 000</w:t>
            </w:r>
          </w:p>
        </w:tc>
      </w:tr>
      <w:tr w:rsidR="007733EE" w:rsidRPr="00683E5D" w:rsidTr="00F94EF1">
        <w:trPr>
          <w:trHeight w:val="20"/>
        </w:trPr>
        <w:tc>
          <w:tcPr>
            <w:tcW w:w="1810" w:type="pct"/>
            <w:noWrap/>
            <w:hideMark/>
          </w:tcPr>
          <w:p w:rsidR="007733EE" w:rsidRPr="00683E5D" w:rsidRDefault="007733EE" w:rsidP="00F94EF1">
            <w:pPr>
              <w:pStyle w:val="Text1"/>
              <w:spacing w:before="60" w:after="60" w:line="240" w:lineRule="auto"/>
            </w:pPr>
            <w:r w:rsidRPr="00683E5D">
              <w:t>Integruoto sienų valdymo fondas</w:t>
            </w:r>
          </w:p>
        </w:tc>
        <w:tc>
          <w:tcPr>
            <w:tcW w:w="815" w:type="pct"/>
            <w:noWrap/>
            <w:hideMark/>
          </w:tcPr>
          <w:p w:rsidR="007733EE" w:rsidRPr="00683E5D" w:rsidRDefault="007733EE" w:rsidP="00F94EF1">
            <w:pPr>
              <w:spacing w:before="60" w:after="60"/>
              <w:ind w:right="567"/>
              <w:jc w:val="right"/>
            </w:pPr>
            <w:r w:rsidRPr="00683E5D">
              <w:t>9,09 %</w:t>
            </w:r>
          </w:p>
        </w:tc>
        <w:tc>
          <w:tcPr>
            <w:tcW w:w="863" w:type="pct"/>
            <w:hideMark/>
          </w:tcPr>
          <w:p w:rsidR="007733EE" w:rsidRPr="00683E5D" w:rsidRDefault="007733EE" w:rsidP="00F94EF1">
            <w:pPr>
              <w:spacing w:before="60" w:after="60"/>
              <w:ind w:right="567"/>
              <w:jc w:val="right"/>
            </w:pPr>
            <w:r w:rsidRPr="00683E5D">
              <w:t>10,45 %</w:t>
            </w:r>
          </w:p>
        </w:tc>
        <w:tc>
          <w:tcPr>
            <w:tcW w:w="1512" w:type="pct"/>
            <w:noWrap/>
            <w:hideMark/>
          </w:tcPr>
          <w:p w:rsidR="007733EE" w:rsidRPr="00683E5D" w:rsidRDefault="007733EE" w:rsidP="00F94EF1">
            <w:pPr>
              <w:spacing w:before="60" w:after="60"/>
              <w:ind w:right="1134"/>
              <w:jc w:val="right"/>
            </w:pPr>
            <w:r w:rsidRPr="00683E5D">
              <w:t>1 000</w:t>
            </w:r>
          </w:p>
        </w:tc>
      </w:tr>
      <w:tr w:rsidR="007733EE" w:rsidRPr="00683E5D" w:rsidTr="00F94EF1">
        <w:trPr>
          <w:trHeight w:val="20"/>
        </w:trPr>
        <w:tc>
          <w:tcPr>
            <w:tcW w:w="1810" w:type="pct"/>
            <w:tcBorders>
              <w:top w:val="nil"/>
              <w:left w:val="nil"/>
              <w:bottom w:val="single" w:sz="4" w:space="0" w:color="auto"/>
              <w:right w:val="nil"/>
            </w:tcBorders>
            <w:noWrap/>
            <w:hideMark/>
          </w:tcPr>
          <w:p w:rsidR="007733EE" w:rsidRPr="00683E5D" w:rsidRDefault="007733EE" w:rsidP="00F94EF1">
            <w:pPr>
              <w:spacing w:before="60" w:after="60"/>
              <w:rPr>
                <w:b/>
              </w:rPr>
            </w:pPr>
            <w:r w:rsidRPr="00683E5D">
              <w:rPr>
                <w:b/>
              </w:rPr>
              <w:t>IŠ VISO</w:t>
            </w:r>
          </w:p>
        </w:tc>
        <w:tc>
          <w:tcPr>
            <w:tcW w:w="815" w:type="pct"/>
            <w:tcBorders>
              <w:top w:val="nil"/>
              <w:left w:val="nil"/>
              <w:bottom w:val="single" w:sz="4" w:space="0" w:color="auto"/>
              <w:right w:val="nil"/>
            </w:tcBorders>
            <w:noWrap/>
            <w:hideMark/>
          </w:tcPr>
          <w:p w:rsidR="007733EE" w:rsidRPr="00683E5D" w:rsidRDefault="007733EE" w:rsidP="00F94EF1">
            <w:pPr>
              <w:spacing w:before="60" w:after="60"/>
              <w:ind w:right="567"/>
              <w:jc w:val="right"/>
              <w:rPr>
                <w:b/>
              </w:rPr>
            </w:pPr>
            <w:r w:rsidRPr="00683E5D">
              <w:rPr>
                <w:b/>
              </w:rPr>
              <w:t>100,00 %</w:t>
            </w:r>
          </w:p>
        </w:tc>
        <w:tc>
          <w:tcPr>
            <w:tcW w:w="863" w:type="pct"/>
            <w:tcBorders>
              <w:top w:val="nil"/>
              <w:left w:val="nil"/>
              <w:bottom w:val="single" w:sz="4" w:space="0" w:color="auto"/>
              <w:right w:val="nil"/>
            </w:tcBorders>
            <w:hideMark/>
          </w:tcPr>
          <w:p w:rsidR="007733EE" w:rsidRPr="00683E5D" w:rsidRDefault="007733EE" w:rsidP="00F94EF1">
            <w:pPr>
              <w:spacing w:before="60" w:after="60"/>
              <w:ind w:right="567"/>
              <w:jc w:val="right"/>
              <w:rPr>
                <w:b/>
              </w:rPr>
            </w:pPr>
            <w:r w:rsidRPr="00683E5D">
              <w:rPr>
                <w:b/>
              </w:rPr>
              <w:t>100,00 %</w:t>
            </w:r>
          </w:p>
        </w:tc>
        <w:tc>
          <w:tcPr>
            <w:tcW w:w="1512" w:type="pct"/>
            <w:tcBorders>
              <w:top w:val="nil"/>
              <w:left w:val="nil"/>
              <w:bottom w:val="single" w:sz="4" w:space="0" w:color="auto"/>
              <w:right w:val="nil"/>
            </w:tcBorders>
            <w:noWrap/>
            <w:hideMark/>
          </w:tcPr>
          <w:p w:rsidR="007733EE" w:rsidRPr="00683E5D" w:rsidRDefault="007733EE" w:rsidP="00F94EF1">
            <w:pPr>
              <w:spacing w:before="60" w:after="60"/>
              <w:ind w:right="1134"/>
              <w:jc w:val="right"/>
              <w:rPr>
                <w:b/>
              </w:rPr>
            </w:pPr>
            <w:r w:rsidRPr="00683E5D">
              <w:rPr>
                <w:b/>
              </w:rPr>
              <w:t>10 155</w:t>
            </w:r>
          </w:p>
        </w:tc>
      </w:tr>
    </w:tbl>
    <w:p w:rsidR="007733EE" w:rsidRPr="00683E5D" w:rsidRDefault="007733EE" w:rsidP="007733EE">
      <w:pPr>
        <w:pStyle w:val="NormalRight"/>
      </w:pPr>
      <w:r w:rsidRPr="00683E5D">
        <w:t>“.</w:t>
      </w:r>
    </w:p>
    <w:p w:rsidR="007733EE" w:rsidRPr="00683E5D" w:rsidRDefault="007733EE" w:rsidP="007733EE">
      <w:pPr>
        <w:pStyle w:val="LignefinalLandscape"/>
      </w:pPr>
    </w:p>
    <w:p w:rsidR="007733EE" w:rsidRPr="00683E5D" w:rsidRDefault="007733EE" w:rsidP="007733EE">
      <w:pPr>
        <w:sectPr w:rsidR="007733EE" w:rsidRPr="00683E5D" w:rsidSect="00683E5D">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7733EE" w:rsidRPr="00683E5D" w:rsidRDefault="007733EE" w:rsidP="007733EE">
      <w:pPr>
        <w:pStyle w:val="PageHeading"/>
        <w:rPr>
          <w:caps/>
        </w:rPr>
      </w:pPr>
      <w:bookmarkStart w:id="11" w:name="_Toc159509474"/>
      <w:bookmarkStart w:id="12" w:name="_Toc159578086"/>
      <w:r w:rsidRPr="00683E5D">
        <w:lastRenderedPageBreak/>
        <w:t xml:space="preserve">2 PRIEDAS. </w:t>
      </w:r>
      <w:r w:rsidRPr="00683E5D">
        <w:rPr>
          <w:caps/>
        </w:rPr>
        <w:t>Europos Parlamento, Tarybos ir Komisijos bendra deklaracija dėl panaikintų lėšų pakartotinio panaudojimo mokslinių tyrimų programoje</w:t>
      </w:r>
      <w:bookmarkEnd w:id="11"/>
      <w:bookmarkEnd w:id="12"/>
    </w:p>
    <w:p w:rsidR="007733EE" w:rsidRPr="00683E5D" w:rsidRDefault="007733EE" w:rsidP="003803E3">
      <w:pPr>
        <w:pStyle w:val="NormalWeb"/>
        <w:shd w:val="clear" w:color="auto" w:fill="FFFFFF" w:themeFill="background1"/>
        <w:spacing w:before="0" w:beforeAutospacing="0" w:after="240" w:afterAutospacing="0"/>
      </w:pPr>
      <w:r w:rsidRPr="00683E5D">
        <w:t>2020 m. gruodžio 22 d. Bendroje deklaracijoje dėl panaikintų lėšų pakartotinio panaudojimo mokslinių tyrimų programoje</w:t>
      </w:r>
      <w:r w:rsidRPr="00683E5D">
        <w:rPr>
          <w:rStyle w:val="FootnoteReference"/>
        </w:rPr>
        <w:footnoteReference w:id="12"/>
      </w:r>
      <w:r w:rsidRPr="00683E5D">
        <w:t xml:space="preserve"> Europos Parlamentas, Taryba ir Komisija susitarė 2021–2027 m. laikotarpiu mokslinių tyrimų programai vėl suteikti įsipareigojimų asignavimus, kurių suma sudaro iki 0,5 mlrd. EUR (2018 m. kainomis) panaikintų įsipareigojimų, susidariusių dėl visiško arba dalinio tai programai arba ankstesnei programai priklausančių projektų neįgyvendinimo, kaip nustatyta Finansinio reglamento 15 straipsnio 3 dalyje.</w:t>
      </w:r>
    </w:p>
    <w:p w:rsidR="007733EE" w:rsidRPr="00683E5D" w:rsidRDefault="007733EE" w:rsidP="003803E3">
      <w:pPr>
        <w:pStyle w:val="NormalWeb"/>
        <w:shd w:val="clear" w:color="auto" w:fill="FFFFFF" w:themeFill="background1"/>
        <w:spacing w:before="0" w:beforeAutospacing="0" w:after="240" w:afterAutospacing="0"/>
      </w:pPr>
      <w:r w:rsidRPr="00683E5D">
        <w:t>Nedarant poveikio biudžeto valdymo institucijos įgaliojimams vykdyti metinę biudžeto procedūrą ir Komisijos įgaliojimams vykdyti biudžetą, Europos Parlamentas, Taryba ir Komisija susitaria 2025–2027 m. laikotarpiu mokslinių tyrimų programai vėl suteikti papildomą 100 mln. EUR (2018 m. kainomis) sumą 2019 m.–2020 m. panaikintų įsipareigojimų, susidariusių dėl visiško arba dalinio tai programai arba ankstesnei programai priklausančių projektų neįgyvendinimo, kurie nebuvo vėl suteikti pagal Finansinio reglamento 15 straipsnio 3 dalį, kaip nurodyta 2020 m. gruodžio 22 d. bendroje deklaracijoje. Tai nedaro poveikio turimoms panaikintų įsipareigojimų sumoms, skirtoms EURI priemonei, nurodytai Reglamento (ES, Euratom) 2020/2093 10a straipsnyje.</w:t>
      </w:r>
    </w:p>
    <w:p w:rsidR="007733EE" w:rsidRPr="00683E5D" w:rsidRDefault="007733EE" w:rsidP="007733EE"/>
    <w:p w:rsidR="00E365E1" w:rsidRPr="00683E5D" w:rsidRDefault="00E365E1" w:rsidP="00B375CC">
      <w:bookmarkStart w:id="13" w:name="TextBodyEnd"/>
      <w:bookmarkStart w:id="14" w:name="_GoBack"/>
      <w:bookmarkEnd w:id="13"/>
      <w:bookmarkEnd w:id="14"/>
    </w:p>
    <w:sectPr w:rsidR="00E365E1" w:rsidRPr="00683E5D" w:rsidSect="00683E5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5CC" w:rsidRPr="00683E5D" w:rsidRDefault="00B375CC">
      <w:r w:rsidRPr="00683E5D">
        <w:separator/>
      </w:r>
    </w:p>
  </w:endnote>
  <w:endnote w:type="continuationSeparator" w:id="0">
    <w:p w:rsidR="00B375CC" w:rsidRPr="00683E5D" w:rsidRDefault="00B375CC">
      <w:r w:rsidRPr="00683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rsidP="00DA4D72">
    <w:pPr>
      <w:pStyle w:val="EPFooter"/>
    </w:pPr>
    <w:r w:rsidRPr="00683E5D">
      <w:t>PE</w:t>
    </w:r>
    <w:r w:rsidRPr="00683E5D">
      <w:rPr>
        <w:rStyle w:val="HideTWBExt"/>
      </w:rPr>
      <w:t>&lt;</w:t>
    </w:r>
    <w:proofErr w:type="spellStart"/>
    <w:r w:rsidRPr="00683E5D">
      <w:rPr>
        <w:rStyle w:val="HideTWBExt"/>
      </w:rPr>
      <w:t>NoPE</w:t>
    </w:r>
    <w:proofErr w:type="spellEnd"/>
    <w:r w:rsidRPr="00683E5D">
      <w:rPr>
        <w:rStyle w:val="HideTWBExt"/>
      </w:rPr>
      <w:t>&gt;</w:t>
    </w:r>
    <w:r w:rsidRPr="00683E5D">
      <w:t>758.992</w:t>
    </w:r>
    <w:r w:rsidRPr="00683E5D">
      <w:rPr>
        <w:rStyle w:val="HideTWBExt"/>
      </w:rPr>
      <w:t>&lt;/</w:t>
    </w:r>
    <w:proofErr w:type="spellStart"/>
    <w:r w:rsidRPr="00683E5D">
      <w:rPr>
        <w:rStyle w:val="HideTWBExt"/>
      </w:rPr>
      <w:t>NoPE</w:t>
    </w:r>
    <w:proofErr w:type="spellEnd"/>
    <w:r w:rsidRPr="00683E5D">
      <w:rPr>
        <w:rStyle w:val="HideTWBExt"/>
      </w:rPr>
      <w:t>&gt;&lt;Version&gt;</w:t>
    </w:r>
    <w:r w:rsidRPr="00683E5D">
      <w:t>v02-00</w:t>
    </w:r>
    <w:r w:rsidRPr="00683E5D">
      <w:rPr>
        <w:rStyle w:val="HideTWBExt"/>
      </w:rPr>
      <w:t>&lt;/</w:t>
    </w:r>
    <w:proofErr w:type="spellStart"/>
    <w:r w:rsidRPr="00683E5D">
      <w:rPr>
        <w:rStyle w:val="HideTWBExt"/>
      </w:rPr>
      <w:t>Version</w:t>
    </w:r>
    <w:proofErr w:type="spellEnd"/>
    <w:r w:rsidRPr="00683E5D">
      <w:rPr>
        <w:rStyle w:val="HideTWBExt"/>
      </w:rPr>
      <w:t>&gt;</w:t>
    </w:r>
    <w:r w:rsidRPr="00683E5D">
      <w:tab/>
    </w:r>
    <w:r w:rsidRPr="00683E5D">
      <w:fldChar w:fldCharType="begin"/>
    </w:r>
    <w:r w:rsidRPr="00683E5D">
      <w:instrText xml:space="preserve"> PAGE  \* MERGEFORMAT </w:instrText>
    </w:r>
    <w:r w:rsidRPr="00683E5D">
      <w:fldChar w:fldCharType="separate"/>
    </w:r>
    <w:r w:rsidRPr="00683E5D">
      <w:rPr>
        <w:noProof/>
      </w:rPr>
      <w:t>24</w:t>
    </w:r>
    <w:r w:rsidRPr="00683E5D">
      <w:fldChar w:fldCharType="end"/>
    </w:r>
    <w:r w:rsidRPr="00683E5D">
      <w:t>/</w:t>
    </w:r>
    <w:fldSimple w:instr=" NUMPAGES  \* MERGEFORMAT ">
      <w:r w:rsidRPr="00683E5D">
        <w:rPr>
          <w:noProof/>
        </w:rPr>
        <w:t>24</w:t>
      </w:r>
    </w:fldSimple>
    <w:r w:rsidRPr="00683E5D">
      <w:tab/>
    </w:r>
    <w:r w:rsidRPr="00683E5D">
      <w:rPr>
        <w:rStyle w:val="HideTWBExt"/>
      </w:rPr>
      <w:t>&lt;PathFdR&gt;</w:t>
    </w:r>
    <w:r w:rsidRPr="00683E5D">
      <w:t>RR\1297557LT.docx</w:t>
    </w:r>
    <w:r w:rsidRPr="00683E5D">
      <w:rPr>
        <w:rStyle w:val="HideTWBExt"/>
      </w:rPr>
      <w:t>&lt;/</w:t>
    </w:r>
    <w:proofErr w:type="spellStart"/>
    <w:r w:rsidRPr="00683E5D">
      <w:rPr>
        <w:rStyle w:val="HideTWBExt"/>
      </w:rPr>
      <w:t>PathFdR</w:t>
    </w:r>
    <w:proofErr w:type="spellEnd"/>
    <w:r w:rsidRPr="00683E5D">
      <w:rPr>
        <w:rStyle w:val="HideTWBExt"/>
      </w:rPr>
      <w:t>&gt;</w:t>
    </w:r>
  </w:p>
  <w:p w:rsidR="007733EE" w:rsidRPr="00683E5D" w:rsidRDefault="007733EE" w:rsidP="00DA4D72">
    <w:pPr>
      <w:pStyle w:val="EPFooter2"/>
    </w:pPr>
    <w:r w:rsidRPr="00683E5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rsidP="00DA4D72">
    <w:pPr>
      <w:pStyle w:val="EPFooter"/>
    </w:pPr>
    <w:r w:rsidRPr="00683E5D">
      <w:rPr>
        <w:rStyle w:val="HideTWBExt"/>
      </w:rPr>
      <w:t>&lt;PathFdR&gt;</w:t>
    </w:r>
    <w:r w:rsidRPr="00683E5D">
      <w:t>RR\1297557LT.docx</w:t>
    </w:r>
    <w:r w:rsidRPr="00683E5D">
      <w:rPr>
        <w:rStyle w:val="HideTWBExt"/>
      </w:rPr>
      <w:t>&lt;/</w:t>
    </w:r>
    <w:proofErr w:type="spellStart"/>
    <w:r w:rsidRPr="00683E5D">
      <w:rPr>
        <w:rStyle w:val="HideTWBExt"/>
      </w:rPr>
      <w:t>PathFdR</w:t>
    </w:r>
    <w:proofErr w:type="spellEnd"/>
    <w:r w:rsidRPr="00683E5D">
      <w:rPr>
        <w:rStyle w:val="HideTWBExt"/>
      </w:rPr>
      <w:t>&gt;</w:t>
    </w:r>
    <w:r w:rsidRPr="00683E5D">
      <w:tab/>
    </w:r>
    <w:r w:rsidRPr="00683E5D">
      <w:tab/>
      <w:t>PE</w:t>
    </w:r>
    <w:r w:rsidRPr="00683E5D">
      <w:rPr>
        <w:rStyle w:val="HideTWBExt"/>
      </w:rPr>
      <w:t>&lt;</w:t>
    </w:r>
    <w:proofErr w:type="spellStart"/>
    <w:r w:rsidRPr="00683E5D">
      <w:rPr>
        <w:rStyle w:val="HideTWBExt"/>
      </w:rPr>
      <w:t>NoPE</w:t>
    </w:r>
    <w:proofErr w:type="spellEnd"/>
    <w:r w:rsidRPr="00683E5D">
      <w:rPr>
        <w:rStyle w:val="HideTWBExt"/>
      </w:rPr>
      <w:t>&gt;</w:t>
    </w:r>
    <w:r w:rsidRPr="00683E5D">
      <w:t>758.992</w:t>
    </w:r>
    <w:r w:rsidRPr="00683E5D">
      <w:rPr>
        <w:rStyle w:val="HideTWBExt"/>
      </w:rPr>
      <w:t>&lt;/</w:t>
    </w:r>
    <w:proofErr w:type="spellStart"/>
    <w:r w:rsidRPr="00683E5D">
      <w:rPr>
        <w:rStyle w:val="HideTWBExt"/>
      </w:rPr>
      <w:t>NoPE</w:t>
    </w:r>
    <w:proofErr w:type="spellEnd"/>
    <w:r w:rsidRPr="00683E5D">
      <w:rPr>
        <w:rStyle w:val="HideTWBExt"/>
      </w:rPr>
      <w:t>&gt;&lt;Version&gt;</w:t>
    </w:r>
    <w:r w:rsidRPr="00683E5D">
      <w:t>v02-00</w:t>
    </w:r>
    <w:r w:rsidRPr="00683E5D">
      <w:rPr>
        <w:rStyle w:val="HideTWBExt"/>
      </w:rPr>
      <w:t>&lt;/</w:t>
    </w:r>
    <w:proofErr w:type="spellStart"/>
    <w:r w:rsidRPr="00683E5D">
      <w:rPr>
        <w:rStyle w:val="HideTWBExt"/>
      </w:rPr>
      <w:t>Version</w:t>
    </w:r>
    <w:proofErr w:type="spellEnd"/>
    <w:r w:rsidRPr="00683E5D">
      <w:rPr>
        <w:rStyle w:val="HideTWBExt"/>
      </w:rPr>
      <w:t>&gt;</w:t>
    </w:r>
  </w:p>
  <w:p w:rsidR="007733EE" w:rsidRPr="00683E5D" w:rsidRDefault="007733EE" w:rsidP="00DA4D72">
    <w:pPr>
      <w:pStyle w:val="EPFooter2"/>
    </w:pPr>
    <w:r w:rsidRPr="00683E5D">
      <w:t>LT</w:t>
    </w:r>
    <w:r w:rsidRPr="00683E5D">
      <w:tab/>
    </w:r>
    <w:r w:rsidRPr="00683E5D">
      <w:rPr>
        <w:b w:val="0"/>
        <w:i/>
        <w:color w:val="C0C0C0"/>
        <w:sz w:val="22"/>
      </w:rPr>
      <w:t>Suvienijusi įvairovę</w:t>
    </w:r>
    <w:r w:rsidRPr="00683E5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rsidP="000C46FE">
    <w:pPr>
      <w:pStyle w:val="EPFooter"/>
    </w:pPr>
    <w:r w:rsidRPr="00683E5D">
      <w:rPr>
        <w:rStyle w:val="HideTWBExt"/>
      </w:rPr>
      <w:t>&lt;PathFdR&gt;</w:t>
    </w:r>
    <w:r w:rsidRPr="00683E5D">
      <w:t>RR\758992EN.docx</w:t>
    </w:r>
    <w:r w:rsidRPr="00683E5D">
      <w:rPr>
        <w:rStyle w:val="HideTWBExt"/>
      </w:rPr>
      <w:t>&lt;/</w:t>
    </w:r>
    <w:proofErr w:type="spellStart"/>
    <w:r w:rsidRPr="00683E5D">
      <w:rPr>
        <w:rStyle w:val="HideTWBExt"/>
      </w:rPr>
      <w:t>PathFdR</w:t>
    </w:r>
    <w:proofErr w:type="spellEnd"/>
    <w:r w:rsidRPr="00683E5D">
      <w:rPr>
        <w:rStyle w:val="HideTWBExt"/>
      </w:rPr>
      <w:t>&gt;</w:t>
    </w:r>
    <w:r w:rsidRPr="00683E5D">
      <w:tab/>
    </w:r>
    <w:r w:rsidRPr="00683E5D">
      <w:tab/>
      <w:t>PE</w:t>
    </w:r>
    <w:r w:rsidRPr="00683E5D">
      <w:rPr>
        <w:rStyle w:val="HideTWBExt"/>
      </w:rPr>
      <w:t>&lt;</w:t>
    </w:r>
    <w:proofErr w:type="spellStart"/>
    <w:r w:rsidRPr="00683E5D">
      <w:rPr>
        <w:rStyle w:val="HideTWBExt"/>
      </w:rPr>
      <w:t>NoPE</w:t>
    </w:r>
    <w:proofErr w:type="spellEnd"/>
    <w:r w:rsidRPr="00683E5D">
      <w:rPr>
        <w:rStyle w:val="HideTWBExt"/>
      </w:rPr>
      <w:t>&gt;</w:t>
    </w:r>
    <w:r w:rsidRPr="00683E5D">
      <w:t>758.992</w:t>
    </w:r>
    <w:r w:rsidRPr="00683E5D">
      <w:rPr>
        <w:rStyle w:val="HideTWBExt"/>
      </w:rPr>
      <w:t>&lt;/</w:t>
    </w:r>
    <w:proofErr w:type="spellStart"/>
    <w:r w:rsidRPr="00683E5D">
      <w:rPr>
        <w:rStyle w:val="HideTWBExt"/>
      </w:rPr>
      <w:t>NoPE</w:t>
    </w:r>
    <w:proofErr w:type="spellEnd"/>
    <w:r w:rsidRPr="00683E5D">
      <w:rPr>
        <w:rStyle w:val="HideTWBExt"/>
      </w:rPr>
      <w:t>&gt;&lt;Version&gt;</w:t>
    </w:r>
    <w:r w:rsidRPr="00683E5D">
      <w:t>v02-00</w:t>
    </w:r>
    <w:r w:rsidRPr="00683E5D">
      <w:rPr>
        <w:rStyle w:val="HideTWBExt"/>
      </w:rPr>
      <w:t>&lt;/</w:t>
    </w:r>
    <w:proofErr w:type="spellStart"/>
    <w:r w:rsidRPr="00683E5D">
      <w:rPr>
        <w:rStyle w:val="HideTWBExt"/>
      </w:rPr>
      <w:t>Version</w:t>
    </w:r>
    <w:proofErr w:type="spellEnd"/>
    <w:r w:rsidRPr="00683E5D">
      <w:rPr>
        <w:rStyle w:val="HideTWBExt"/>
      </w:rPr>
      <w:t>&gt;</w:t>
    </w:r>
  </w:p>
  <w:p w:rsidR="007733EE" w:rsidRPr="00683E5D" w:rsidRDefault="007733EE" w:rsidP="000C46FE">
    <w:pPr>
      <w:pStyle w:val="EPFooter2"/>
    </w:pPr>
    <w:r w:rsidRPr="00683E5D">
      <w:t>XT</w:t>
    </w:r>
    <w:r w:rsidRPr="00683E5D">
      <w:tab/>
    </w:r>
    <w:r w:rsidRPr="00683E5D">
      <w:rPr>
        <w:b w:val="0"/>
        <w:i/>
        <w:color w:val="C0C0C0"/>
        <w:sz w:val="22"/>
      </w:rPr>
      <w:t xml:space="preserve">United </w:t>
    </w:r>
    <w:proofErr w:type="spellStart"/>
    <w:r w:rsidRPr="00683E5D">
      <w:rPr>
        <w:b w:val="0"/>
        <w:i/>
        <w:color w:val="C0C0C0"/>
        <w:sz w:val="22"/>
      </w:rPr>
      <w:t>in</w:t>
    </w:r>
    <w:proofErr w:type="spellEnd"/>
    <w:r w:rsidRPr="00683E5D">
      <w:rPr>
        <w:b w:val="0"/>
        <w:i/>
        <w:color w:val="C0C0C0"/>
        <w:sz w:val="22"/>
      </w:rPr>
      <w:t xml:space="preserve"> </w:t>
    </w:r>
    <w:proofErr w:type="spellStart"/>
    <w:r w:rsidRPr="00683E5D">
      <w:rPr>
        <w:b w:val="0"/>
        <w:i/>
        <w:color w:val="C0C0C0"/>
        <w:sz w:val="22"/>
      </w:rPr>
      <w:t>diversity</w:t>
    </w:r>
    <w:proofErr w:type="spellEnd"/>
    <w:r w:rsidRPr="00683E5D">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5CC" w:rsidRPr="00683E5D" w:rsidRDefault="00B375CC">
      <w:r w:rsidRPr="00683E5D">
        <w:separator/>
      </w:r>
    </w:p>
  </w:footnote>
  <w:footnote w:type="continuationSeparator" w:id="0">
    <w:p w:rsidR="00B375CC" w:rsidRPr="00683E5D" w:rsidRDefault="00B375CC">
      <w:r w:rsidRPr="00683E5D">
        <w:continuationSeparator/>
      </w:r>
    </w:p>
  </w:footnote>
  <w:footnote w:id="1">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Priimti tekstai, P9_TA(2023)0335.</w:t>
      </w:r>
    </w:p>
  </w:footnote>
  <w:footnote w:id="2">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2024 m. vasario 27 d. pritarimas (dar nepaskelbtas Oficialiajame leidinyje).</w:t>
      </w:r>
    </w:p>
  </w:footnote>
  <w:footnote w:id="3">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2020 m. gruodžio 17 d. Tarybos reglamentas (ES, Euratomas) 2020/2093, kuriuo nustatoma 2021–2027 m. daugiametė finansinė programa (OL L 433 I, 2020 12 22, p. 11).</w:t>
      </w:r>
    </w:p>
  </w:footnote>
  <w:footnote w:id="4">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m. ... ... d. Europos Parlamento ir Tarybos reglamentas (ES) 2024/..., kuriuo nustatoma Ukrainos priemonė (OL L, …, ELI: …).</w:t>
      </w:r>
    </w:p>
  </w:footnote>
  <w:footnote w:id="5">
    <w:p w:rsidR="007733EE" w:rsidRPr="00683E5D" w:rsidRDefault="007733EE" w:rsidP="00683E5D">
      <w:pPr>
        <w:pStyle w:val="FootnoteText"/>
        <w:ind w:left="567" w:hanging="567"/>
        <w:rPr>
          <w:sz w:val="24"/>
          <w:lang w:val="lt-LT"/>
        </w:rPr>
      </w:pPr>
      <w:r w:rsidRPr="00683E5D">
        <w:rPr>
          <w:rStyle w:val="FootnoteReference"/>
          <w:sz w:val="24"/>
          <w:lang w:val="lt-LT"/>
        </w:rPr>
        <w:t>+</w:t>
      </w:r>
      <w:r w:rsidR="00683E5D" w:rsidRPr="00683E5D">
        <w:rPr>
          <w:sz w:val="24"/>
          <w:lang w:val="lt-LT"/>
        </w:rPr>
        <w:t xml:space="preserve"> </w:t>
      </w:r>
      <w:r w:rsidR="00683E5D" w:rsidRPr="00683E5D">
        <w:rPr>
          <w:sz w:val="24"/>
          <w:lang w:val="lt-LT"/>
        </w:rPr>
        <w:tab/>
      </w:r>
      <w:r w:rsidRPr="00683E5D">
        <w:rPr>
          <w:sz w:val="24"/>
          <w:lang w:val="lt-LT"/>
        </w:rPr>
        <w:t>OL: prašom tekste įrašyti reglamento, pateikiamo dokumente PE-CONS 10/24 (2023/0200(COD)), numerį ir išnašoje įrašyti to reglamento numerį, datą ir OL nuorodą.</w:t>
      </w:r>
    </w:p>
  </w:footnote>
  <w:footnote w:id="6">
    <w:p w:rsidR="007733EE" w:rsidRPr="00683E5D" w:rsidRDefault="007733EE" w:rsidP="00683E5D">
      <w:pPr>
        <w:pStyle w:val="FootnoteText"/>
        <w:ind w:left="567" w:hanging="567"/>
        <w:rPr>
          <w:sz w:val="24"/>
          <w:lang w:val="lt-LT"/>
        </w:rPr>
      </w:pPr>
      <w:r w:rsidRPr="00683E5D">
        <w:rPr>
          <w:rStyle w:val="FootnoteReference"/>
          <w:sz w:val="24"/>
          <w:lang w:val="lt-LT"/>
        </w:rPr>
        <w:t>+</w:t>
      </w:r>
      <w:r w:rsidR="00683E5D" w:rsidRPr="00683E5D">
        <w:rPr>
          <w:sz w:val="24"/>
          <w:lang w:val="lt-LT"/>
        </w:rPr>
        <w:t xml:space="preserve"> </w:t>
      </w:r>
      <w:r w:rsidR="00683E5D" w:rsidRPr="00683E5D">
        <w:rPr>
          <w:sz w:val="24"/>
          <w:lang w:val="lt-LT"/>
        </w:rPr>
        <w:tab/>
      </w:r>
      <w:r w:rsidRPr="00683E5D">
        <w:rPr>
          <w:sz w:val="24"/>
          <w:lang w:val="lt-LT"/>
        </w:rPr>
        <w:t>OL: prašom tekste įrašyti reglamento, pateikiamo dokumente PE-CONS 10/24 (2023/0200(COD)), numerį.</w:t>
      </w:r>
    </w:p>
  </w:footnote>
  <w:footnote w:id="7">
    <w:p w:rsidR="007733EE" w:rsidRPr="00683E5D" w:rsidRDefault="007733EE" w:rsidP="00683E5D">
      <w:pPr>
        <w:pStyle w:val="FootnoteText"/>
        <w:ind w:left="567" w:hanging="567"/>
        <w:rPr>
          <w:sz w:val="24"/>
          <w:lang w:val="lt-LT"/>
        </w:rPr>
      </w:pPr>
      <w:r w:rsidRPr="00683E5D">
        <w:rPr>
          <w:rStyle w:val="FootnoteReference"/>
          <w:sz w:val="24"/>
          <w:lang w:val="lt-LT"/>
        </w:rPr>
        <w:t>+</w:t>
      </w:r>
      <w:r w:rsidR="00683E5D" w:rsidRPr="00683E5D">
        <w:rPr>
          <w:sz w:val="24"/>
          <w:lang w:val="lt-LT"/>
        </w:rPr>
        <w:t xml:space="preserve"> </w:t>
      </w:r>
      <w:r w:rsidR="00683E5D" w:rsidRPr="00683E5D">
        <w:rPr>
          <w:sz w:val="24"/>
          <w:lang w:val="lt-LT"/>
        </w:rPr>
        <w:tab/>
      </w:r>
      <w:r w:rsidRPr="00683E5D">
        <w:rPr>
          <w:sz w:val="24"/>
          <w:lang w:val="lt-LT"/>
        </w:rPr>
        <w:t>OL: prašom tekste įrašyti reglamento, pateikiamo dokumente PE-CONS 10/24 (2023/0200(COD)), numerį.</w:t>
      </w:r>
    </w:p>
  </w:footnote>
  <w:footnote w:id="8">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2020 m. gruodžio 14 d. Tarybos sprendimas (ES, Euratomas) 2020/2053 dėl Europos Sąjungos nuosavų išteklių sistemos, kuriuo panaikinamas Sprendimas 2014/335/ES, Euratomas (OL L 424, 2020 12 15, p. 1).</w:t>
      </w:r>
    </w:p>
  </w:footnote>
  <w:footnote w:id="9">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2002 m. lapkričio 11 d. Tarybos reglamentas (EB) Nr. 2012/2002, įsteigiantis Europos Sąjungos solidarumo fondą (OL L 311, 2002 11 14, p. 3).</w:t>
      </w:r>
    </w:p>
  </w:footnote>
  <w:footnote w:id="10">
    <w:p w:rsidR="007733EE" w:rsidRPr="00683E5D" w:rsidRDefault="007733EE" w:rsidP="00683E5D">
      <w:pPr>
        <w:pStyle w:val="FootnoteText"/>
        <w:ind w:left="567" w:hanging="567"/>
        <w:rPr>
          <w:sz w:val="24"/>
          <w:lang w:val="lt-LT"/>
        </w:rPr>
      </w:pPr>
      <w:r w:rsidRPr="00683E5D">
        <w:rPr>
          <w:rStyle w:val="FootnoteReference"/>
          <w:sz w:val="24"/>
          <w:lang w:val="lt-LT"/>
        </w:rPr>
        <w:t>+</w:t>
      </w:r>
      <w:r w:rsidR="00683E5D" w:rsidRPr="00683E5D">
        <w:rPr>
          <w:sz w:val="24"/>
          <w:lang w:val="lt-LT"/>
        </w:rPr>
        <w:t xml:space="preserve"> </w:t>
      </w:r>
      <w:r w:rsidR="00683E5D" w:rsidRPr="00683E5D">
        <w:rPr>
          <w:sz w:val="24"/>
          <w:lang w:val="lt-LT"/>
        </w:rPr>
        <w:tab/>
      </w:r>
      <w:r w:rsidRPr="00683E5D">
        <w:rPr>
          <w:sz w:val="24"/>
          <w:lang w:val="lt-LT"/>
        </w:rPr>
        <w:t>OL: prašom tekste įrašyti reglamento, pateikiamo dokumente PE-CONS 10/24 (2023/0200(COD)), numerį ir išnašoje įrašyti to reglamento numerį, datą ir OL nuorodą.</w:t>
      </w:r>
    </w:p>
  </w:footnote>
  <w:footnote w:id="11">
    <w:p w:rsidR="007733EE" w:rsidRPr="00683E5D" w:rsidRDefault="007733EE" w:rsidP="00683E5D">
      <w:pPr>
        <w:pStyle w:val="FootnoteText"/>
        <w:ind w:left="567" w:hanging="567"/>
        <w:rPr>
          <w:sz w:val="24"/>
          <w:lang w:val="lt-LT"/>
        </w:rPr>
      </w:pPr>
      <w:r w:rsidRPr="00683E5D">
        <w:rPr>
          <w:rStyle w:val="FootnoteReference"/>
          <w:sz w:val="24"/>
          <w:lang w:val="lt-LT"/>
        </w:rPr>
        <w:t>+</w:t>
      </w:r>
      <w:r w:rsidR="00683E5D" w:rsidRPr="00683E5D">
        <w:rPr>
          <w:sz w:val="24"/>
          <w:lang w:val="lt-LT"/>
        </w:rPr>
        <w:t xml:space="preserve"> </w:t>
      </w:r>
      <w:r w:rsidR="00683E5D" w:rsidRPr="00683E5D">
        <w:rPr>
          <w:sz w:val="24"/>
          <w:lang w:val="lt-LT"/>
        </w:rPr>
        <w:tab/>
      </w:r>
      <w:r w:rsidRPr="00683E5D">
        <w:rPr>
          <w:sz w:val="24"/>
          <w:lang w:val="lt-LT"/>
        </w:rPr>
        <w:t>OL: prašom tekste įrašyti reglamento, pateikiamo dokumente PE-CONS 10/24 (2023/0200(COD)), numerį.</w:t>
      </w:r>
    </w:p>
  </w:footnote>
  <w:footnote w:id="12">
    <w:p w:rsidR="007733EE" w:rsidRPr="00683E5D" w:rsidRDefault="007733EE" w:rsidP="00683E5D">
      <w:pPr>
        <w:pStyle w:val="FootnoteText"/>
        <w:ind w:left="567" w:hanging="567"/>
        <w:rPr>
          <w:sz w:val="24"/>
          <w:lang w:val="lt-LT"/>
        </w:rPr>
      </w:pPr>
      <w:r w:rsidRPr="00683E5D">
        <w:rPr>
          <w:rStyle w:val="FootnoteReference"/>
          <w:sz w:val="24"/>
          <w:lang w:val="lt-LT"/>
        </w:rPr>
        <w:footnoteRef/>
      </w:r>
      <w:r w:rsidR="00683E5D" w:rsidRPr="00683E5D">
        <w:rPr>
          <w:sz w:val="24"/>
          <w:lang w:val="lt-LT"/>
        </w:rPr>
        <w:t xml:space="preserve"> </w:t>
      </w:r>
      <w:r w:rsidR="00683E5D" w:rsidRPr="00683E5D">
        <w:rPr>
          <w:sz w:val="24"/>
          <w:lang w:val="lt-LT"/>
        </w:rPr>
        <w:tab/>
      </w:r>
      <w:r w:rsidRPr="00683E5D">
        <w:rPr>
          <w:sz w:val="24"/>
          <w:lang w:val="lt-LT"/>
        </w:rPr>
        <w:t xml:space="preserve">Europos Parlamento, Tarybos ir Komisijos bendra deklaracija dėl panaikintų lėšų pakartotinio panaudojimo mokslinių tyrimų programoje 2020/C 444 I/03 </w:t>
      </w:r>
      <w:r w:rsidR="001F1374" w:rsidRPr="00683E5D">
        <w:rPr>
          <w:sz w:val="24"/>
          <w:lang w:val="lt-LT"/>
        </w:rPr>
        <w:t>(</w:t>
      </w:r>
      <w:r w:rsidRPr="00683E5D">
        <w:rPr>
          <w:sz w:val="24"/>
          <w:lang w:val="lt-LT"/>
        </w:rPr>
        <w:t>OL C 444</w:t>
      </w:r>
      <w:r w:rsidR="001F1374">
        <w:rPr>
          <w:sz w:val="24"/>
          <w:lang w:val="lt-LT"/>
        </w:rPr>
        <w:t xml:space="preserve"> </w:t>
      </w:r>
      <w:r w:rsidRPr="00683E5D">
        <w:rPr>
          <w:sz w:val="24"/>
          <w:lang w:val="lt-LT"/>
        </w:rPr>
        <w:t>I, 2020 12 22,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3EE" w:rsidRPr="00683E5D" w:rsidRDefault="007733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3E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LT"/>
    <w:docVar w:name="dvnumam" w:val="0"/>
    <w:docVar w:name="dvpe" w:val="758.992"/>
    <w:docVar w:name="dvrapporteur" w:val="Pranešėjai: "/>
    <w:docVar w:name="dvstar" w:val="***"/>
    <w:docVar w:name="dvtitre" w:val="Europos Parlamento teisėkūros rezoliucija dėl Tarybos reglamento, kuriuo iš dalies keičiamas Reglamentas (ES, Euratomas) 2020/2093, kuriuo nustatoma 2021–2027 m. daugiametė finansinė programa, projekto(05818/2024 – C9-0030/2024 – 2023/0201(APP))"/>
  </w:docVars>
  <w:rsids>
    <w:rsidRoot w:val="00B375CC"/>
    <w:rsid w:val="00002272"/>
    <w:rsid w:val="00064002"/>
    <w:rsid w:val="000677B9"/>
    <w:rsid w:val="000831BA"/>
    <w:rsid w:val="000A42CC"/>
    <w:rsid w:val="000E7DD9"/>
    <w:rsid w:val="0010095E"/>
    <w:rsid w:val="00125B37"/>
    <w:rsid w:val="00187494"/>
    <w:rsid w:val="001F1374"/>
    <w:rsid w:val="001F32AE"/>
    <w:rsid w:val="002767FF"/>
    <w:rsid w:val="002B18FE"/>
    <w:rsid w:val="002B5493"/>
    <w:rsid w:val="00343214"/>
    <w:rsid w:val="00361C00"/>
    <w:rsid w:val="003803E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E5D"/>
    <w:rsid w:val="006F74FA"/>
    <w:rsid w:val="00731ADD"/>
    <w:rsid w:val="00734777"/>
    <w:rsid w:val="00747932"/>
    <w:rsid w:val="00751A4A"/>
    <w:rsid w:val="00756632"/>
    <w:rsid w:val="00762C74"/>
    <w:rsid w:val="007733E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5CC"/>
    <w:rsid w:val="00B558F0"/>
    <w:rsid w:val="00BA01C4"/>
    <w:rsid w:val="00BD48FE"/>
    <w:rsid w:val="00BD7BD8"/>
    <w:rsid w:val="00BE6ADC"/>
    <w:rsid w:val="00C05BFE"/>
    <w:rsid w:val="00C23CD4"/>
    <w:rsid w:val="00C61C0C"/>
    <w:rsid w:val="00C8455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32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7026"/>
  <w15:chartTrackingRefBased/>
  <w15:docId w15:val="{2ED77D14-F5CE-495A-BCF6-E74A71D1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33E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733EE"/>
    <w:pPr>
      <w:keepNext/>
      <w:spacing w:after="480"/>
      <w:jc w:val="center"/>
    </w:pPr>
    <w:rPr>
      <w:rFonts w:ascii="Arial" w:hAnsi="Arial" w:cs="Arial"/>
      <w:b/>
    </w:rPr>
  </w:style>
  <w:style w:type="paragraph" w:customStyle="1" w:styleId="NormalBold">
    <w:name w:val="NormalBold"/>
    <w:basedOn w:val="Normal"/>
    <w:rsid w:val="007733EE"/>
    <w:rPr>
      <w:b/>
    </w:rPr>
  </w:style>
  <w:style w:type="paragraph" w:customStyle="1" w:styleId="NormalHanging12a">
    <w:name w:val="NormalHanging12a"/>
    <w:basedOn w:val="Normal"/>
    <w:rsid w:val="007733EE"/>
    <w:pPr>
      <w:spacing w:after="240"/>
      <w:ind w:left="567" w:hanging="567"/>
    </w:pPr>
  </w:style>
  <w:style w:type="paragraph" w:customStyle="1" w:styleId="EPComma">
    <w:name w:val="EPComma"/>
    <w:basedOn w:val="Normal"/>
    <w:rsid w:val="007733EE"/>
    <w:pPr>
      <w:spacing w:before="480" w:after="240"/>
    </w:pPr>
  </w:style>
  <w:style w:type="paragraph" w:styleId="Header">
    <w:name w:val="header"/>
    <w:basedOn w:val="Normal"/>
    <w:link w:val="HeaderChar"/>
    <w:rsid w:val="007733EE"/>
    <w:pPr>
      <w:tabs>
        <w:tab w:val="center" w:pos="4513"/>
        <w:tab w:val="right" w:pos="9026"/>
      </w:tabs>
    </w:pPr>
  </w:style>
  <w:style w:type="character" w:customStyle="1" w:styleId="HeaderChar">
    <w:name w:val="Header Char"/>
    <w:basedOn w:val="DefaultParagraphFont"/>
    <w:link w:val="Header"/>
    <w:rsid w:val="007733EE"/>
    <w:rPr>
      <w:sz w:val="24"/>
      <w:lang w:val="lt-LT"/>
    </w:rPr>
  </w:style>
  <w:style w:type="paragraph" w:customStyle="1" w:styleId="EPFooter">
    <w:name w:val="EPFooter"/>
    <w:basedOn w:val="Normal"/>
    <w:rsid w:val="007733EE"/>
    <w:pPr>
      <w:tabs>
        <w:tab w:val="center" w:pos="4535"/>
        <w:tab w:val="right" w:pos="9071"/>
      </w:tabs>
      <w:spacing w:before="240" w:after="240"/>
    </w:pPr>
    <w:rPr>
      <w:color w:val="010000"/>
      <w:sz w:val="22"/>
    </w:rPr>
  </w:style>
  <w:style w:type="paragraph" w:customStyle="1" w:styleId="Text1">
    <w:name w:val="Text 1"/>
    <w:basedOn w:val="Normal"/>
    <w:rsid w:val="007733EE"/>
    <w:pPr>
      <w:widowControl/>
      <w:spacing w:before="120" w:after="120" w:line="360" w:lineRule="auto"/>
      <w:ind w:left="850"/>
    </w:pPr>
    <w:rPr>
      <w:rFonts w:eastAsiaTheme="minorHAnsi"/>
      <w:szCs w:val="22"/>
      <w:lang w:eastAsia="en-US"/>
    </w:rPr>
  </w:style>
  <w:style w:type="paragraph" w:customStyle="1" w:styleId="Text2">
    <w:name w:val="Text 2"/>
    <w:basedOn w:val="Normal"/>
    <w:rsid w:val="007733EE"/>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7733EE"/>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7733EE"/>
    <w:pPr>
      <w:widowControl/>
      <w:spacing w:before="120" w:after="120" w:line="360" w:lineRule="auto"/>
      <w:jc w:val="right"/>
    </w:pPr>
    <w:rPr>
      <w:rFonts w:eastAsiaTheme="minorHAnsi"/>
      <w:szCs w:val="22"/>
      <w:lang w:eastAsia="en-US"/>
    </w:rPr>
  </w:style>
  <w:style w:type="paragraph" w:customStyle="1" w:styleId="Point0">
    <w:name w:val="Point 0"/>
    <w:basedOn w:val="Normal"/>
    <w:rsid w:val="007733EE"/>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7733EE"/>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7733EE"/>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7733EE"/>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7733EE"/>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7733EE"/>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7733EE"/>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7733EE"/>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7733EE"/>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7733EE"/>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7733EE"/>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7733EE"/>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7733EE"/>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7733EE"/>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7733EE"/>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7733EE"/>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7733EE"/>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7733EE"/>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7733EE"/>
    <w:pPr>
      <w:widowControl/>
      <w:spacing w:before="100" w:beforeAutospacing="1" w:after="100" w:afterAutospacing="1"/>
    </w:pPr>
    <w:rPr>
      <w:szCs w:val="24"/>
      <w:lang w:eastAsia="en-IE"/>
    </w:rPr>
  </w:style>
  <w:style w:type="paragraph" w:styleId="Footer">
    <w:name w:val="footer"/>
    <w:basedOn w:val="Normal"/>
    <w:link w:val="FooterChar"/>
    <w:rsid w:val="001F1374"/>
    <w:pPr>
      <w:tabs>
        <w:tab w:val="center" w:pos="4513"/>
        <w:tab w:val="right" w:pos="9026"/>
      </w:tabs>
    </w:pPr>
  </w:style>
  <w:style w:type="character" w:customStyle="1" w:styleId="FooterChar">
    <w:name w:val="Footer Char"/>
    <w:basedOn w:val="DefaultParagraphFont"/>
    <w:link w:val="Footer"/>
    <w:rsid w:val="001F1374"/>
    <w:rPr>
      <w:sz w:val="24"/>
      <w:lang w:val="lt-LT"/>
    </w:rPr>
  </w:style>
  <w:style w:type="paragraph" w:styleId="BalloonText">
    <w:name w:val="Balloon Text"/>
    <w:basedOn w:val="Normal"/>
    <w:link w:val="BalloonTextChar"/>
    <w:rsid w:val="001F1374"/>
    <w:rPr>
      <w:rFonts w:ascii="Segoe UI" w:hAnsi="Segoe UI" w:cs="Segoe UI"/>
      <w:sz w:val="18"/>
      <w:szCs w:val="18"/>
    </w:rPr>
  </w:style>
  <w:style w:type="character" w:customStyle="1" w:styleId="BalloonTextChar">
    <w:name w:val="Balloon Text Char"/>
    <w:basedOn w:val="DefaultParagraphFont"/>
    <w:link w:val="BalloonText"/>
    <w:rsid w:val="001F137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450F6-C0C1-40AA-9B86-9307BA85C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3511</Words>
  <Characters>22377</Characters>
  <Application>Microsoft Office Word</Application>
  <DocSecurity>0</DocSecurity>
  <Lines>186</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2024-05-30T14:47:00Z</dcterms:created>
  <dcterms:modified xsi:type="dcterms:W3CDTF">2024-05-30T14:47:00Z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P9_TA(2024)0081_</vt:lpwstr>
  </property>
  <property fmtid="{D5CDD505-2E9C-101B-9397-08002B2CF9AE}" pid="4" name="&lt;Type&gt;">
    <vt:lpwstr>RR</vt:lpwstr>
  </property>
</Properties>
</file>