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24E5" w:rsidTr="0010095E">
        <w:trPr>
          <w:trHeight w:hRule="exact" w:val="1418"/>
        </w:trPr>
        <w:tc>
          <w:tcPr>
            <w:tcW w:w="6804" w:type="dxa"/>
            <w:shd w:val="clear" w:color="auto" w:fill="auto"/>
            <w:vAlign w:val="center"/>
          </w:tcPr>
          <w:p w:rsidR="00751A4A" w:rsidRPr="00DF24E5" w:rsidRDefault="00224185" w:rsidP="0010095E">
            <w:pPr>
              <w:pStyle w:val="EPName"/>
            </w:pPr>
            <w:r w:rsidRPr="00DF24E5">
              <w:t>Eiropas Parlaments</w:t>
            </w:r>
          </w:p>
          <w:p w:rsidR="00751A4A" w:rsidRPr="00DF24E5" w:rsidRDefault="00817416" w:rsidP="00756632">
            <w:pPr>
              <w:pStyle w:val="EPTerm"/>
              <w:rPr>
                <w:rStyle w:val="HideTWBExt"/>
                <w:noProof w:val="0"/>
                <w:vanish w:val="0"/>
                <w:color w:val="auto"/>
              </w:rPr>
            </w:pPr>
            <w:r w:rsidRPr="00DF24E5">
              <w:t>2019-2024</w:t>
            </w:r>
          </w:p>
        </w:tc>
        <w:tc>
          <w:tcPr>
            <w:tcW w:w="2268" w:type="dxa"/>
            <w:shd w:val="clear" w:color="auto" w:fill="auto"/>
          </w:tcPr>
          <w:p w:rsidR="00751A4A" w:rsidRPr="00DF24E5" w:rsidRDefault="00187494" w:rsidP="0010095E">
            <w:pPr>
              <w:pStyle w:val="EPLogo"/>
            </w:pPr>
            <w:r w:rsidRPr="00DF24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F24E5" w:rsidRDefault="00D058B8" w:rsidP="004C5D52">
      <w:pPr>
        <w:pStyle w:val="LineTop"/>
      </w:pPr>
    </w:p>
    <w:p w:rsidR="00680577" w:rsidRPr="00DF24E5" w:rsidRDefault="00224185" w:rsidP="00680577">
      <w:pPr>
        <w:pStyle w:val="EPBodyTA1"/>
      </w:pPr>
      <w:r w:rsidRPr="00DF24E5">
        <w:t>PIEŅEMTIE TEKSTI</w:t>
      </w:r>
    </w:p>
    <w:p w:rsidR="00D058B8" w:rsidRPr="00DF24E5" w:rsidRDefault="00D058B8" w:rsidP="00D058B8">
      <w:pPr>
        <w:pStyle w:val="LineBottom"/>
      </w:pPr>
    </w:p>
    <w:p w:rsidR="00224185" w:rsidRPr="00DF24E5" w:rsidRDefault="00224185" w:rsidP="00224185">
      <w:pPr>
        <w:pStyle w:val="ATHeading1"/>
      </w:pPr>
      <w:bookmarkStart w:id="0" w:name="TANumber"/>
      <w:r w:rsidRPr="00DF24E5">
        <w:t>P9_TA(2024)00</w:t>
      </w:r>
      <w:r w:rsidR="00DF24E5" w:rsidRPr="00DF24E5">
        <w:t>81</w:t>
      </w:r>
      <w:bookmarkEnd w:id="0"/>
    </w:p>
    <w:p w:rsidR="00224185" w:rsidRPr="00DF24E5" w:rsidRDefault="00947364" w:rsidP="00224185">
      <w:pPr>
        <w:pStyle w:val="ATHeading2"/>
      </w:pPr>
      <w:r w:rsidRPr="00DF24E5">
        <w:t>Daudzgadu finanšu shēma 2021.–2027.</w:t>
      </w:r>
      <w:bookmarkStart w:id="1" w:name="_GoBack"/>
      <w:bookmarkEnd w:id="1"/>
      <w:r w:rsidRPr="00DF24E5">
        <w:t xml:space="preserve"> gadam</w:t>
      </w:r>
    </w:p>
    <w:p w:rsidR="00224185" w:rsidRPr="00DF24E5" w:rsidRDefault="00224185" w:rsidP="00224185">
      <w:pPr>
        <w:rPr>
          <w:i/>
          <w:vanish/>
        </w:rPr>
      </w:pPr>
      <w:r w:rsidRPr="00DF24E5">
        <w:rPr>
          <w:i/>
        </w:rPr>
        <w:fldChar w:fldCharType="begin"/>
      </w:r>
      <w:r w:rsidRPr="00DF24E5">
        <w:rPr>
          <w:i/>
        </w:rPr>
        <w:instrText xml:space="preserve"> TC"(</w:instrText>
      </w:r>
      <w:bookmarkStart w:id="2" w:name="DocNumber"/>
      <w:r w:rsidRPr="00DF24E5">
        <w:rPr>
          <w:i/>
        </w:rPr>
        <w:instrText>A9-0051/2024</w:instrText>
      </w:r>
      <w:bookmarkEnd w:id="2"/>
      <w:r w:rsidRPr="00DF24E5">
        <w:rPr>
          <w:i/>
        </w:rPr>
        <w:instrText xml:space="preserve"> - </w:instrText>
      </w:r>
      <w:proofErr w:type="spellStart"/>
      <w:r w:rsidR="00947364" w:rsidRPr="00DF24E5">
        <w:rPr>
          <w:i/>
        </w:rPr>
        <w:instrText>Līdzr</w:instrText>
      </w:r>
      <w:r w:rsidRPr="00DF24E5">
        <w:rPr>
          <w:i/>
        </w:rPr>
        <w:instrText>eferenti</w:instrText>
      </w:r>
      <w:proofErr w:type="spellEnd"/>
      <w:r w:rsidRPr="00DF24E5">
        <w:rPr>
          <w:i/>
        </w:rPr>
        <w:instrText xml:space="preserve">: Jan </w:instrText>
      </w:r>
      <w:proofErr w:type="spellStart"/>
      <w:r w:rsidRPr="00DF24E5">
        <w:rPr>
          <w:i/>
        </w:rPr>
        <w:instrText>Olbrycht</w:instrText>
      </w:r>
      <w:proofErr w:type="spellEnd"/>
      <w:r w:rsidRPr="00DF24E5">
        <w:rPr>
          <w:i/>
        </w:rPr>
        <w:instrText xml:space="preserve">, </w:instrText>
      </w:r>
      <w:proofErr w:type="spellStart"/>
      <w:r w:rsidRPr="00DF24E5">
        <w:rPr>
          <w:i/>
        </w:rPr>
        <w:instrText>Margarida</w:instrText>
      </w:r>
      <w:proofErr w:type="spellEnd"/>
      <w:r w:rsidRPr="00DF24E5">
        <w:rPr>
          <w:i/>
        </w:rPr>
        <w:instrText xml:space="preserve"> </w:instrText>
      </w:r>
      <w:proofErr w:type="spellStart"/>
      <w:r w:rsidRPr="00DF24E5">
        <w:rPr>
          <w:i/>
        </w:rPr>
        <w:instrText>Marques</w:instrText>
      </w:r>
      <w:proofErr w:type="spellEnd"/>
      <w:r w:rsidRPr="00DF24E5">
        <w:rPr>
          <w:i/>
        </w:rPr>
        <w:instrText xml:space="preserve">)"\l3 \n&gt; \* MERGEFORMAT </w:instrText>
      </w:r>
      <w:r w:rsidRPr="00DF24E5">
        <w:rPr>
          <w:i/>
        </w:rPr>
        <w:fldChar w:fldCharType="end"/>
      </w:r>
    </w:p>
    <w:p w:rsidR="00224185" w:rsidRPr="00DF24E5" w:rsidRDefault="00224185" w:rsidP="00224185">
      <w:pPr>
        <w:rPr>
          <w:vanish/>
        </w:rPr>
      </w:pPr>
      <w:bookmarkStart w:id="3" w:name="Commission"/>
      <w:r w:rsidRPr="00DF24E5">
        <w:rPr>
          <w:vanish/>
        </w:rPr>
        <w:t>Budžeta komiteja</w:t>
      </w:r>
      <w:bookmarkEnd w:id="3"/>
    </w:p>
    <w:p w:rsidR="00224185" w:rsidRPr="00DF24E5" w:rsidRDefault="00224185" w:rsidP="00224185">
      <w:pPr>
        <w:rPr>
          <w:vanish/>
        </w:rPr>
      </w:pPr>
      <w:bookmarkStart w:id="4" w:name="PE"/>
      <w:r w:rsidRPr="00DF24E5">
        <w:rPr>
          <w:vanish/>
        </w:rPr>
        <w:t>PE758.992</w:t>
      </w:r>
      <w:bookmarkEnd w:id="4"/>
    </w:p>
    <w:p w:rsidR="00211648" w:rsidRPr="00DF24E5" w:rsidRDefault="00224185" w:rsidP="00947364">
      <w:pPr>
        <w:pStyle w:val="ATHeading3"/>
      </w:pPr>
      <w:bookmarkStart w:id="5" w:name="Sujet"/>
      <w:r w:rsidRPr="00DF24E5">
        <w:t xml:space="preserve">Eiropas Parlamenta 2024. gada </w:t>
      </w:r>
      <w:r w:rsidR="00947364" w:rsidRPr="00DF24E5">
        <w:t>27</w:t>
      </w:r>
      <w:r w:rsidRPr="00DF24E5">
        <w:t>.</w:t>
      </w:r>
      <w:r w:rsidR="00947364" w:rsidRPr="00DF24E5">
        <w:t xml:space="preserve"> februāra</w:t>
      </w:r>
      <w:r w:rsidRPr="00DF24E5">
        <w:t xml:space="preserve"> normatīvā rezolūcija par projektu Padomes regulai, ar kuru groza Regulu (ES, </w:t>
      </w:r>
      <w:r w:rsidRPr="00DF24E5">
        <w:rPr>
          <w:i/>
        </w:rPr>
        <w:t>Euratom</w:t>
      </w:r>
      <w:r w:rsidRPr="00DF24E5">
        <w:t>) 2020/2093, ar ko nosaka daudzgadu finanšu shēmu 2021.–2027. gadam</w:t>
      </w:r>
      <w:bookmarkEnd w:id="5"/>
      <w:r w:rsidRPr="00DF24E5">
        <w:t xml:space="preserve"> </w:t>
      </w:r>
      <w:bookmarkStart w:id="6" w:name="References"/>
      <w:r w:rsidRPr="00DF24E5">
        <w:t>(05818/2024 – C9-0030/2024 – 2023/0201</w:t>
      </w:r>
      <w:r w:rsidR="00215A38" w:rsidRPr="00DF24E5">
        <w:t>(APP</w:t>
      </w:r>
      <w:r w:rsidRPr="00DF24E5">
        <w:t>))</w:t>
      </w:r>
      <w:bookmarkStart w:id="7" w:name="TextBodyBegin"/>
      <w:bookmarkEnd w:id="6"/>
      <w:bookmarkEnd w:id="7"/>
    </w:p>
    <w:p w:rsidR="00215A38" w:rsidRPr="00DF24E5" w:rsidRDefault="00211648" w:rsidP="00211648">
      <w:pPr>
        <w:pStyle w:val="NormalBold"/>
      </w:pPr>
      <w:r w:rsidRPr="00DF24E5">
        <w:t>(Īpašā likumdošanas procedūra — piekrišana)</w:t>
      </w:r>
    </w:p>
    <w:p w:rsidR="00211648" w:rsidRPr="00DF24E5" w:rsidRDefault="00211648" w:rsidP="00211648">
      <w:pPr>
        <w:pStyle w:val="EPComma"/>
      </w:pPr>
      <w:r w:rsidRPr="00DF24E5">
        <w:rPr>
          <w:i/>
        </w:rPr>
        <w:t>Eiropas Parlaments</w:t>
      </w:r>
      <w:r w:rsidRPr="00DF24E5">
        <w:t>,</w:t>
      </w:r>
    </w:p>
    <w:p w:rsidR="00211648" w:rsidRPr="00DF24E5" w:rsidRDefault="00211648" w:rsidP="00211648">
      <w:pPr>
        <w:pStyle w:val="NormalHanging12a"/>
      </w:pPr>
      <w:r w:rsidRPr="00DF24E5">
        <w:t>–</w:t>
      </w:r>
      <w:r w:rsidRPr="00DF24E5">
        <w:tab/>
        <w:t xml:space="preserve">ņemot vērā projektu Padomes regulai, ar kuru groza Regulu (ES, </w:t>
      </w:r>
      <w:r w:rsidRPr="00DF24E5">
        <w:rPr>
          <w:i/>
          <w:iCs/>
        </w:rPr>
        <w:t>Euratom</w:t>
      </w:r>
      <w:r w:rsidRPr="00DF24E5">
        <w:t>) 2020/2093, ar ko nosaka daudzgadu finanšu shēmu 2021.–2027. gadam (05818/2024),</w:t>
      </w:r>
    </w:p>
    <w:p w:rsidR="00211648" w:rsidRPr="00DF24E5" w:rsidRDefault="00211648" w:rsidP="00211648">
      <w:pPr>
        <w:pStyle w:val="NormalHanging12a"/>
      </w:pPr>
      <w:r w:rsidRPr="00DF24E5">
        <w:t>–</w:t>
      </w:r>
      <w:r w:rsidRPr="00DF24E5">
        <w:tab/>
        <w:t>ņemot vērā piekrišanas pieprasījumu, ko Padome iesniegusi saskaņā ar Līguma par Eiropas Savienības darbību 312. panta 2. punktu (C9-0030/2024),</w:t>
      </w:r>
    </w:p>
    <w:p w:rsidR="00211648" w:rsidRPr="00DF24E5" w:rsidRDefault="00211648" w:rsidP="00211648">
      <w:pPr>
        <w:pStyle w:val="NormalHanging12a"/>
      </w:pPr>
      <w:r w:rsidRPr="00DF24E5">
        <w:t>–</w:t>
      </w:r>
      <w:r w:rsidRPr="00DF24E5">
        <w:tab/>
        <w:t xml:space="preserve">ņemot vērā Komisijas 2023. gada 20. jūnija priekšlikumu Padomes regulai, ar kuru groza Regulu (ES, </w:t>
      </w:r>
      <w:r w:rsidRPr="00DF24E5">
        <w:rPr>
          <w:i/>
          <w:iCs/>
        </w:rPr>
        <w:t>Euratom</w:t>
      </w:r>
      <w:r w:rsidRPr="00DF24E5">
        <w:t>) 2020/2093, ar ko nosaka daudzgadu finanšu shēmu 2021.–2027. gadam (COM(2023)0337),</w:t>
      </w:r>
    </w:p>
    <w:p w:rsidR="00211648" w:rsidRPr="00DF24E5" w:rsidRDefault="00211648" w:rsidP="00211648">
      <w:pPr>
        <w:pStyle w:val="NormalHanging12a"/>
        <w:rPr>
          <w:snapToGrid w:val="0"/>
          <w:szCs w:val="24"/>
        </w:rPr>
      </w:pPr>
      <w:r w:rsidRPr="00DF24E5">
        <w:t>–</w:t>
      </w:r>
      <w:r w:rsidRPr="00DF24E5">
        <w:tab/>
      </w:r>
      <w:r w:rsidRPr="00DF24E5">
        <w:rPr>
          <w:snapToGrid w:val="0"/>
        </w:rPr>
        <w:t xml:space="preserve">ņemot vērā 2023. gada 3. oktobra rezolūciju par 2021. gada priekšlikumu par daudzgadu finanšu shēmas 2021.¬2027. gadam </w:t>
      </w:r>
      <w:proofErr w:type="spellStart"/>
      <w:r w:rsidRPr="00DF24E5">
        <w:rPr>
          <w:snapToGrid w:val="0"/>
        </w:rPr>
        <w:t>vidusposma</w:t>
      </w:r>
      <w:proofErr w:type="spellEnd"/>
      <w:r w:rsidRPr="00DF24E5">
        <w:rPr>
          <w:snapToGrid w:val="0"/>
        </w:rPr>
        <w:t xml:space="preserve"> pārskatīšanu</w:t>
      </w:r>
      <w:r w:rsidRPr="00DF24E5">
        <w:rPr>
          <w:snapToGrid w:val="0"/>
          <w:szCs w:val="24"/>
          <w:vertAlign w:val="superscript"/>
        </w:rPr>
        <w:footnoteReference w:id="1"/>
      </w:r>
      <w:r w:rsidRPr="00DF24E5">
        <w:rPr>
          <w:snapToGrid w:val="0"/>
        </w:rPr>
        <w:t>,</w:t>
      </w:r>
    </w:p>
    <w:p w:rsidR="00211648" w:rsidRPr="00DF24E5" w:rsidRDefault="00211648" w:rsidP="00211648">
      <w:pPr>
        <w:pStyle w:val="NormalHanging12a"/>
      </w:pPr>
      <w:r w:rsidRPr="00DF24E5">
        <w:t>–</w:t>
      </w:r>
      <w:r w:rsidRPr="00DF24E5">
        <w:tab/>
        <w:t>ņemot vērā Reglamenta 92. pantu un 105. panta 1. un 4. punktu,</w:t>
      </w:r>
    </w:p>
    <w:p w:rsidR="00211648" w:rsidRPr="00DF24E5" w:rsidRDefault="00211648" w:rsidP="00211648">
      <w:pPr>
        <w:pStyle w:val="NormalHanging12a"/>
      </w:pPr>
      <w:r w:rsidRPr="00DF24E5">
        <w:t>–</w:t>
      </w:r>
      <w:r w:rsidRPr="00DF24E5">
        <w:tab/>
        <w:t>ņemot vērā Budžeta komitejas ieteikumu (A9-0051/2024),</w:t>
      </w:r>
    </w:p>
    <w:p w:rsidR="00211648" w:rsidRPr="00DF24E5" w:rsidRDefault="00211648" w:rsidP="00211648">
      <w:pPr>
        <w:pStyle w:val="NormalHanging12a"/>
      </w:pPr>
      <w:r w:rsidRPr="00DF24E5">
        <w:t>1.</w:t>
      </w:r>
      <w:r w:rsidRPr="00DF24E5">
        <w:tab/>
        <w:t>sniedz piekrišanu Padomes regulas projektam, kas izklāstīts šīs rezolūcijas pielikumā;</w:t>
      </w:r>
    </w:p>
    <w:p w:rsidR="00211648" w:rsidRPr="00DF24E5" w:rsidRDefault="00211648" w:rsidP="00211648">
      <w:pPr>
        <w:pStyle w:val="NormalHanging12a"/>
      </w:pPr>
      <w:r w:rsidRPr="00DF24E5">
        <w:t>2.</w:t>
      </w:r>
      <w:r w:rsidRPr="00DF24E5">
        <w:tab/>
        <w:t>apstiprina Parlamenta, Padomes un Komisijas kopīgo paziņojumu, kas pievienots šai rezolūcijai;</w:t>
      </w:r>
    </w:p>
    <w:p w:rsidR="00211648" w:rsidRPr="00DF24E5" w:rsidRDefault="00211648" w:rsidP="00215A38">
      <w:pPr>
        <w:pStyle w:val="NormalHanging12a"/>
      </w:pPr>
      <w:r w:rsidRPr="00DF24E5">
        <w:t>3.</w:t>
      </w:r>
      <w:r w:rsidRPr="00DF24E5">
        <w:tab/>
        <w:t>uzdod priekšsēdētājai Parlamenta nostāju nosūtīt Padomei un Komisijai, kā arī dalībvalstu parlamentiem.</w:t>
      </w:r>
    </w:p>
    <w:p w:rsidR="00215A38" w:rsidRPr="00DF24E5" w:rsidRDefault="00215A38" w:rsidP="00947364">
      <w:pPr>
        <w:pStyle w:val="PageHeading"/>
        <w:sectPr w:rsidR="00215A38" w:rsidRPr="00DF24E5" w:rsidSect="00C27FFB">
          <w:footerReference w:type="even" r:id="rId9"/>
          <w:footerReference w:type="default" r:id="rId10"/>
          <w:pgSz w:w="11907" w:h="16839"/>
          <w:pgMar w:top="1134" w:right="1134" w:bottom="1134" w:left="1134" w:header="567" w:footer="567" w:gutter="0"/>
          <w:cols w:space="720"/>
          <w:titlePg/>
        </w:sectPr>
      </w:pPr>
      <w:bookmarkStart w:id="8" w:name="TextBodyEnd"/>
      <w:bookmarkEnd w:id="8"/>
    </w:p>
    <w:p w:rsidR="00947364" w:rsidRPr="00DF24E5" w:rsidRDefault="00947364" w:rsidP="00947364">
      <w:pPr>
        <w:pStyle w:val="PageHeading"/>
        <w:rPr>
          <w:caps/>
        </w:rPr>
      </w:pPr>
      <w:bookmarkStart w:id="9" w:name="_Toc159509473"/>
      <w:bookmarkStart w:id="10" w:name="_Toc159528344"/>
      <w:r w:rsidRPr="00DF24E5">
        <w:rPr>
          <w:caps/>
        </w:rPr>
        <w:lastRenderedPageBreak/>
        <w:t>1. PIELIKUMS. PROJEKTS – PADOMES REGULA, ar kuru groza Regulu </w:t>
      </w:r>
      <w:r w:rsidR="002C2A5F">
        <w:rPr>
          <w:caps/>
        </w:rPr>
        <w:t xml:space="preserve">(ES, EUratom) </w:t>
      </w:r>
      <w:r w:rsidRPr="00DF24E5">
        <w:rPr>
          <w:caps/>
        </w:rPr>
        <w:t>2020/2093, ar ko nosaka daudzgadu finanšu shēmu 2021.–2027. gadam</w:t>
      </w:r>
      <w:bookmarkEnd w:id="9"/>
      <w:bookmarkEnd w:id="10"/>
    </w:p>
    <w:p w:rsidR="00947364" w:rsidRPr="00DF24E5" w:rsidRDefault="00947364" w:rsidP="00947364">
      <w:pPr>
        <w:spacing w:after="240"/>
        <w:jc w:val="center"/>
        <w:rPr>
          <w:caps/>
        </w:rPr>
      </w:pPr>
    </w:p>
    <w:p w:rsidR="00947364" w:rsidRPr="00DF24E5" w:rsidRDefault="00947364" w:rsidP="00947364">
      <w:pPr>
        <w:widowControl/>
        <w:spacing w:before="360" w:line="360" w:lineRule="auto"/>
        <w:jc w:val="center"/>
        <w:rPr>
          <w:rFonts w:eastAsiaTheme="minorHAnsi"/>
          <w:b/>
          <w:szCs w:val="22"/>
          <w:lang w:eastAsia="en-US"/>
        </w:rPr>
      </w:pPr>
      <w:r w:rsidRPr="00DF24E5">
        <w:rPr>
          <w:rFonts w:eastAsiaTheme="minorHAnsi"/>
          <w:b/>
          <w:szCs w:val="22"/>
          <w:lang w:eastAsia="en-US"/>
        </w:rPr>
        <w:t xml:space="preserve">PADOMES REGULA (ES, </w:t>
      </w:r>
      <w:r w:rsidRPr="00DF24E5">
        <w:rPr>
          <w:rFonts w:eastAsiaTheme="minorHAnsi"/>
          <w:b/>
          <w:i/>
          <w:szCs w:val="22"/>
          <w:lang w:eastAsia="en-US"/>
        </w:rPr>
        <w:t>Euratom</w:t>
      </w:r>
      <w:r w:rsidRPr="00DF24E5">
        <w:rPr>
          <w:rFonts w:eastAsiaTheme="minorHAnsi"/>
          <w:b/>
          <w:szCs w:val="22"/>
          <w:lang w:eastAsia="en-US"/>
        </w:rPr>
        <w:t>) 2024/…</w:t>
      </w:r>
    </w:p>
    <w:p w:rsidR="00947364" w:rsidRPr="00DF24E5" w:rsidRDefault="00947364" w:rsidP="00947364">
      <w:pPr>
        <w:widowControl/>
        <w:spacing w:before="360" w:line="360" w:lineRule="auto"/>
        <w:jc w:val="center"/>
        <w:rPr>
          <w:rFonts w:eastAsiaTheme="minorHAnsi"/>
          <w:b/>
          <w:szCs w:val="22"/>
          <w:lang w:eastAsia="en-US"/>
        </w:rPr>
      </w:pPr>
      <w:r w:rsidRPr="00DF24E5">
        <w:rPr>
          <w:rFonts w:eastAsiaTheme="minorHAnsi"/>
          <w:b/>
          <w:szCs w:val="22"/>
          <w:lang w:eastAsia="en-US"/>
        </w:rPr>
        <w:t>(... gada ...),</w:t>
      </w:r>
    </w:p>
    <w:p w:rsidR="00947364" w:rsidRPr="00DF24E5" w:rsidRDefault="00947364" w:rsidP="00947364">
      <w:pPr>
        <w:widowControl/>
        <w:spacing w:before="360" w:after="360" w:line="360" w:lineRule="auto"/>
        <w:jc w:val="center"/>
        <w:rPr>
          <w:rFonts w:eastAsiaTheme="minorHAnsi"/>
          <w:b/>
          <w:szCs w:val="22"/>
          <w:lang w:eastAsia="en-US"/>
        </w:rPr>
      </w:pPr>
      <w:r w:rsidRPr="00DF24E5">
        <w:rPr>
          <w:rFonts w:eastAsiaTheme="minorHAnsi"/>
          <w:b/>
          <w:szCs w:val="22"/>
          <w:lang w:eastAsia="en-US"/>
        </w:rPr>
        <w:t xml:space="preserve">ar kuru groza Regulu (ES, </w:t>
      </w:r>
      <w:r w:rsidRPr="00DF24E5">
        <w:rPr>
          <w:rFonts w:eastAsiaTheme="minorHAnsi"/>
          <w:b/>
          <w:i/>
          <w:szCs w:val="22"/>
          <w:lang w:eastAsia="en-US"/>
        </w:rPr>
        <w:t>Euratom</w:t>
      </w:r>
      <w:r w:rsidRPr="00DF24E5">
        <w:rPr>
          <w:rFonts w:eastAsiaTheme="minorHAnsi"/>
          <w:b/>
          <w:szCs w:val="22"/>
          <w:lang w:eastAsia="en-US"/>
        </w:rPr>
        <w:t>) 2020/2093, ar ko nosaka daudzgadu finanšu shēmu 2021.–2027. gadam</w:t>
      </w:r>
    </w:p>
    <w:p w:rsidR="00947364" w:rsidRPr="00DF24E5" w:rsidRDefault="00947364" w:rsidP="00947364">
      <w:pPr>
        <w:keepNext/>
        <w:widowControl/>
        <w:spacing w:before="600" w:after="120" w:line="360" w:lineRule="auto"/>
        <w:rPr>
          <w:rFonts w:eastAsiaTheme="minorHAnsi"/>
          <w:szCs w:val="22"/>
          <w:lang w:eastAsia="en-US"/>
        </w:rPr>
      </w:pPr>
      <w:r w:rsidRPr="00DF24E5">
        <w:rPr>
          <w:rFonts w:eastAsiaTheme="minorHAnsi"/>
          <w:szCs w:val="22"/>
          <w:lang w:eastAsia="en-US"/>
        </w:rPr>
        <w:t>EIROPAS SAVIENĪBAS PADOME,</w:t>
      </w:r>
    </w:p>
    <w:p w:rsidR="00947364" w:rsidRPr="00DF24E5" w:rsidRDefault="00947364" w:rsidP="00947364">
      <w:pPr>
        <w:spacing w:line="360" w:lineRule="auto"/>
      </w:pPr>
      <w:r w:rsidRPr="00DF24E5">
        <w:t>ņemot vērā Līgumu par Eiropas Savienības darbību un jo īpaši tā 312. pantu,</w:t>
      </w:r>
    </w:p>
    <w:p w:rsidR="00947364" w:rsidRPr="00DF24E5" w:rsidRDefault="00947364" w:rsidP="00947364">
      <w:pPr>
        <w:spacing w:line="360" w:lineRule="auto"/>
      </w:pPr>
      <w:r w:rsidRPr="00DF24E5">
        <w:t>ņemot vērā Eiropas Atomenerģijas kopienas dibināšanas līgumu un jo īpaši tā 106.a pantu,</w:t>
      </w:r>
    </w:p>
    <w:p w:rsidR="00947364" w:rsidRPr="00DF24E5" w:rsidRDefault="00947364" w:rsidP="00947364">
      <w:pPr>
        <w:spacing w:line="360" w:lineRule="auto"/>
      </w:pPr>
      <w:r w:rsidRPr="00DF24E5">
        <w:t>ņemot vērā Eiropas Komisijas priekšlikumu,</w:t>
      </w:r>
    </w:p>
    <w:p w:rsidR="00947364" w:rsidRPr="00DF24E5" w:rsidRDefault="00947364" w:rsidP="00947364">
      <w:pPr>
        <w:spacing w:line="360" w:lineRule="auto"/>
      </w:pPr>
      <w:r w:rsidRPr="00DF24E5">
        <w:t>ņemot vērā Eiropas Parlamenta piekrišanu</w:t>
      </w:r>
      <w:r w:rsidRPr="00DF24E5">
        <w:rPr>
          <w:vertAlign w:val="superscript"/>
        </w:rPr>
        <w:footnoteReference w:id="2"/>
      </w:r>
      <w:r w:rsidRPr="00DF24E5">
        <w:t>,</w:t>
      </w:r>
    </w:p>
    <w:p w:rsidR="00947364" w:rsidRPr="00DF24E5" w:rsidRDefault="00947364" w:rsidP="00947364">
      <w:pPr>
        <w:spacing w:line="360" w:lineRule="auto"/>
      </w:pPr>
      <w:r w:rsidRPr="00DF24E5">
        <w:t>pēc leģislatīvā akta projekta nosūtīšanas valstu parlamentiem,</w:t>
      </w:r>
    </w:p>
    <w:p w:rsidR="00947364" w:rsidRPr="00DF24E5" w:rsidRDefault="00947364" w:rsidP="00947364">
      <w:pPr>
        <w:spacing w:after="240" w:line="360" w:lineRule="auto"/>
      </w:pPr>
      <w:r w:rsidRPr="00DF24E5">
        <w:t>saskaņā ar īpašu likumdošanas procedūru,</w:t>
      </w:r>
    </w:p>
    <w:p w:rsidR="00947364" w:rsidRPr="00DF24E5" w:rsidRDefault="00947364" w:rsidP="00947364">
      <w:r w:rsidRPr="00DF24E5">
        <w:br w:type="page"/>
      </w:r>
      <w:r w:rsidRPr="00DF24E5">
        <w:lastRenderedPageBreak/>
        <w:t>tā kā:</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(1)</w:t>
      </w:r>
      <w:r w:rsidRPr="00DF24E5">
        <w:rPr>
          <w:rFonts w:eastAsiaTheme="minorHAnsi"/>
          <w:szCs w:val="22"/>
          <w:lang w:eastAsia="en-US"/>
        </w:rPr>
        <w:tab/>
        <w:t xml:space="preserve">Komisija ir iesniegusi ar Padomes Regulu (ES, </w:t>
      </w:r>
      <w:r w:rsidRPr="00DF24E5">
        <w:rPr>
          <w:rFonts w:eastAsiaTheme="minorHAnsi"/>
          <w:i/>
          <w:szCs w:val="22"/>
          <w:lang w:eastAsia="en-US"/>
        </w:rPr>
        <w:t>Euratom</w:t>
      </w:r>
      <w:r w:rsidRPr="00DF24E5">
        <w:rPr>
          <w:rFonts w:eastAsiaTheme="minorHAnsi"/>
          <w:szCs w:val="22"/>
          <w:lang w:eastAsia="en-US"/>
        </w:rPr>
        <w:t>) 2020/2093</w:t>
      </w:r>
      <w:r w:rsidRPr="00DF24E5">
        <w:rPr>
          <w:rFonts w:eastAsiaTheme="minorHAnsi"/>
          <w:szCs w:val="22"/>
          <w:vertAlign w:val="superscript"/>
          <w:lang w:eastAsia="en-US"/>
        </w:rPr>
        <w:footnoteReference w:id="3"/>
      </w:r>
      <w:r w:rsidRPr="00DF24E5">
        <w:rPr>
          <w:rFonts w:eastAsiaTheme="minorHAnsi"/>
          <w:szCs w:val="22"/>
          <w:lang w:eastAsia="en-US"/>
        </w:rPr>
        <w:t xml:space="preserve"> noteiktās daudzgadu finanšu shēmas (DFS) 2021.–2027. gadam darbības pārskatu pēc tās pirmajiem īstenošanas gadiem, tai skaitā izdevumu maksimālo apjomu ilgtspējas novērtējumu.</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(2)</w:t>
      </w:r>
      <w:r w:rsidRPr="00DF24E5">
        <w:rPr>
          <w:rFonts w:eastAsiaTheme="minorHAnsi"/>
          <w:szCs w:val="22"/>
          <w:lang w:eastAsia="en-US"/>
        </w:rPr>
        <w:tab/>
        <w:t xml:space="preserve">Kopš 2020. gada decembra Savienība ir </w:t>
      </w:r>
      <w:proofErr w:type="spellStart"/>
      <w:r w:rsidRPr="00DF24E5">
        <w:rPr>
          <w:rFonts w:eastAsiaTheme="minorHAnsi"/>
          <w:szCs w:val="22"/>
          <w:lang w:eastAsia="en-US"/>
        </w:rPr>
        <w:t>saskārusies</w:t>
      </w:r>
      <w:proofErr w:type="spellEnd"/>
      <w:r w:rsidRPr="00DF24E5">
        <w:rPr>
          <w:rFonts w:eastAsiaTheme="minorHAnsi"/>
          <w:szCs w:val="22"/>
          <w:lang w:eastAsia="en-US"/>
        </w:rPr>
        <w:t xml:space="preserve"> ar vairākām nepieredzētām un negaidītām problēmām. Savienība ir rīkojusies ātri un izmantojusi visus līdzekļus, kas ir tās rīcībā, bet DFS 2021.–2027. gadam paredzētā ierobežotā budžeta elastība ir gandrīz izsmelta, tādējādi mazinot Savienības budžeta spējas risināt pat vissteidzamākās problēmas.</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(3)</w:t>
      </w:r>
      <w:r w:rsidRPr="00DF24E5">
        <w:rPr>
          <w:rFonts w:eastAsiaTheme="minorHAnsi"/>
          <w:szCs w:val="22"/>
          <w:lang w:eastAsia="en-US"/>
        </w:rPr>
        <w:tab/>
        <w:t>DFS īstenošanas pirmajos gados vairāku problēmu risināšanai tika plaši izmantoti īpašie instrumenti. Joprojām pastāv nepieciešamība pēc turpmākas rīcības, bet budžeta iespējas risināt šādas situācijas DFS atlikušajā laikposmā ir ierobežotas.</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(4)</w:t>
      </w:r>
      <w:r w:rsidRPr="00DF24E5">
        <w:rPr>
          <w:rFonts w:eastAsiaTheme="minorHAnsi"/>
          <w:szCs w:val="22"/>
          <w:lang w:eastAsia="en-US"/>
        </w:rPr>
        <w:tab/>
        <w:t xml:space="preserve">Savienības budžetam būtu Savienībai jāļauj nodrošināt politikas pasākumus, kuri nepieciešami jaunu problēmu risināšanai un juridisko saistību izpildei, ko nav iespējams īstenot, ne ievērojot pašreizējos maksimālos apjomus, ne izmantojot visas elastības iespējas. Būtu jāgroza izdevumu maksimālais apjoms saistību apropriācijās 1., 2., 3., 4., 5. un 6. izdevumu kategorijā 2024., 2025., 2026. un 2027. gadam. Tāpēc, lai gan izdevumu maksimālos apjomus maksājumu apropriācijās var saglabāt pašreizējā līmenī, būtu jāpielāgo vienotā rezerves instrumenta maksājumu apropriāciju ierobežojums 2026. gadam, lai izvairītos no neizpildīto maksājumu uzkrājuma riska. Turklāt būtu jāgroza kopējā papildu piešķīrumu summa saskaņā ar Regulas (ES, </w:t>
      </w:r>
      <w:r w:rsidRPr="00DF24E5">
        <w:rPr>
          <w:rFonts w:eastAsiaTheme="minorHAnsi"/>
          <w:i/>
          <w:szCs w:val="22"/>
          <w:lang w:eastAsia="en-US"/>
        </w:rPr>
        <w:t>Euratom</w:t>
      </w:r>
      <w:r w:rsidRPr="00DF24E5">
        <w:rPr>
          <w:rFonts w:eastAsiaTheme="minorHAnsi"/>
          <w:szCs w:val="22"/>
          <w:lang w:eastAsia="en-US"/>
        </w:rPr>
        <w:t>) 2020/2093 5. pantā paredzēto konkrēto korekciju, kā arī ar to saistīto tabulu II pielikumā.</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(5)</w:t>
      </w:r>
      <w:r w:rsidRPr="00DF24E5">
        <w:rPr>
          <w:rFonts w:eastAsiaTheme="minorHAnsi"/>
          <w:szCs w:val="22"/>
          <w:lang w:eastAsia="en-US"/>
        </w:rPr>
        <w:tab/>
        <w:t xml:space="preserve">Būtu jāgroza arī </w:t>
      </w:r>
      <w:proofErr w:type="spellStart"/>
      <w:r w:rsidRPr="00DF24E5">
        <w:rPr>
          <w:rFonts w:eastAsiaTheme="minorHAnsi"/>
          <w:i/>
          <w:szCs w:val="22"/>
          <w:lang w:eastAsia="en-US"/>
        </w:rPr>
        <w:t>Brexit</w:t>
      </w:r>
      <w:proofErr w:type="spellEnd"/>
      <w:r w:rsidRPr="00DF24E5">
        <w:rPr>
          <w:rFonts w:eastAsiaTheme="minorHAnsi"/>
          <w:szCs w:val="22"/>
          <w:lang w:eastAsia="en-US"/>
        </w:rPr>
        <w:t xml:space="preserve"> korekcijas rezervei un Eiropas Globalizācijas pielāgošanās fondam paredzētie apjomi.</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(6)</w:t>
      </w:r>
      <w:r w:rsidRPr="00DF24E5">
        <w:rPr>
          <w:rFonts w:eastAsiaTheme="minorHAnsi"/>
          <w:szCs w:val="22"/>
          <w:lang w:eastAsia="en-US"/>
        </w:rPr>
        <w:tab/>
        <w:t>Ar Krievijas nelikumīgo agresijas karu pret Ukrainu Eiropas teritorijā ir atgriezusies karadarbība. Savienība turpinās atbalstīt Ukrainu tik ilgi, cik tas būs nepieciešams, un apņēmīgi palīdzēs Ukrainai virzībā uz Eiropu. Šajā nolūkā Eiropas Parlaments un Padome ir pieņēmuši Eiropas Parlamenta un Padomes Regulu (ES) 2024/...</w:t>
      </w:r>
      <w:r w:rsidRPr="00DF24E5">
        <w:rPr>
          <w:rFonts w:eastAsiaTheme="minorHAnsi"/>
          <w:szCs w:val="22"/>
          <w:vertAlign w:val="superscript"/>
          <w:lang w:eastAsia="en-US"/>
        </w:rPr>
        <w:footnoteReference w:id="4"/>
      </w:r>
      <w:r w:rsidRPr="00DF24E5">
        <w:rPr>
          <w:rFonts w:eastAsiaTheme="minorHAnsi"/>
          <w:szCs w:val="22"/>
          <w:vertAlign w:val="superscript"/>
          <w:lang w:eastAsia="en-US"/>
        </w:rPr>
        <w:footnoteReference w:customMarkFollows="1" w:id="5"/>
        <w:t>+</w:t>
      </w:r>
      <w:r w:rsidRPr="00DF24E5">
        <w:rPr>
          <w:rFonts w:eastAsiaTheme="minorHAnsi"/>
          <w:szCs w:val="22"/>
          <w:lang w:eastAsia="en-US"/>
        </w:rPr>
        <w:t xml:space="preserve"> kā Savienības atbildi ar mērķi atbalstīt Ukrainas </w:t>
      </w:r>
      <w:proofErr w:type="spellStart"/>
      <w:r w:rsidRPr="00DF24E5">
        <w:rPr>
          <w:rFonts w:eastAsiaTheme="minorHAnsi"/>
          <w:szCs w:val="22"/>
          <w:lang w:eastAsia="en-US"/>
        </w:rPr>
        <w:t>makrofinansiālo</w:t>
      </w:r>
      <w:proofErr w:type="spellEnd"/>
      <w:r w:rsidRPr="00DF24E5">
        <w:rPr>
          <w:rFonts w:eastAsiaTheme="minorHAnsi"/>
          <w:szCs w:val="22"/>
          <w:lang w:eastAsia="en-US"/>
        </w:rPr>
        <w:t xml:space="preserve"> stabilitāti, rekonstrukciju un modernizāciju, vienlaikus atbalstot Ukrainas centienus veikt reformas ceļā uz pievienošanos Savienībai (“Ukrainas mehānisms”).</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(7)</w:t>
      </w:r>
      <w:r w:rsidRPr="00DF24E5">
        <w:rPr>
          <w:rFonts w:eastAsiaTheme="minorHAnsi"/>
          <w:szCs w:val="22"/>
          <w:lang w:eastAsia="en-US"/>
        </w:rPr>
        <w:tab/>
        <w:t>Ņemot vērā neskaidrības, kas saistītas ar Krievijas agresijas karu, Ukrainas mehānismam vajadzētu būt elastīgam instrumentam, ar ko nodrošināt pienācīgu atbalsta veidu un pakāpi līdz 2027. gadam. Atbalsts no Ukrainas mehānisma būtu jāpiešķir aizdevumu, neatmaksājama atbalsta un budžeta garantiju nodrošinājuma veidā.</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(8)</w:t>
      </w:r>
      <w:r w:rsidRPr="00DF24E5">
        <w:rPr>
          <w:rFonts w:eastAsiaTheme="minorHAnsi"/>
          <w:szCs w:val="22"/>
          <w:lang w:eastAsia="en-US"/>
        </w:rPr>
        <w:tab/>
        <w:t>Attiecībā uz to atbalsta daļu, kas no Ukrainas mehānisma tiek piešķirta aizdevumu veidā, ir lietderīgi pašreizējo Savienības budžeta garantiju pagarināt līdz 2027. gadam, lai tā segtu arī finansiālo palīdzību, kas darīta pieejama Ukrainai. Tāpēc vajadzētu būt iespējai izmantot vajadzīgās apropriācijas Savienības budžetā, pārsniedzot līdz 2027. gada beigām pieejamo DFS maksimālo apjomu attiecībā uz finansiālo palīdzību Ukrainai. Papildus īstermiņa finansiālajam atbalstam Ukrainai, kā jau paredzēts Regulā (ES) 2022/2463, Savienības budžeta garantijai būtu jāaptver finansiālā palīdzība Ukrainai par summu līdz 33 miljardiem EUR, kā noteikts Regulā (ES) 2024/...</w:t>
      </w:r>
      <w:r w:rsidRPr="00DF24E5">
        <w:rPr>
          <w:rFonts w:eastAsiaTheme="minorHAnsi"/>
          <w:szCs w:val="22"/>
          <w:vertAlign w:val="superscript"/>
          <w:lang w:eastAsia="en-US"/>
        </w:rPr>
        <w:footnoteReference w:customMarkFollows="1" w:id="6"/>
        <w:t>+</w:t>
      </w:r>
      <w:r w:rsidRPr="00DF24E5">
        <w:rPr>
          <w:rFonts w:eastAsiaTheme="minorHAnsi"/>
          <w:szCs w:val="22"/>
          <w:lang w:eastAsia="en-US"/>
        </w:rPr>
        <w:t>.</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(9)</w:t>
      </w:r>
      <w:r w:rsidRPr="00DF24E5">
        <w:rPr>
          <w:rFonts w:eastAsiaTheme="minorHAnsi"/>
          <w:szCs w:val="22"/>
          <w:lang w:eastAsia="en-US"/>
        </w:rPr>
        <w:tab/>
        <w:t>Attiecībā uz to atbalsta daļu, kas no Ukrainas mehānisma tiek piešķirta neatmaksājama atbalsta un budžeta garantiju nodrošinājuma veidā, apropriācijas būtu jānodrošina, izmantojot jauno tematisko īpašo instrumentu “Ukrainas rezerve”. Saistību apropriācijas un attiecīgās maksājumu apropriācijas būtu jāizmanto katru gadu saskaņā ar Līguma par Eiropas Savienības darbību (LESD) 314. pantā noteikto budžeta procedūru, pārsniedzot DFS noteiktos maksimālos apjomus. Lai nodrošinātu to izdevumu sakārtotu attīstību, kuri tiks plānoti saskaņā ar attiecīgajiem Regulas (ES) 2024/...</w:t>
      </w:r>
      <w:r w:rsidRPr="00DF24E5">
        <w:rPr>
          <w:rFonts w:eastAsiaTheme="minorHAnsi"/>
          <w:szCs w:val="22"/>
          <w:vertAlign w:val="superscript"/>
          <w:lang w:eastAsia="en-US"/>
        </w:rPr>
        <w:footnoteReference w:customMarkFollows="1" w:id="7"/>
        <w:t>+</w:t>
      </w:r>
      <w:r w:rsidRPr="00DF24E5">
        <w:rPr>
          <w:rFonts w:eastAsiaTheme="minorHAnsi"/>
          <w:szCs w:val="22"/>
          <w:lang w:eastAsia="en-US"/>
        </w:rPr>
        <w:t xml:space="preserve"> noteikumiem, un jo īpaši ņemot vērā summas, kuras tiks noteiktas Ukrainas plānā, ir lietderīgi noteikt kopējos un maksimālos gada apjomus, ko var darīt pieejamus Ukrainas rezervei laikposmā no 2024. līdz 2027. gadam. Lai nodrošinātu pilnīgu īstenošanu un elastību no gada uz gadu atbilstīgi kopējam apjomam, turpmākajos gados līdz 2027. gadam vajadzētu būt iespējai papildus attiecīgā gada maksimālajai gada summai izmantot attiecīgajā gadā neizmantoto gada summas daļu.</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(10)</w:t>
      </w:r>
      <w:r w:rsidRPr="00DF24E5">
        <w:rPr>
          <w:rFonts w:eastAsiaTheme="minorHAnsi"/>
          <w:szCs w:val="22"/>
          <w:lang w:eastAsia="en-US"/>
        </w:rPr>
        <w:tab/>
        <w:t xml:space="preserve">Kopš 2022. gada Savienībā un vairumā lielāko tautsaimniecību ir noticis procentu likmju kāpums visiem obligāciju emitentiem, tai skaitā Savienības. Tā rezultātā paredzams, ka Eiropas Savienības Atveseļošanas instrumenta </w:t>
      </w:r>
      <w:proofErr w:type="spellStart"/>
      <w:r w:rsidRPr="00DF24E5">
        <w:rPr>
          <w:rFonts w:eastAsiaTheme="minorHAnsi"/>
          <w:i/>
          <w:szCs w:val="22"/>
          <w:lang w:eastAsia="en-US"/>
        </w:rPr>
        <w:t>NextGenerationEU</w:t>
      </w:r>
      <w:proofErr w:type="spellEnd"/>
      <w:r w:rsidRPr="00DF24E5">
        <w:rPr>
          <w:rFonts w:eastAsiaTheme="minorHAnsi"/>
          <w:szCs w:val="22"/>
          <w:lang w:eastAsia="en-US"/>
        </w:rPr>
        <w:t xml:space="preserve"> (“ESAI”) aizņēmumu finansējuma izmaksas, kas jāsedz no Savienības budžeta saskaņā ar Padomes Lēmuma (ES, </w:t>
      </w:r>
      <w:r w:rsidRPr="00DF24E5">
        <w:rPr>
          <w:rFonts w:eastAsiaTheme="minorHAnsi"/>
          <w:i/>
          <w:szCs w:val="22"/>
          <w:lang w:eastAsia="en-US"/>
        </w:rPr>
        <w:t>Euratom</w:t>
      </w:r>
      <w:r w:rsidRPr="00DF24E5">
        <w:rPr>
          <w:rFonts w:eastAsiaTheme="minorHAnsi"/>
          <w:szCs w:val="22"/>
          <w:lang w:eastAsia="en-US"/>
        </w:rPr>
        <w:t>) 2020/2053</w:t>
      </w:r>
      <w:r w:rsidRPr="00DF24E5">
        <w:rPr>
          <w:rFonts w:eastAsiaTheme="minorHAnsi"/>
          <w:szCs w:val="22"/>
          <w:vertAlign w:val="superscript"/>
          <w:lang w:eastAsia="en-US"/>
        </w:rPr>
        <w:footnoteReference w:id="8"/>
      </w:r>
      <w:r w:rsidRPr="00DF24E5">
        <w:rPr>
          <w:rFonts w:eastAsiaTheme="minorHAnsi"/>
          <w:szCs w:val="22"/>
          <w:lang w:eastAsia="en-US"/>
        </w:rPr>
        <w:t xml:space="preserve"> 5. panta 2. punktu, pārsniegs aplēses, kuras tika plānotas, sākotnēji 2020. gada decembrī pieņemot DFS, un kas attiecīgi bija noteiktas 2332 miljonu EUR apmērā 2025. gadā (2018. gada cenās), 3196 miljonu EUR apmērā 2026. gadā (2018. gada cenās) un 4168 miljonu EUR apmērā 2027. gadā (2018. gada cenās).</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(11)</w:t>
      </w:r>
      <w:r w:rsidRPr="00DF24E5">
        <w:rPr>
          <w:rFonts w:eastAsiaTheme="minorHAnsi"/>
          <w:szCs w:val="22"/>
          <w:lang w:eastAsia="en-US"/>
        </w:rPr>
        <w:tab/>
        <w:t>Ņemot vērā nenoteiktību, kas saistīta ar procentu likmju turpmāko attīstību mainīgos tirgus apstākļos, kā arī vispārējās aizņēmumu vajadzības, lai finansētu pašreizējās Savienības programmas, kuras tiek finansētas ar ESAI, ir lietderīgi kā daļu no noteikumiem, kas nepieciešami, lai ikgadējās budžeta procedūras noritētu sekmīgi un tiktu nodrošināti finanšu līdzekļi, kas ļauj Savienībai izpildīt savas juridiskās saistības, izveidot ārkārtas un pagaidu instrumentu, kas ir ierobežots ar pašreizējās DFS ilgumu, lai segtu ESAI aizņēmumu finansēšanas izmaksas, kas pārsniedz sākotnēji plānotās summas. Tādēļ būtu jāizveido jauns tematiskais īpašais instruments “ESAI instruments”, kura vienīgais mērķis būtu segt nenokārtotos izmaksu pārsniegumus. Šo instrumentu vajadzētu izmantot izņēmuma kārtā, un to nevarētu izmantot kā precedentu turpmākiem pasākumiem DFS laikposmā pēc 2027. gada, jo īpaši, lai segtu procentu maksājumus par līdzekļiem, kas aizņemti tirgos nolūkā finansēt ESAI.</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(12)</w:t>
      </w:r>
      <w:r w:rsidRPr="00DF24E5">
        <w:rPr>
          <w:rFonts w:eastAsiaTheme="minorHAnsi"/>
          <w:szCs w:val="22"/>
          <w:lang w:eastAsia="en-US"/>
        </w:rPr>
        <w:tab/>
        <w:t>Budžeta lēmējinstitūcijai ESAI instruments būtu jāizmanto ikgadējās budžeta procedūras ietvaros tikai tad, ja tas ir nepieciešams. Neskarot budžeta lēmējinstitūcijas prerogatīvas, tas būtu jāizmanto pēc tam, kad ir bijuši centieni rast citas finansēšanas iespējas, tostarp iespējas, ko rada programmu budžeta īstenošana un prioritāšu maiņa, kā arī netematiskie īpašie instrumenti, lai iespēju robežās segtu būtisku daļu no nepieciešamajām summām, kas pārsniedz tās summas, kuras sākotnēji bija iekļautas pašreizējā ESAI budžeta pozīcijas 2.b izdevumu kategorijā, nolūkā izmantot summu, kas ir līdzvērtīga aptuveni 50 % no ESAI procentu maksājumu izmaksu pārsnieguma, to uzskatot par rādītāju. Tas tiks darīts saskaņā ar piemērojamajiem nozaru noteikumiem un citiem juridiskiem pienākumiem un ņemot vērā prioritātes, piesardzīgu budžeta plānošanu un finanšu pareizu pārvaldību, kam jo īpaši nepieciešamas atbilstīgas neparedzētu izdevumu rezerves. Tām dalībvalstīm piešķirtai valsts finansējums, kuras uzņēmušās juridiskas saistības, jo īpaši saskaņā ar kopējo lauksaimniecības politiku un kohēzijas politiku, netiks ietekmēts. ESAI instrumenta saistību apropriācijas un attiecīgās maksājumu apropriācijas Savienības budžetā būtu jādara pieejamas, pārsniedzot DFS noteiktos maksimālos apjomus. No ESAI instrumenta vispirms būtu jāizmanto summa, kas ir līdzvērtīga atceltajām apropriācijām, kuras nav ārējie piešķirtie ieņēmumi, kas gūti kopš pašreizējās DFS sākuma. Nebūtu jāņem vērā to atcelto apropriāciju summas, kas darītas pieejamas atkārtoti saskaņā ar spēkā esošajiem attiecīgajiem noteikumiem. ESAI instrumentam pieejamā atcelto apropriāciju summa būtu jāaprēķina katru gadu DFS tehniskās korekcijas ietvaros, skaidri norādot kopējo pieejamo apjomu un summas, kas jau ir ņemtas vērā iepriekš, izmantojot ESAI instrumentu. Negaidītā gadījumā, kad pārsniegums joprojām nav segts, kā atbalsta mehānisms no ESAI instrumenta būtu jāizmanto nepieciešamā papildu summa kā galējais līdzeklis, lai pilnībā finansētu izmaksas. Ja izņēmuma kārtā viena vai vairākas dalībvalstis uzskata, ka pastāv nopietnas bažas par šā atbalsta mehānisma izmantošanu, tās varētu lūgt Eiropadomes priekšsēdētāju nodot šo jautājumu izskatīšanai nākamajā Eiropadomē. Šim procesam parasti nevajadzētu būt ilgākam par vienu mēnesi un tam būtu pilnībā jāievēro iestāžu prerogatīvas, kas noteiktas Līgumos.</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(13)</w:t>
      </w:r>
      <w:r w:rsidRPr="00DF24E5">
        <w:rPr>
          <w:rFonts w:eastAsiaTheme="minorHAnsi"/>
          <w:szCs w:val="22"/>
          <w:lang w:eastAsia="en-US"/>
        </w:rPr>
        <w:tab/>
        <w:t>Ņemot vērā dabas katastrofas, kas notikušas dalībvalstīs un valstīs, kuras risina sarunas ar Savienību par pievienošanos, kā arī dabas katastrofas un humanitārās krīzes trešās valstīs un lai attiecīgi nodrošinātu pienācīgu finansējumu, pašreizējā rezerve solidaritātei un palīdzībai ārkārtas gadījumos (</w:t>
      </w:r>
      <w:r w:rsidRPr="00DF24E5">
        <w:rPr>
          <w:rFonts w:eastAsiaTheme="minorHAnsi"/>
          <w:i/>
          <w:szCs w:val="22"/>
          <w:lang w:eastAsia="en-US"/>
        </w:rPr>
        <w:t>SEAR</w:t>
      </w:r>
      <w:r w:rsidRPr="00DF24E5">
        <w:rPr>
          <w:rFonts w:eastAsiaTheme="minorHAnsi"/>
          <w:szCs w:val="22"/>
          <w:lang w:eastAsia="en-US"/>
        </w:rPr>
        <w:t>) būtu jāsadala šādos divos atsevišķos instrumentos: “Eiropas Solidaritātes rezerve” nolūkā sniegt atbalstu skartajām valstīm un reģioniem no Eiropas Savienības Solidaritātes fonda, kas izveidots ar Padomes Regulu (EK) Nr. 2012/2002</w:t>
      </w:r>
      <w:r w:rsidRPr="00DF24E5">
        <w:rPr>
          <w:rFonts w:eastAsiaTheme="minorHAnsi"/>
          <w:szCs w:val="22"/>
          <w:vertAlign w:val="superscript"/>
          <w:lang w:eastAsia="en-US"/>
        </w:rPr>
        <w:footnoteReference w:id="9"/>
      </w:r>
      <w:r w:rsidRPr="00DF24E5">
        <w:rPr>
          <w:rFonts w:eastAsiaTheme="minorHAnsi"/>
          <w:szCs w:val="22"/>
          <w:lang w:eastAsia="en-US"/>
        </w:rPr>
        <w:t>, un “rezerve palīdzībai ārkārtas gadījumos”, lai attiecīgajām Savienības programmām nodrošinātu budžeta palielinājumus, reaģējot uz krīzēm un ārkārtas situācijām Savienībā un ārpus tās.</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(14)</w:t>
      </w:r>
      <w:r w:rsidRPr="00DF24E5">
        <w:rPr>
          <w:rFonts w:eastAsiaTheme="minorHAnsi"/>
          <w:szCs w:val="22"/>
          <w:lang w:eastAsia="en-US"/>
        </w:rPr>
        <w:tab/>
        <w:t>Elastības instruments būtu jāpastiprina, lai līdz 2027. gadam saglabātu Savienības pietiekamas spējas reaģēt uz neparedzētiem apstākļiem. No Eiropas Solidaritātes rezerves un rezerves palīdzībai ārkārtas gadījumos dzēstās summas būtu jādara pieejamas elastības instrumentam no 2024. gada.</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(15)</w:t>
      </w:r>
      <w:r w:rsidRPr="00DF24E5">
        <w:rPr>
          <w:rFonts w:eastAsiaTheme="minorHAnsi"/>
          <w:szCs w:val="22"/>
          <w:lang w:eastAsia="en-US"/>
        </w:rPr>
        <w:tab/>
        <w:t xml:space="preserve">Ņemot vērā minētos negaidītos notikumus un jaunās problēmas, DFS ir jāpārskata un tādēļ attiecīgi jāgroza Regula (ES, </w:t>
      </w:r>
      <w:r w:rsidRPr="00DF24E5">
        <w:rPr>
          <w:rFonts w:eastAsiaTheme="minorHAnsi"/>
          <w:i/>
          <w:szCs w:val="22"/>
          <w:lang w:eastAsia="en-US"/>
        </w:rPr>
        <w:t>Euratom</w:t>
      </w:r>
      <w:r w:rsidRPr="00DF24E5">
        <w:rPr>
          <w:rFonts w:eastAsiaTheme="minorHAnsi"/>
          <w:szCs w:val="22"/>
          <w:lang w:eastAsia="en-US"/>
        </w:rPr>
        <w:t>) 2020/2093.</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(16)</w:t>
      </w:r>
      <w:r w:rsidRPr="00DF24E5">
        <w:rPr>
          <w:rFonts w:eastAsiaTheme="minorHAnsi"/>
          <w:szCs w:val="22"/>
          <w:lang w:eastAsia="en-US"/>
        </w:rPr>
        <w:tab/>
        <w:t xml:space="preserve">Grozījumi Regulā (ES, </w:t>
      </w:r>
      <w:r w:rsidRPr="00DF24E5">
        <w:rPr>
          <w:rFonts w:eastAsiaTheme="minorHAnsi"/>
          <w:i/>
          <w:szCs w:val="22"/>
          <w:lang w:eastAsia="en-US"/>
        </w:rPr>
        <w:t>Euratom</w:t>
      </w:r>
      <w:r w:rsidRPr="00DF24E5">
        <w:rPr>
          <w:rFonts w:eastAsiaTheme="minorHAnsi"/>
          <w:szCs w:val="22"/>
          <w:lang w:eastAsia="en-US"/>
        </w:rPr>
        <w:t xml:space="preserve">) 2020/2093 neskar pienākumu ievērot pašu resursu maksimālos apjomus, kas noteikti Lēmuma (ES, </w:t>
      </w:r>
      <w:r w:rsidRPr="00DF24E5">
        <w:rPr>
          <w:rFonts w:eastAsiaTheme="minorHAnsi"/>
          <w:i/>
          <w:szCs w:val="22"/>
          <w:lang w:eastAsia="en-US"/>
        </w:rPr>
        <w:t>Euratom</w:t>
      </w:r>
      <w:r w:rsidRPr="00DF24E5">
        <w:rPr>
          <w:rFonts w:eastAsiaTheme="minorHAnsi"/>
          <w:szCs w:val="22"/>
          <w:lang w:eastAsia="en-US"/>
        </w:rPr>
        <w:t>) 2020/2053 3. panta 1. punktā un 6. pantā.</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(17)</w:t>
      </w:r>
      <w:r w:rsidRPr="00DF24E5">
        <w:rPr>
          <w:rFonts w:eastAsiaTheme="minorHAnsi"/>
          <w:szCs w:val="22"/>
          <w:lang w:eastAsia="en-US"/>
        </w:rPr>
        <w:tab/>
        <w:t xml:space="preserve">Ņemot vērā situāciju Ukrainā, šai regulai būtu jāstājas spēkā steidzamības kārtā dienā, kad to publicē </w:t>
      </w:r>
      <w:r w:rsidRPr="00DF24E5">
        <w:rPr>
          <w:rFonts w:eastAsiaTheme="minorHAnsi"/>
          <w:i/>
          <w:szCs w:val="22"/>
          <w:lang w:eastAsia="en-US"/>
        </w:rPr>
        <w:t>Eiropas Savienības Oficiālajā Vēstnesī</w:t>
      </w:r>
      <w:r w:rsidRPr="00DF24E5">
        <w:rPr>
          <w:rFonts w:eastAsiaTheme="minorHAnsi"/>
          <w:szCs w:val="22"/>
          <w:lang w:eastAsia="en-US"/>
        </w:rPr>
        <w:t>, un tā būtu jāpiemēro ar atpakaļejošu spēku no 2024. gada 1. janvāra,</w:t>
      </w:r>
    </w:p>
    <w:p w:rsidR="00947364" w:rsidRPr="00DF24E5" w:rsidRDefault="00947364" w:rsidP="00947364">
      <w:pPr>
        <w:keepNext/>
        <w:widowControl/>
        <w:spacing w:before="120" w:after="120" w:line="360" w:lineRule="auto"/>
        <w:rPr>
          <w:rFonts w:eastAsiaTheme="minorHAnsi"/>
          <w:szCs w:val="22"/>
          <w:lang w:eastAsia="en-US"/>
        </w:rPr>
      </w:pPr>
      <w:r w:rsidRPr="00DF24E5">
        <w:rPr>
          <w:rFonts w:eastAsiaTheme="minorHAnsi"/>
          <w:szCs w:val="22"/>
          <w:lang w:eastAsia="en-US"/>
        </w:rPr>
        <w:t>IR PIEŅĒMUSI ŠO REGULU.</w:t>
      </w:r>
    </w:p>
    <w:p w:rsidR="00947364" w:rsidRPr="00DF24E5" w:rsidRDefault="00947364" w:rsidP="00947364">
      <w:pPr>
        <w:keepNext/>
        <w:widowControl/>
        <w:spacing w:before="360" w:after="120" w:line="360" w:lineRule="auto"/>
        <w:jc w:val="center"/>
        <w:rPr>
          <w:rFonts w:eastAsiaTheme="minorHAnsi"/>
          <w:i/>
          <w:szCs w:val="22"/>
          <w:lang w:eastAsia="en-US"/>
        </w:rPr>
      </w:pPr>
      <w:r w:rsidRPr="00DF24E5">
        <w:rPr>
          <w:rFonts w:eastAsiaTheme="minorHAnsi"/>
          <w:i/>
          <w:szCs w:val="22"/>
          <w:lang w:eastAsia="en-US"/>
        </w:rPr>
        <w:br w:type="page"/>
        <w:t>1. pants</w:t>
      </w:r>
    </w:p>
    <w:p w:rsidR="00947364" w:rsidRPr="00DF24E5" w:rsidRDefault="00947364" w:rsidP="00947364">
      <w:r w:rsidRPr="00DF24E5">
        <w:t>Regulu (ES</w:t>
      </w:r>
      <w:r w:rsidR="002C2A5F">
        <w:t xml:space="preserve">, </w:t>
      </w:r>
      <w:r w:rsidR="002C2A5F" w:rsidRPr="002C2A5F">
        <w:rPr>
          <w:i/>
        </w:rPr>
        <w:t>Euratom</w:t>
      </w:r>
      <w:r w:rsidRPr="00DF24E5">
        <w:t>) 2020/2093 groza šādi:</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1)</w:t>
      </w:r>
      <w:r w:rsidRPr="00DF24E5">
        <w:rPr>
          <w:rFonts w:eastAsiaTheme="minorHAnsi"/>
          <w:szCs w:val="22"/>
          <w:lang w:eastAsia="en-US"/>
        </w:rPr>
        <w:tab/>
        <w:t>regulas 2. pantu groza šādi:</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a)</w:t>
      </w:r>
      <w:r w:rsidRPr="00DF24E5">
        <w:rPr>
          <w:rFonts w:eastAsiaTheme="minorHAnsi"/>
          <w:szCs w:val="22"/>
          <w:lang w:eastAsia="en-US"/>
        </w:rPr>
        <w:tab/>
        <w:t>panta 2. punkta pirmo daļu aizstāj ar šādu:</w:t>
      </w:r>
    </w:p>
    <w:p w:rsidR="00947364" w:rsidRPr="00DF24E5" w:rsidRDefault="00947364" w:rsidP="00947364">
      <w:pPr>
        <w:widowControl/>
        <w:spacing w:before="120" w:after="120" w:line="360" w:lineRule="auto"/>
        <w:ind w:left="1984" w:hanging="567"/>
        <w:rPr>
          <w:rFonts w:eastAsiaTheme="minorHAnsi"/>
          <w:szCs w:val="22"/>
          <w:lang w:eastAsia="en-US"/>
        </w:rPr>
      </w:pPr>
      <w:r w:rsidRPr="00DF24E5">
        <w:rPr>
          <w:rFonts w:eastAsiaTheme="minorHAnsi"/>
          <w:szCs w:val="22"/>
          <w:lang w:eastAsia="en-US"/>
        </w:rPr>
        <w:t>“2.</w:t>
      </w:r>
      <w:r w:rsidRPr="00DF24E5">
        <w:rPr>
          <w:rFonts w:eastAsiaTheme="minorHAnsi"/>
          <w:szCs w:val="22"/>
          <w:lang w:eastAsia="en-US"/>
        </w:rPr>
        <w:tab/>
        <w:t>Ja ir nepieciešams izmantot līdzekļus no īpašajiem instrumentiem, kas paredzēti 8., 9., 10., 10.a, 10.b un 12. pantā, saistību un attiecīgās maksājumu apropriācijas iekļauj budžetā, pārsniedzot attiecīgos DFS maksimālos apjomus.”;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b)</w:t>
      </w:r>
      <w:r w:rsidRPr="00DF24E5">
        <w:rPr>
          <w:rFonts w:eastAsiaTheme="minorHAnsi"/>
          <w:szCs w:val="22"/>
          <w:lang w:eastAsia="en-US"/>
        </w:rPr>
        <w:tab/>
        <w:t>panta 3. punktam pievieno šādu daļu:</w:t>
      </w:r>
    </w:p>
    <w:p w:rsidR="00947364" w:rsidRPr="00DF24E5" w:rsidRDefault="00947364" w:rsidP="00947364">
      <w:pPr>
        <w:widowControl/>
        <w:spacing w:before="120" w:after="120" w:line="360" w:lineRule="auto"/>
        <w:ind w:left="1417"/>
        <w:rPr>
          <w:rFonts w:eastAsiaTheme="minorHAnsi"/>
          <w:szCs w:val="22"/>
          <w:lang w:eastAsia="en-US"/>
        </w:rPr>
      </w:pPr>
      <w:r w:rsidRPr="00DF24E5">
        <w:rPr>
          <w:rFonts w:eastAsiaTheme="minorHAnsi"/>
          <w:szCs w:val="22"/>
          <w:lang w:eastAsia="en-US"/>
        </w:rPr>
        <w:t>“Ja ir nepieciešams izmantot garantiju finansiālai palīdzībai Ukrainai, kas tiek darīta pieejama 2024.–2027. gadā par kopējo aizdevuma summu līdz 33 000 miljoniem EUR pašreizējās cenās, kā noteikts Eiropas Parlamenta un Padomes Regulā (ES) 2024/... </w:t>
      </w:r>
      <w:r w:rsidRPr="00DF24E5">
        <w:rPr>
          <w:rFonts w:eastAsiaTheme="minorHAnsi"/>
          <w:szCs w:val="22"/>
          <w:vertAlign w:val="superscript"/>
          <w:lang w:eastAsia="en-US"/>
        </w:rPr>
        <w:t>*</w:t>
      </w:r>
      <w:r w:rsidRPr="00DF24E5">
        <w:rPr>
          <w:rFonts w:eastAsiaTheme="minorHAnsi"/>
          <w:bCs/>
          <w:szCs w:val="22"/>
          <w:vertAlign w:val="superscript"/>
          <w:lang w:eastAsia="en-US"/>
        </w:rPr>
        <w:footnoteReference w:customMarkFollows="1" w:id="10"/>
        <w:t>+</w:t>
      </w:r>
      <w:r w:rsidRPr="00DF24E5">
        <w:rPr>
          <w:rFonts w:eastAsiaTheme="minorHAnsi"/>
          <w:szCs w:val="22"/>
          <w:lang w:eastAsia="en-US"/>
        </w:rPr>
        <w:t>, un kas ir atļauta saskaņā ar Finanšu regulas 220. panta 1. punktu, izmanto tādu nepieciešamo summu, kas pārsniedz DFS noteiktos maksimālos apjomus.</w:t>
      </w:r>
    </w:p>
    <w:p w:rsidR="00947364" w:rsidRPr="00DF24E5" w:rsidRDefault="00947364" w:rsidP="00947364">
      <w:pPr>
        <w:widowControl/>
        <w:spacing w:before="120" w:after="120" w:line="360" w:lineRule="auto"/>
        <w:ind w:left="1417"/>
        <w:rPr>
          <w:rFonts w:eastAsiaTheme="minorHAnsi"/>
          <w:szCs w:val="22"/>
          <w:lang w:eastAsia="en-US"/>
        </w:rPr>
      </w:pPr>
      <w:r w:rsidRPr="00DF24E5">
        <w:rPr>
          <w:rFonts w:eastAsiaTheme="minorHAnsi"/>
          <w:szCs w:val="22"/>
          <w:lang w:eastAsia="en-US"/>
        </w:rPr>
        <w:t>________________</w:t>
      </w:r>
    </w:p>
    <w:p w:rsidR="00947364" w:rsidRPr="00DF24E5" w:rsidRDefault="00947364" w:rsidP="00947364">
      <w:pPr>
        <w:widowControl/>
        <w:spacing w:before="120" w:after="120"/>
        <w:ind w:left="1985" w:hanging="567"/>
        <w:rPr>
          <w:rFonts w:eastAsiaTheme="minorHAnsi"/>
          <w:szCs w:val="22"/>
          <w:lang w:eastAsia="en-US"/>
        </w:rPr>
      </w:pPr>
      <w:r w:rsidRPr="00DF24E5">
        <w:rPr>
          <w:rFonts w:eastAsiaTheme="minorHAnsi"/>
          <w:szCs w:val="22"/>
          <w:vertAlign w:val="superscript"/>
          <w:lang w:eastAsia="en-US"/>
        </w:rPr>
        <w:t>*</w:t>
      </w:r>
      <w:r w:rsidRPr="00DF24E5">
        <w:rPr>
          <w:rFonts w:eastAsiaTheme="minorHAnsi"/>
          <w:szCs w:val="22"/>
          <w:lang w:eastAsia="en-US"/>
        </w:rPr>
        <w:tab/>
        <w:t>Eiropas Parlamenta un Padomes Regula (ES) 2024/... (... gada ...), ar ko izveido Ukrainas mehānismu (OV L ..., ELI:, ...,).;</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r>
      <w:bookmarkStart w:id="11" w:name="Merge_1_2"/>
      <w:bookmarkEnd w:id="11"/>
      <w:r w:rsidRPr="00DF24E5">
        <w:rPr>
          <w:rFonts w:eastAsiaTheme="minorHAnsi"/>
          <w:szCs w:val="22"/>
          <w:lang w:eastAsia="en-US"/>
        </w:rPr>
        <w:t>2)</w:t>
      </w:r>
      <w:r w:rsidRPr="00DF24E5">
        <w:rPr>
          <w:rFonts w:eastAsiaTheme="minorHAnsi"/>
          <w:szCs w:val="22"/>
          <w:lang w:eastAsia="en-US"/>
        </w:rPr>
        <w:tab/>
        <w:t>regulas 4. panta 1. punktam pievieno šādus apakšpunktus: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“f)</w:t>
      </w:r>
      <w:r w:rsidRPr="00DF24E5">
        <w:rPr>
          <w:rFonts w:eastAsiaTheme="minorHAnsi"/>
          <w:szCs w:val="22"/>
          <w:lang w:eastAsia="en-US"/>
        </w:rPr>
        <w:tab/>
        <w:t>aprēķina summu, kas pieejama ESAI instrumentam saskaņā ar 10.a panta 3. punkta a) apakšpunktu;</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g)</w:t>
      </w:r>
      <w:r w:rsidRPr="00DF24E5">
        <w:rPr>
          <w:rFonts w:eastAsiaTheme="minorHAnsi"/>
          <w:szCs w:val="22"/>
          <w:lang w:eastAsia="en-US"/>
        </w:rPr>
        <w:tab/>
        <w:t>aprēķina summas, kas jādara pieejamas elastības instrumentam atbilstīgi 12. panta 1. punkta otrajai daļai.”;</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3)</w:t>
      </w:r>
      <w:r w:rsidRPr="00DF24E5">
        <w:rPr>
          <w:rFonts w:eastAsiaTheme="minorHAnsi"/>
          <w:szCs w:val="22"/>
          <w:lang w:eastAsia="en-US"/>
        </w:rPr>
        <w:tab/>
        <w:t>Regulas 5. panta 1. punkta otro daļu aizstāj ar šādu:</w:t>
      </w:r>
    </w:p>
    <w:p w:rsidR="00947364" w:rsidRPr="00DF24E5" w:rsidRDefault="00947364" w:rsidP="00947364">
      <w:pPr>
        <w:widowControl/>
        <w:spacing w:before="120" w:after="120" w:line="360" w:lineRule="auto"/>
        <w:ind w:left="850"/>
        <w:rPr>
          <w:rFonts w:eastAsiaTheme="minorHAnsi"/>
          <w:szCs w:val="22"/>
          <w:lang w:eastAsia="en-US"/>
        </w:rPr>
      </w:pPr>
      <w:r w:rsidRPr="00DF24E5">
        <w:rPr>
          <w:rFonts w:eastAsiaTheme="minorHAnsi"/>
          <w:szCs w:val="22"/>
          <w:lang w:eastAsia="en-US"/>
        </w:rPr>
        <w:t>“Kopējā papildu piešķīrumu summa attiecīgi 2022.–2027. gada saistību un maksājumu apropriācijām ir 10155 miljoni EUR (2018. gada cenās). Katram gadam no 2022. līdz 2026. gadam attiecīgi saistību un maksājumu apropriācijām paredzēto papildu piešķīrumu ikgadējā summa ir vismaz 1500 miljoni EUR (2018. gada cenās) un nepārsniedz 2000 miljonus EUR (2018. gada cenās).”;</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4)</w:t>
      </w:r>
      <w:r w:rsidRPr="00DF24E5">
        <w:rPr>
          <w:rFonts w:eastAsiaTheme="minorHAnsi"/>
          <w:szCs w:val="22"/>
          <w:lang w:eastAsia="en-US"/>
        </w:rPr>
        <w:tab/>
        <w:t>regulas 8. pantu un 9. pantu aizstāj ar šādu:</w:t>
      </w:r>
    </w:p>
    <w:p w:rsidR="00947364" w:rsidRPr="00DF24E5" w:rsidRDefault="00947364" w:rsidP="00947364">
      <w:pPr>
        <w:widowControl/>
        <w:spacing w:before="120" w:after="120" w:line="360" w:lineRule="auto"/>
        <w:ind w:left="850"/>
        <w:rPr>
          <w:rFonts w:eastAsiaTheme="minorHAnsi"/>
          <w:i/>
          <w:iCs/>
          <w:szCs w:val="22"/>
          <w:lang w:eastAsia="en-US"/>
        </w:rPr>
      </w:pPr>
      <w:r w:rsidRPr="00DF24E5">
        <w:rPr>
          <w:rFonts w:eastAsiaTheme="minorHAnsi"/>
          <w:szCs w:val="22"/>
          <w:lang w:eastAsia="en-US"/>
        </w:rPr>
        <w:t>“</w:t>
      </w:r>
      <w:r w:rsidRPr="00DF24E5">
        <w:rPr>
          <w:rFonts w:eastAsiaTheme="minorHAnsi"/>
          <w:i/>
          <w:szCs w:val="22"/>
          <w:lang w:eastAsia="en-US"/>
        </w:rPr>
        <w:t>8. pants</w:t>
      </w:r>
      <w:r w:rsidRPr="00DF24E5">
        <w:rPr>
          <w:rFonts w:eastAsiaTheme="minorHAnsi"/>
          <w:i/>
          <w:szCs w:val="22"/>
          <w:lang w:eastAsia="en-US"/>
        </w:rPr>
        <w:br/>
        <w:t>Eiropas Globalizācijas pielāgošanās fonds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1.</w:t>
      </w:r>
      <w:r w:rsidRPr="00DF24E5">
        <w:rPr>
          <w:rFonts w:eastAsiaTheme="minorHAnsi"/>
          <w:szCs w:val="22"/>
          <w:lang w:eastAsia="en-US"/>
        </w:rPr>
        <w:tab/>
        <w:t>Eiropas Globalizācijas pielāgošanās fonds, kura mērķi un darbības joma ir noteikti Eiropas Parlamenta un Padomes Regulā (ES) 2021/691</w:t>
      </w:r>
      <w:r w:rsidRPr="00DF24E5">
        <w:rPr>
          <w:rFonts w:eastAsiaTheme="minorHAnsi"/>
          <w:b/>
          <w:szCs w:val="22"/>
          <w:vertAlign w:val="superscript"/>
          <w:lang w:eastAsia="en-US"/>
        </w:rPr>
        <w:t>*</w:t>
      </w:r>
      <w:r w:rsidRPr="00DF24E5">
        <w:rPr>
          <w:rFonts w:eastAsiaTheme="minorHAnsi"/>
          <w:szCs w:val="22"/>
          <w:lang w:eastAsia="en-US"/>
        </w:rPr>
        <w:t>, nepārsniedz maksimālo gada summu 30 miljonu EUR apmērā (2018. gada cenās).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2.</w:t>
      </w:r>
      <w:r w:rsidRPr="00DF24E5">
        <w:rPr>
          <w:rFonts w:eastAsiaTheme="minorHAnsi"/>
          <w:szCs w:val="22"/>
          <w:lang w:eastAsia="en-US"/>
        </w:rPr>
        <w:tab/>
        <w:t>Apropriācijas Eiropas Globalizācijas pielāgošanās fondam iekļauj Savienības vispārējā budžetā kā uzkrājumu.</w:t>
      </w:r>
    </w:p>
    <w:p w:rsidR="00947364" w:rsidRPr="00DF24E5" w:rsidRDefault="00947364" w:rsidP="00947364">
      <w:pPr>
        <w:widowControl/>
        <w:spacing w:before="120" w:after="120" w:line="360" w:lineRule="auto"/>
        <w:ind w:left="850"/>
        <w:rPr>
          <w:rFonts w:eastAsiaTheme="minorHAnsi"/>
          <w:i/>
          <w:iCs/>
          <w:szCs w:val="22"/>
          <w:lang w:eastAsia="en-US"/>
        </w:rPr>
      </w:pPr>
      <w:r w:rsidRPr="00DF24E5">
        <w:rPr>
          <w:rFonts w:eastAsiaTheme="minorHAnsi"/>
          <w:i/>
          <w:szCs w:val="22"/>
          <w:lang w:eastAsia="en-US"/>
        </w:rPr>
        <w:t>9. pants</w:t>
      </w:r>
      <w:r w:rsidRPr="00DF24E5">
        <w:rPr>
          <w:rFonts w:eastAsiaTheme="minorHAnsi"/>
          <w:i/>
          <w:szCs w:val="22"/>
          <w:lang w:eastAsia="en-US"/>
        </w:rPr>
        <w:br/>
        <w:t>Rezerve solidaritātei un palīdzībai ārkārtas gadījumos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1.</w:t>
      </w:r>
      <w:r w:rsidRPr="00DF24E5">
        <w:rPr>
          <w:rFonts w:eastAsiaTheme="minorHAnsi"/>
          <w:szCs w:val="22"/>
          <w:lang w:eastAsia="en-US"/>
        </w:rPr>
        <w:tab/>
        <w:t>Rezervi solidaritātei un palīdzībai ārkārtas gadījumos veido divi instrumenti, kurus var izmantot, lai attiecīgi finansētu:</w:t>
      </w:r>
    </w:p>
    <w:p w:rsidR="00947364" w:rsidRPr="00DF24E5" w:rsidRDefault="00947364" w:rsidP="00947364">
      <w:pPr>
        <w:widowControl/>
        <w:spacing w:before="120" w:after="120" w:line="360" w:lineRule="auto"/>
        <w:ind w:left="1984" w:hanging="567"/>
        <w:rPr>
          <w:rFonts w:eastAsiaTheme="minorHAnsi"/>
          <w:szCs w:val="22"/>
          <w:lang w:eastAsia="en-US"/>
        </w:rPr>
      </w:pPr>
      <w:r w:rsidRPr="00DF24E5">
        <w:rPr>
          <w:rFonts w:eastAsiaTheme="minorHAnsi"/>
          <w:szCs w:val="22"/>
          <w:lang w:eastAsia="en-US"/>
        </w:rPr>
        <w:t>a)</w:t>
      </w:r>
      <w:r w:rsidRPr="00DF24E5">
        <w:rPr>
          <w:rFonts w:eastAsiaTheme="minorHAnsi"/>
          <w:szCs w:val="22"/>
          <w:lang w:eastAsia="en-US"/>
        </w:rPr>
        <w:tab/>
        <w:t>palīdzību reaģēšanai uz ārkārtas situācijām, ko izraisījušas lielas katastrofas, uz kurām attiecas Eiropas Savienības Solidaritātes fonds, kura mērķi un darbības joma ir noteikti Padomes Regulā (EK) Nr. 2012/2002</w:t>
      </w:r>
      <w:r w:rsidRPr="00DF24E5">
        <w:rPr>
          <w:rFonts w:eastAsiaTheme="minorHAnsi"/>
          <w:b/>
          <w:szCs w:val="22"/>
          <w:vertAlign w:val="superscript"/>
          <w:lang w:eastAsia="en-US"/>
        </w:rPr>
        <w:t>**</w:t>
      </w:r>
      <w:r w:rsidRPr="00DF24E5">
        <w:rPr>
          <w:rFonts w:eastAsiaTheme="minorHAnsi"/>
          <w:szCs w:val="22"/>
          <w:lang w:eastAsia="en-US"/>
        </w:rPr>
        <w:t xml:space="preserve"> (“Eiropas Solidaritātes rezerve”); un</w:t>
      </w:r>
    </w:p>
    <w:p w:rsidR="00947364" w:rsidRPr="00DF24E5" w:rsidRDefault="00947364" w:rsidP="00947364">
      <w:pPr>
        <w:widowControl/>
        <w:spacing w:before="120" w:after="120" w:line="360" w:lineRule="auto"/>
        <w:ind w:left="1984" w:hanging="567"/>
        <w:rPr>
          <w:rFonts w:eastAsiaTheme="minorHAnsi"/>
          <w:szCs w:val="22"/>
          <w:lang w:eastAsia="en-US"/>
        </w:rPr>
      </w:pPr>
      <w:r w:rsidRPr="00DF24E5">
        <w:rPr>
          <w:rFonts w:eastAsiaTheme="minorHAnsi"/>
          <w:szCs w:val="22"/>
          <w:lang w:eastAsia="en-US"/>
        </w:rPr>
        <w:br w:type="page"/>
        <w:t>b)</w:t>
      </w:r>
      <w:r w:rsidRPr="00DF24E5">
        <w:rPr>
          <w:rFonts w:eastAsiaTheme="minorHAnsi"/>
          <w:szCs w:val="22"/>
          <w:lang w:eastAsia="en-US"/>
        </w:rPr>
        <w:tab/>
        <w:t>ātru reaģēšanu uz konkrētām ārkārtas vajadzībām Savienībā vai trešās valstīs pēc notikumiem, kurus nav bijis iespējams paredzēt budžeta izstrādes laikā, jo īpaši ārkārtas reaģēšanai un atbalsta operācijām pēc dabas katastrofām, uz kurām neattiecas a) apakšpunkts, cilvēku izraisītām katastrofām, humanitārām krīzēm liela mēroga sabiedrības veselības, veterināru vai fitosanitāru apdraudējumu gadījumā, kā arī situācijās, kad īpašu noslodzi Savienības ārējām robežām rada migrācijas plūsmas, kad to prasa apstākļi (“rezerve palīdzībai ārkārtas gadījumos”).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2.</w:t>
      </w:r>
      <w:r w:rsidRPr="00DF24E5">
        <w:rPr>
          <w:rFonts w:eastAsiaTheme="minorHAnsi"/>
          <w:szCs w:val="22"/>
          <w:lang w:eastAsia="en-US"/>
        </w:rPr>
        <w:tab/>
        <w:t>Eiropas Solidaritātes rezerve nepārsniedz maksimālo gada summu 1016 miljonu EUR apmērā (2018. gada cenās). Jebkuru ikgadējās summas daļu, kas nav izmantota n gadā, var izmantot līdz n+1 gadam. Vispirms izmanto to gada summas daļu, kas atlikusi no iepriekšējā gada. Jebkura tā n gada summas daļa, kas nav izmantota n+1 gadā, tiek dzēsta.</w:t>
      </w:r>
    </w:p>
    <w:p w:rsidR="00947364" w:rsidRPr="00DF24E5" w:rsidRDefault="00947364" w:rsidP="00947364">
      <w:pPr>
        <w:widowControl/>
        <w:spacing w:before="120" w:after="120" w:line="360" w:lineRule="auto"/>
        <w:ind w:left="1417"/>
        <w:rPr>
          <w:rFonts w:eastAsiaTheme="minorHAnsi"/>
          <w:szCs w:val="22"/>
          <w:lang w:eastAsia="en-US"/>
        </w:rPr>
      </w:pPr>
      <w:r w:rsidRPr="00DF24E5">
        <w:rPr>
          <w:rFonts w:eastAsiaTheme="minorHAnsi"/>
          <w:szCs w:val="22"/>
          <w:lang w:eastAsia="en-US"/>
        </w:rPr>
        <w:t>Katra gada 1. oktobrī ir pieejama vismaz viena ceturtā daļa no Eiropas Solidaritātes rezerves ikgadējās summas, lai segtu vajadzības, kas rodas līdz attiecīgā gada beigām.</w:t>
      </w:r>
    </w:p>
    <w:p w:rsidR="00947364" w:rsidRPr="00DF24E5" w:rsidRDefault="00947364" w:rsidP="00947364">
      <w:pPr>
        <w:widowControl/>
        <w:spacing w:before="120" w:after="120" w:line="360" w:lineRule="auto"/>
        <w:ind w:left="1417"/>
        <w:rPr>
          <w:rFonts w:eastAsiaTheme="minorHAnsi"/>
          <w:szCs w:val="22"/>
          <w:lang w:eastAsia="en-US"/>
        </w:rPr>
      </w:pPr>
      <w:r w:rsidRPr="00DF24E5">
        <w:rPr>
          <w:rFonts w:eastAsiaTheme="minorHAnsi"/>
          <w:szCs w:val="22"/>
          <w:lang w:eastAsia="en-US"/>
        </w:rPr>
        <w:br w:type="page"/>
        <w:t>Izņēmuma gadījumos un gadījumā, ja pieejamie atlikušie finanšu resursi katastrofas gadā nav pietiekami, lai segtu palīdzības apjomu, ko uzskata par vajadzīgu, kā norādīts 1. punkta a) apakšpunktā, Komisija var ierosināt starpību finansēt no nākamajā gadā pieejamās šā punkta pirmajā daļā minētās gada summas līdz maksimālajam apjomam 400 miljonu EUR apmērā (2018. gada cenās).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3.</w:t>
      </w:r>
      <w:r w:rsidRPr="00DF24E5">
        <w:rPr>
          <w:rFonts w:eastAsiaTheme="minorHAnsi"/>
          <w:szCs w:val="22"/>
          <w:lang w:eastAsia="en-US"/>
        </w:rPr>
        <w:tab/>
        <w:t>Rezerve palīdzībai ārkārtas gadījumos nepārsniedz maksimālo gada summu 508 miljonu EUR apmērā (2018. gada cenās). Jebkuru ikgadējās summas daļu, kas nav izmantota n gadā, var izmantot līdz n+1 gadam. Vispirms izmanto to gada summas daļu, kas atlikusi no iepriekšējā gada. Jebkura tā n gada summas daļa, kas nav izmantota n+1 gadā, tiek dzēsta.</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4.</w:t>
      </w:r>
      <w:r w:rsidRPr="00DF24E5">
        <w:rPr>
          <w:rFonts w:eastAsiaTheme="minorHAnsi"/>
          <w:szCs w:val="22"/>
          <w:lang w:eastAsia="en-US"/>
        </w:rPr>
        <w:tab/>
        <w:t>Eiropas Solidaritātes rezerves un rezerves palīdzībai ārkārtas gadījumos apropriācijas iekļauj Savienības vispārējā budžetā kā uzkrājumu.</w:t>
      </w:r>
    </w:p>
    <w:p w:rsidR="00947364" w:rsidRPr="00DF24E5" w:rsidRDefault="00947364" w:rsidP="00947364">
      <w:pPr>
        <w:widowControl/>
        <w:spacing w:before="120" w:after="120" w:line="360" w:lineRule="auto"/>
        <w:ind w:left="850"/>
        <w:rPr>
          <w:rFonts w:eastAsiaTheme="minorHAnsi"/>
          <w:szCs w:val="22"/>
          <w:lang w:eastAsia="en-US"/>
        </w:rPr>
      </w:pPr>
      <w:r w:rsidRPr="00DF24E5">
        <w:rPr>
          <w:rFonts w:eastAsiaTheme="minorHAnsi"/>
          <w:szCs w:val="22"/>
          <w:lang w:eastAsia="en-US"/>
        </w:rPr>
        <w:t>________________</w:t>
      </w:r>
    </w:p>
    <w:p w:rsidR="002C2A5F" w:rsidRDefault="00947364" w:rsidP="00947364">
      <w:pPr>
        <w:widowControl/>
        <w:ind w:left="1418" w:hanging="567"/>
        <w:rPr>
          <w:rFonts w:eastAsiaTheme="minorHAnsi"/>
          <w:szCs w:val="22"/>
          <w:lang w:eastAsia="en-US"/>
        </w:rPr>
      </w:pPr>
      <w:r w:rsidRPr="00DF24E5">
        <w:rPr>
          <w:rFonts w:eastAsiaTheme="minorHAnsi"/>
          <w:b/>
          <w:szCs w:val="22"/>
          <w:vertAlign w:val="superscript"/>
          <w:lang w:eastAsia="en-US"/>
        </w:rPr>
        <w:t>*</w:t>
      </w:r>
      <w:r w:rsidRPr="00DF24E5">
        <w:rPr>
          <w:rFonts w:eastAsiaTheme="minorHAnsi"/>
          <w:szCs w:val="22"/>
          <w:lang w:eastAsia="en-US"/>
        </w:rPr>
        <w:tab/>
      </w:r>
      <w:r w:rsidR="002C2A5F" w:rsidRPr="00DF24E5">
        <w:rPr>
          <w:rFonts w:eastAsiaTheme="minorHAnsi"/>
          <w:szCs w:val="22"/>
          <w:lang w:eastAsia="en-US"/>
        </w:rPr>
        <w:t>Eiropas Parlamenta un Padomes Regula (ES) 2021/691 (2021. gada 28. aprīlis) par Eiropas Globalizācijas pielāgošanās fondu darbu zaudējušiem darba ņēmējiem (EGF) un ar ko atceļ Regulu (ES) Nr. 1309/2013 (OV L 153, 3.5.2021., 48. lpp.).</w:t>
      </w:r>
    </w:p>
    <w:p w:rsidR="00947364" w:rsidRPr="00DF24E5" w:rsidRDefault="00947364" w:rsidP="00947364">
      <w:pPr>
        <w:widowControl/>
        <w:spacing w:after="120"/>
        <w:ind w:left="1418" w:hanging="567"/>
        <w:rPr>
          <w:rFonts w:eastAsiaTheme="minorHAnsi"/>
          <w:szCs w:val="22"/>
          <w:lang w:eastAsia="en-US"/>
        </w:rPr>
      </w:pPr>
      <w:r w:rsidRPr="00DF24E5">
        <w:rPr>
          <w:rFonts w:eastAsiaTheme="minorHAnsi"/>
          <w:b/>
          <w:szCs w:val="22"/>
          <w:vertAlign w:val="superscript"/>
          <w:lang w:eastAsia="en-US"/>
        </w:rPr>
        <w:t>**</w:t>
      </w:r>
      <w:r w:rsidRPr="00DF24E5">
        <w:rPr>
          <w:rFonts w:eastAsiaTheme="minorHAnsi"/>
          <w:szCs w:val="22"/>
          <w:vertAlign w:val="superscript"/>
          <w:lang w:eastAsia="en-US"/>
        </w:rPr>
        <w:tab/>
      </w:r>
      <w:r w:rsidR="002C2A5F" w:rsidRPr="00DF24E5">
        <w:rPr>
          <w:rFonts w:eastAsiaTheme="minorHAnsi"/>
          <w:szCs w:val="22"/>
          <w:lang w:eastAsia="en-US"/>
        </w:rPr>
        <w:t>Padomes Regula (EK) Nr. 2012/2002 (2002. gada 11. novembris), ar ko izveido Eiropas Savienības Solidaritātes fondu (OV L 311, 14.11.2002., 3. lpp.).</w:t>
      </w:r>
      <w:r w:rsidRPr="00DF24E5">
        <w:rPr>
          <w:rFonts w:eastAsiaTheme="minorHAnsi"/>
          <w:szCs w:val="22"/>
          <w:lang w:eastAsia="en-US"/>
        </w:rPr>
        <w:t>”;</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5)</w:t>
      </w:r>
      <w:r w:rsidRPr="00DF24E5">
        <w:rPr>
          <w:rFonts w:eastAsiaTheme="minorHAnsi"/>
          <w:szCs w:val="22"/>
          <w:lang w:eastAsia="en-US"/>
        </w:rPr>
        <w:tab/>
        <w:t>regulas 10. panta 2. punktu aizstāj ar šādu:</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“2.</w:t>
      </w:r>
      <w:r w:rsidRPr="00DF24E5">
        <w:rPr>
          <w:rFonts w:eastAsiaTheme="minorHAnsi"/>
          <w:szCs w:val="22"/>
          <w:lang w:eastAsia="en-US"/>
        </w:rPr>
        <w:tab/>
      </w:r>
      <w:proofErr w:type="spellStart"/>
      <w:r w:rsidRPr="00DF24E5">
        <w:rPr>
          <w:rFonts w:eastAsiaTheme="minorHAnsi"/>
          <w:i/>
          <w:szCs w:val="22"/>
          <w:lang w:eastAsia="en-US"/>
        </w:rPr>
        <w:t>Brexit</w:t>
      </w:r>
      <w:proofErr w:type="spellEnd"/>
      <w:r w:rsidRPr="00DF24E5">
        <w:rPr>
          <w:rFonts w:eastAsiaTheme="minorHAnsi"/>
          <w:szCs w:val="22"/>
          <w:lang w:eastAsia="en-US"/>
        </w:rPr>
        <w:t xml:space="preserve"> korekcijas rezerve nepārsniedz summu 4 491 miljona EUR apmērā (2018. gada cenās).”;</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6)</w:t>
      </w:r>
      <w:r w:rsidRPr="00DF24E5">
        <w:rPr>
          <w:rFonts w:eastAsiaTheme="minorHAnsi"/>
          <w:szCs w:val="22"/>
          <w:lang w:eastAsia="en-US"/>
        </w:rPr>
        <w:tab/>
        <w:t>iekļauj šādus pantus:</w:t>
      </w:r>
    </w:p>
    <w:p w:rsidR="00947364" w:rsidRPr="00DF24E5" w:rsidRDefault="00947364" w:rsidP="00947364">
      <w:pPr>
        <w:widowControl/>
        <w:spacing w:before="120" w:after="120" w:line="360" w:lineRule="auto"/>
        <w:ind w:left="850"/>
        <w:rPr>
          <w:rFonts w:eastAsiaTheme="minorHAnsi"/>
          <w:i/>
          <w:iCs/>
          <w:szCs w:val="22"/>
          <w:lang w:eastAsia="en-US"/>
        </w:rPr>
      </w:pPr>
      <w:r w:rsidRPr="00DF24E5">
        <w:rPr>
          <w:rFonts w:eastAsiaTheme="minorHAnsi"/>
          <w:szCs w:val="22"/>
          <w:lang w:eastAsia="en-US"/>
        </w:rPr>
        <w:t>“</w:t>
      </w:r>
      <w:r w:rsidRPr="00DF24E5">
        <w:rPr>
          <w:rFonts w:eastAsiaTheme="minorHAnsi"/>
          <w:i/>
          <w:szCs w:val="22"/>
          <w:lang w:eastAsia="en-US"/>
        </w:rPr>
        <w:t>10.a pants</w:t>
      </w:r>
      <w:r w:rsidRPr="00DF24E5">
        <w:rPr>
          <w:rFonts w:eastAsiaTheme="minorHAnsi"/>
          <w:i/>
          <w:szCs w:val="22"/>
          <w:lang w:eastAsia="en-US"/>
        </w:rPr>
        <w:br/>
        <w:t>ESAI instruments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1.</w:t>
      </w:r>
      <w:r w:rsidRPr="00DF24E5">
        <w:rPr>
          <w:rFonts w:eastAsiaTheme="minorHAnsi"/>
          <w:szCs w:val="22"/>
          <w:lang w:eastAsia="en-US"/>
        </w:rPr>
        <w:tab/>
        <w:t xml:space="preserve">No 2025. gada ESAI instrumentu var izmantot, lai attiecīgajā gadā finansētu daļu no procentu un kupona maksājumu izmaksām, kas jāmaksā par kapitāla tirgos aizņemtajiem līdzekļiem saskaņā ar Padomes Lēmuma (ES, </w:t>
      </w:r>
      <w:r w:rsidRPr="00DF24E5">
        <w:rPr>
          <w:rFonts w:eastAsiaTheme="minorHAnsi"/>
          <w:i/>
          <w:szCs w:val="22"/>
          <w:lang w:eastAsia="en-US"/>
        </w:rPr>
        <w:t>Euratom</w:t>
      </w:r>
      <w:r w:rsidRPr="00DF24E5">
        <w:rPr>
          <w:rFonts w:eastAsiaTheme="minorHAnsi"/>
          <w:szCs w:val="22"/>
          <w:lang w:eastAsia="en-US"/>
        </w:rPr>
        <w:t>) 2020/2053 </w:t>
      </w:r>
      <w:r w:rsidRPr="00DF24E5">
        <w:rPr>
          <w:rFonts w:eastAsiaTheme="minorHAnsi"/>
          <w:szCs w:val="22"/>
          <w:vertAlign w:val="superscript"/>
          <w:lang w:eastAsia="en-US"/>
        </w:rPr>
        <w:t>*</w:t>
      </w:r>
      <w:r w:rsidRPr="00DF24E5">
        <w:rPr>
          <w:rFonts w:eastAsiaTheme="minorHAnsi"/>
          <w:szCs w:val="22"/>
          <w:lang w:eastAsia="en-US"/>
        </w:rPr>
        <w:t xml:space="preserve"> 5. panta 2. punktu. ESAI instrumentu var izmantot tikai attiecīgajā gadā, lai tādā apmērā, kā norādīts turpmākajos punktos, segtu šo izmaksu summu, kas pārsniedz šādas summas:</w:t>
      </w:r>
    </w:p>
    <w:p w:rsidR="00947364" w:rsidRPr="00DF24E5" w:rsidRDefault="002C2A5F" w:rsidP="00947364">
      <w:pPr>
        <w:widowControl/>
        <w:tabs>
          <w:tab w:val="num" w:pos="1984"/>
        </w:tabs>
        <w:spacing w:before="120" w:after="120" w:line="360" w:lineRule="auto"/>
        <w:ind w:left="1984" w:hanging="567"/>
        <w:rPr>
          <w:rFonts w:eastAsiaTheme="minorHAnsi"/>
          <w:szCs w:val="22"/>
          <w:lang w:eastAsia="en-US"/>
        </w:rPr>
      </w:pPr>
      <w:r w:rsidRPr="009C0C9C">
        <w:rPr>
          <w:bdr w:val="none" w:sz="0" w:space="0" w:color="auto" w:frame="1"/>
        </w:rPr>
        <w:t>–</w:t>
      </w:r>
      <w:r>
        <w:rPr>
          <w:bdr w:val="none" w:sz="0" w:space="0" w:color="auto" w:frame="1"/>
        </w:rPr>
        <w:tab/>
      </w:r>
      <w:r w:rsidR="00947364" w:rsidRPr="00DF24E5">
        <w:rPr>
          <w:rFonts w:eastAsiaTheme="minorHAnsi"/>
          <w:szCs w:val="22"/>
          <w:lang w:eastAsia="en-US"/>
        </w:rPr>
        <w:t>2025. gadam – 2 332 miljoni EUR,</w:t>
      </w:r>
    </w:p>
    <w:p w:rsidR="00947364" w:rsidRPr="00DF24E5" w:rsidRDefault="002C2A5F" w:rsidP="00947364">
      <w:pPr>
        <w:widowControl/>
        <w:tabs>
          <w:tab w:val="num" w:pos="1984"/>
        </w:tabs>
        <w:spacing w:before="120" w:after="120" w:line="360" w:lineRule="auto"/>
        <w:ind w:left="1984" w:hanging="567"/>
        <w:rPr>
          <w:rFonts w:eastAsiaTheme="minorHAnsi"/>
          <w:szCs w:val="22"/>
          <w:lang w:eastAsia="en-US"/>
        </w:rPr>
      </w:pPr>
      <w:r w:rsidRPr="009C0C9C">
        <w:rPr>
          <w:bdr w:val="none" w:sz="0" w:space="0" w:color="auto" w:frame="1"/>
        </w:rPr>
        <w:t>–</w:t>
      </w:r>
      <w:r>
        <w:rPr>
          <w:bdr w:val="none" w:sz="0" w:space="0" w:color="auto" w:frame="1"/>
        </w:rPr>
        <w:tab/>
      </w:r>
      <w:r w:rsidR="00947364" w:rsidRPr="00DF24E5">
        <w:rPr>
          <w:rFonts w:eastAsiaTheme="minorHAnsi"/>
          <w:szCs w:val="22"/>
          <w:lang w:eastAsia="en-US"/>
        </w:rPr>
        <w:t>2026. gadam – 3 196 miljoni EUR,</w:t>
      </w:r>
    </w:p>
    <w:p w:rsidR="00947364" w:rsidRPr="00DF24E5" w:rsidRDefault="002C2A5F" w:rsidP="00947364">
      <w:pPr>
        <w:widowControl/>
        <w:tabs>
          <w:tab w:val="num" w:pos="1984"/>
        </w:tabs>
        <w:spacing w:before="120" w:after="120" w:line="360" w:lineRule="auto"/>
        <w:ind w:left="1984" w:hanging="567"/>
        <w:rPr>
          <w:rFonts w:eastAsiaTheme="minorHAnsi"/>
          <w:szCs w:val="22"/>
          <w:lang w:eastAsia="en-US"/>
        </w:rPr>
      </w:pPr>
      <w:r w:rsidRPr="009C0C9C">
        <w:rPr>
          <w:bdr w:val="none" w:sz="0" w:space="0" w:color="auto" w:frame="1"/>
        </w:rPr>
        <w:t>–</w:t>
      </w:r>
      <w:r>
        <w:rPr>
          <w:bdr w:val="none" w:sz="0" w:space="0" w:color="auto" w:frame="1"/>
        </w:rPr>
        <w:tab/>
      </w:r>
      <w:r w:rsidR="00947364" w:rsidRPr="00DF24E5">
        <w:rPr>
          <w:rFonts w:eastAsiaTheme="minorHAnsi"/>
          <w:szCs w:val="22"/>
          <w:lang w:eastAsia="en-US"/>
        </w:rPr>
        <w:t>2027. gadam – 4 168 miljoni EUR.</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2.</w:t>
      </w:r>
      <w:r w:rsidRPr="00DF24E5">
        <w:rPr>
          <w:rFonts w:eastAsiaTheme="minorHAnsi"/>
          <w:szCs w:val="22"/>
          <w:lang w:eastAsia="en-US"/>
        </w:rPr>
        <w:tab/>
        <w:t>Eiropas Parlaments un Padome ESAI instrumentu var izmantot LESD 314. pantā paredzētās budžeta procedūras ietvaros tikai pēc tam, kad tie ir centušies rast citus finansēšanas līdzekļus, lai segtu būtisku daļu no summām, kas pārsniedz šā panta 1. punktā minētās summas, saskaņā ar piemērojamiem nozaru noteikumiem un citiem juridiskiem pienākumiem, vienlaikus ņemot vērā prioritātes, piesardzīgu budžeta plānošanu un pareizu finanšu pārvaldību.</w:t>
      </w:r>
    </w:p>
    <w:p w:rsidR="00947364" w:rsidRPr="00DF24E5" w:rsidRDefault="00947364" w:rsidP="00947364">
      <w:pPr>
        <w:widowControl/>
        <w:spacing w:before="120" w:after="120" w:line="360" w:lineRule="auto"/>
        <w:ind w:left="1417"/>
        <w:rPr>
          <w:rFonts w:eastAsiaTheme="minorHAnsi"/>
          <w:szCs w:val="22"/>
          <w:lang w:eastAsia="en-US"/>
        </w:rPr>
      </w:pPr>
      <w:r w:rsidRPr="00DF24E5">
        <w:rPr>
          <w:rFonts w:eastAsiaTheme="minorHAnsi"/>
          <w:szCs w:val="22"/>
          <w:lang w:eastAsia="en-US"/>
        </w:rPr>
        <w:br w:type="page"/>
        <w:t>Apropriācijas ESAI instrumentam dara pieejamas, pārsniedzot DFS maksimālos apjomus.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3.</w:t>
      </w:r>
      <w:r w:rsidRPr="00DF24E5">
        <w:rPr>
          <w:rFonts w:eastAsiaTheme="minorHAnsi"/>
          <w:szCs w:val="22"/>
          <w:lang w:eastAsia="en-US"/>
        </w:rPr>
        <w:tab/>
        <w:t>ESAI instruments ietver šādus elementus:</w:t>
      </w:r>
    </w:p>
    <w:p w:rsidR="00947364" w:rsidRPr="00DF24E5" w:rsidRDefault="00947364" w:rsidP="00947364">
      <w:pPr>
        <w:widowControl/>
        <w:spacing w:before="120" w:after="120" w:line="360" w:lineRule="auto"/>
        <w:ind w:left="1984" w:hanging="567"/>
        <w:rPr>
          <w:rFonts w:eastAsiaTheme="minorHAnsi"/>
          <w:szCs w:val="22"/>
          <w:lang w:eastAsia="en-US"/>
        </w:rPr>
      </w:pPr>
      <w:r w:rsidRPr="00DF24E5">
        <w:rPr>
          <w:rFonts w:eastAsiaTheme="minorHAnsi"/>
          <w:szCs w:val="22"/>
          <w:lang w:eastAsia="en-US"/>
        </w:rPr>
        <w:t>a)</w:t>
      </w:r>
      <w:r w:rsidRPr="00DF24E5">
        <w:rPr>
          <w:rFonts w:eastAsiaTheme="minorHAnsi"/>
          <w:szCs w:val="22"/>
          <w:lang w:eastAsia="en-US"/>
        </w:rPr>
        <w:tab/>
        <w:t xml:space="preserve">summu, kas līdzvērtīga atceltajām apropriācijām, kuras nav ārējie piešķirtie ieņēmumi, kas kumulatīvi gūti kopš 2021. gada, un kuras iepriekšējos gados nav izmantotas saskaņā ar šo instrumentu, izņemot atcelto saistību summas, kas atkal darītas pieejamas saskaņā ar Finanšu regulas 15. pantu un konkrētiem noteikumiem par to, kā apropriācijas atkal darīt pieejamas, kā minēts attiecīgajos </w:t>
      </w:r>
      <w:proofErr w:type="spellStart"/>
      <w:r w:rsidRPr="00DF24E5">
        <w:rPr>
          <w:rFonts w:eastAsiaTheme="minorHAnsi"/>
          <w:szCs w:val="22"/>
          <w:lang w:eastAsia="en-US"/>
        </w:rPr>
        <w:t>pamataktos</w:t>
      </w:r>
      <w:proofErr w:type="spellEnd"/>
      <w:r w:rsidRPr="00DF24E5">
        <w:rPr>
          <w:rFonts w:eastAsiaTheme="minorHAnsi"/>
          <w:szCs w:val="22"/>
          <w:lang w:eastAsia="en-US"/>
        </w:rPr>
        <w:t>. Šo summu izmanto vispirms;</w:t>
      </w:r>
    </w:p>
    <w:p w:rsidR="00947364" w:rsidRPr="00DF24E5" w:rsidRDefault="00947364" w:rsidP="00947364">
      <w:pPr>
        <w:widowControl/>
        <w:spacing w:before="120" w:after="120" w:line="360" w:lineRule="auto"/>
        <w:ind w:left="1984" w:hanging="567"/>
        <w:rPr>
          <w:rFonts w:eastAsiaTheme="minorHAnsi"/>
          <w:szCs w:val="22"/>
          <w:lang w:eastAsia="en-US"/>
        </w:rPr>
      </w:pPr>
      <w:r w:rsidRPr="00DF24E5">
        <w:rPr>
          <w:rFonts w:eastAsiaTheme="minorHAnsi"/>
          <w:szCs w:val="22"/>
          <w:lang w:eastAsia="en-US"/>
        </w:rPr>
        <w:t>b)</w:t>
      </w:r>
      <w:r w:rsidRPr="00DF24E5">
        <w:rPr>
          <w:rFonts w:eastAsiaTheme="minorHAnsi"/>
          <w:szCs w:val="22"/>
          <w:lang w:eastAsia="en-US"/>
        </w:rPr>
        <w:tab/>
        <w:t>tikai tad, ja šā punkta a) apakšpunktā minētā summa ir nepietiekama, papildu summu, kas vajadzīga, lai pilnībā finansētu 1. punktā minētās izmaksas attiecīgajā gadā.</w:t>
      </w:r>
    </w:p>
    <w:p w:rsidR="00947364" w:rsidRPr="00DF24E5" w:rsidRDefault="00947364" w:rsidP="00947364">
      <w:pPr>
        <w:widowControl/>
        <w:spacing w:before="120" w:after="120" w:line="360" w:lineRule="auto"/>
        <w:ind w:left="1417"/>
        <w:rPr>
          <w:rFonts w:eastAsiaTheme="minorHAnsi"/>
          <w:szCs w:val="22"/>
          <w:lang w:eastAsia="en-US"/>
        </w:rPr>
      </w:pPr>
      <w:r w:rsidRPr="00DF24E5">
        <w:rPr>
          <w:rFonts w:eastAsiaTheme="minorHAnsi"/>
          <w:szCs w:val="22"/>
          <w:lang w:eastAsia="en-US"/>
        </w:rPr>
        <w:t>Katru gadu Komisija 4. pantā minēto tehnisko korekciju ietvaros aprēķina pieejamo summu, pamatojoties uz pirmās daļas a) apakšpunktu un ņemot vērā summas, kas minētajā nolūkā apsvērtas iepriekšējos gados.</w:t>
      </w:r>
    </w:p>
    <w:p w:rsidR="00947364" w:rsidRPr="00DF24E5" w:rsidRDefault="00947364" w:rsidP="00947364">
      <w:pPr>
        <w:widowControl/>
        <w:spacing w:before="120" w:after="120" w:line="360" w:lineRule="auto"/>
        <w:ind w:left="850"/>
        <w:rPr>
          <w:rFonts w:eastAsiaTheme="minorHAnsi"/>
          <w:i/>
          <w:iCs/>
          <w:szCs w:val="22"/>
          <w:lang w:eastAsia="en-US"/>
        </w:rPr>
      </w:pPr>
      <w:r w:rsidRPr="00DF24E5">
        <w:rPr>
          <w:rFonts w:eastAsiaTheme="minorHAnsi"/>
          <w:szCs w:val="22"/>
          <w:lang w:eastAsia="en-US"/>
        </w:rPr>
        <w:br w:type="page"/>
      </w:r>
      <w:r w:rsidRPr="00DF24E5">
        <w:rPr>
          <w:rFonts w:eastAsiaTheme="minorHAnsi"/>
          <w:i/>
          <w:szCs w:val="22"/>
          <w:lang w:eastAsia="en-US"/>
        </w:rPr>
        <w:t>10.b pants</w:t>
      </w:r>
      <w:r w:rsidRPr="00DF24E5">
        <w:rPr>
          <w:rFonts w:eastAsiaTheme="minorHAnsi"/>
          <w:i/>
          <w:szCs w:val="22"/>
          <w:lang w:eastAsia="en-US"/>
        </w:rPr>
        <w:br/>
        <w:t>Ukrainas rezerve</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1.</w:t>
      </w:r>
      <w:r w:rsidRPr="00DF24E5">
        <w:rPr>
          <w:rFonts w:eastAsiaTheme="minorHAnsi"/>
          <w:szCs w:val="22"/>
          <w:lang w:eastAsia="en-US"/>
        </w:rPr>
        <w:tab/>
        <w:t>Ukrainas rezervi var izmantot vienīgi, lai finansētu Regulā (ES) 2024/….</w:t>
      </w:r>
      <w:r w:rsidRPr="00DF24E5">
        <w:rPr>
          <w:rFonts w:eastAsiaTheme="minorHAnsi"/>
          <w:szCs w:val="22"/>
          <w:vertAlign w:val="superscript"/>
          <w:lang w:eastAsia="en-US"/>
        </w:rPr>
        <w:footnoteReference w:customMarkFollows="1" w:id="11"/>
        <w:t>+</w:t>
      </w:r>
      <w:r w:rsidRPr="00DF24E5">
        <w:rPr>
          <w:rFonts w:eastAsiaTheme="minorHAnsi"/>
          <w:szCs w:val="22"/>
          <w:lang w:eastAsia="en-US"/>
        </w:rPr>
        <w:t xml:space="preserve"> paredzētos izdevumus.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2.</w:t>
      </w:r>
      <w:r w:rsidRPr="00DF24E5">
        <w:rPr>
          <w:rFonts w:eastAsiaTheme="minorHAnsi"/>
          <w:szCs w:val="22"/>
          <w:lang w:eastAsia="en-US"/>
        </w:rPr>
        <w:tab/>
        <w:t>Ukrainas rezerve nepārsniedz 17 000 miljonus EUR faktiskajās cenās laikposmā no 2024. līdz 2027. gadam.</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3.</w:t>
      </w:r>
      <w:r w:rsidRPr="00DF24E5">
        <w:rPr>
          <w:rFonts w:eastAsiaTheme="minorHAnsi"/>
          <w:szCs w:val="22"/>
          <w:lang w:eastAsia="en-US"/>
        </w:rPr>
        <w:tab/>
        <w:t>Gada summa, kas attiecīgajā gadā izmantota no Ukrainas rezerves, nepārsniedz 5000 miljonus EUR faktiskajās cenās. Neskarot 2. punktā noteikto kopējo summu, gada summas neizmantoto daļu attiecīgajā gadā var izmantot nākamajos gados līdz 2027. gadam.</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4.</w:t>
      </w:r>
      <w:r w:rsidRPr="00DF24E5">
        <w:rPr>
          <w:rFonts w:eastAsiaTheme="minorHAnsi"/>
          <w:szCs w:val="22"/>
          <w:lang w:eastAsia="en-US"/>
        </w:rPr>
        <w:tab/>
        <w:t>Eiropas Parlaments un Padome Ukrainas rezervi var izmantot LESD 314. pantā paredzētās budžeta procedūras ietvaros.</w:t>
      </w:r>
    </w:p>
    <w:p w:rsidR="00947364" w:rsidRPr="00DF24E5" w:rsidRDefault="00947364" w:rsidP="00947364">
      <w:pPr>
        <w:widowControl/>
        <w:spacing w:before="120" w:after="120" w:line="360" w:lineRule="auto"/>
        <w:ind w:left="850"/>
        <w:rPr>
          <w:rFonts w:eastAsiaTheme="minorHAnsi"/>
          <w:szCs w:val="22"/>
          <w:lang w:eastAsia="en-US"/>
        </w:rPr>
      </w:pPr>
      <w:r w:rsidRPr="00DF24E5">
        <w:rPr>
          <w:rFonts w:eastAsiaTheme="minorHAnsi"/>
          <w:szCs w:val="22"/>
          <w:lang w:eastAsia="en-US"/>
        </w:rPr>
        <w:t>________________</w:t>
      </w:r>
    </w:p>
    <w:p w:rsidR="00947364" w:rsidRPr="00DF24E5" w:rsidRDefault="00947364" w:rsidP="00947364">
      <w:pPr>
        <w:widowControl/>
        <w:spacing w:after="120"/>
        <w:ind w:left="1418" w:hanging="567"/>
        <w:rPr>
          <w:rFonts w:eastAsiaTheme="minorHAnsi"/>
          <w:szCs w:val="22"/>
          <w:lang w:eastAsia="en-US"/>
        </w:rPr>
      </w:pPr>
      <w:r w:rsidRPr="00DF24E5">
        <w:rPr>
          <w:rFonts w:eastAsiaTheme="minorHAnsi"/>
          <w:szCs w:val="22"/>
          <w:vertAlign w:val="superscript"/>
          <w:lang w:eastAsia="en-US"/>
        </w:rPr>
        <w:t>*</w:t>
      </w:r>
      <w:r w:rsidRPr="00DF24E5">
        <w:rPr>
          <w:rFonts w:eastAsiaTheme="minorHAnsi"/>
          <w:szCs w:val="22"/>
          <w:lang w:eastAsia="en-US"/>
        </w:rPr>
        <w:tab/>
        <w:t xml:space="preserve">Padomes Lēmums (ES, </w:t>
      </w:r>
      <w:r w:rsidRPr="00DF24E5">
        <w:rPr>
          <w:rFonts w:eastAsiaTheme="minorHAnsi"/>
          <w:i/>
          <w:szCs w:val="22"/>
          <w:lang w:eastAsia="en-US"/>
        </w:rPr>
        <w:t>Euratom</w:t>
      </w:r>
      <w:r w:rsidRPr="00DF24E5">
        <w:rPr>
          <w:rFonts w:eastAsiaTheme="minorHAnsi"/>
          <w:szCs w:val="22"/>
          <w:lang w:eastAsia="en-US"/>
        </w:rPr>
        <w:t xml:space="preserve">) 2020/2053 (2020. gada 14. decembris) par Eiropas Savienības pašu resursu sistēmu un ar ko atceļ Lēmumu 2014/335/ES, </w:t>
      </w:r>
      <w:r w:rsidRPr="00DF24E5">
        <w:rPr>
          <w:rFonts w:eastAsiaTheme="minorHAnsi"/>
          <w:i/>
          <w:szCs w:val="22"/>
          <w:lang w:eastAsia="en-US"/>
        </w:rPr>
        <w:t>Euratom</w:t>
      </w:r>
      <w:r w:rsidRPr="00DF24E5">
        <w:rPr>
          <w:rFonts w:eastAsiaTheme="minorHAnsi"/>
          <w:szCs w:val="22"/>
          <w:lang w:eastAsia="en-US"/>
        </w:rPr>
        <w:t xml:space="preserve"> (OV L 424, 15.12.2020., 1. lpp.).”;</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br w:type="page"/>
        <w:t>7)</w:t>
      </w:r>
      <w:r w:rsidRPr="00DF24E5">
        <w:rPr>
          <w:rFonts w:eastAsiaTheme="minorHAnsi"/>
          <w:szCs w:val="22"/>
          <w:lang w:eastAsia="en-US"/>
        </w:rPr>
        <w:tab/>
        <w:t>regulas 11. pantā iekļauj šādu punktu:</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“3.a</w:t>
      </w:r>
      <w:r w:rsidRPr="00DF24E5">
        <w:rPr>
          <w:rFonts w:eastAsiaTheme="minorHAnsi"/>
          <w:szCs w:val="22"/>
          <w:lang w:eastAsia="en-US"/>
        </w:rPr>
        <w:tab/>
        <w:t>Šā panta 3. punktā minētās ikgadējās korekcijas maksimālo summu 2026. gadam, kura palielināta par 5. panta 2. punkta otrajā daļā minēto summu, koriģē par summu, kas ir līdzvērtīga 2025. gadam paredzētās maksimālās summas neizmantotajai daļai.”;</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8)</w:t>
      </w:r>
      <w:r w:rsidRPr="00DF24E5">
        <w:rPr>
          <w:rFonts w:eastAsiaTheme="minorHAnsi"/>
          <w:szCs w:val="22"/>
          <w:lang w:eastAsia="en-US"/>
        </w:rPr>
        <w:tab/>
        <w:t>regulas 12. pantu aizstāj ar šādu:</w:t>
      </w:r>
    </w:p>
    <w:p w:rsidR="00947364" w:rsidRPr="00DF24E5" w:rsidRDefault="00947364" w:rsidP="00947364">
      <w:pPr>
        <w:widowControl/>
        <w:spacing w:before="120" w:after="120" w:line="360" w:lineRule="auto"/>
        <w:ind w:left="850"/>
        <w:rPr>
          <w:rFonts w:eastAsiaTheme="minorHAnsi"/>
          <w:i/>
          <w:iCs/>
          <w:szCs w:val="22"/>
          <w:lang w:eastAsia="en-US"/>
        </w:rPr>
      </w:pPr>
      <w:r w:rsidRPr="00DF24E5">
        <w:rPr>
          <w:rFonts w:eastAsiaTheme="minorHAnsi"/>
          <w:szCs w:val="22"/>
          <w:lang w:eastAsia="en-US"/>
        </w:rPr>
        <w:t>“</w:t>
      </w:r>
      <w:r w:rsidRPr="00DF24E5">
        <w:rPr>
          <w:rFonts w:eastAsiaTheme="minorHAnsi"/>
          <w:i/>
          <w:szCs w:val="22"/>
          <w:lang w:eastAsia="en-US"/>
        </w:rPr>
        <w:t>12. pants</w:t>
      </w:r>
      <w:r w:rsidRPr="00DF24E5">
        <w:rPr>
          <w:rFonts w:eastAsiaTheme="minorHAnsi"/>
          <w:i/>
          <w:szCs w:val="22"/>
          <w:lang w:eastAsia="en-US"/>
        </w:rPr>
        <w:br/>
        <w:t>Elastības instruments</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t>1.</w:t>
      </w:r>
      <w:r w:rsidRPr="00DF24E5">
        <w:rPr>
          <w:rFonts w:eastAsiaTheme="minorHAnsi"/>
          <w:szCs w:val="22"/>
          <w:lang w:eastAsia="en-US"/>
        </w:rPr>
        <w:tab/>
        <w:t>Elastības instrumentu var izmantot, lai attiecīgajā finanšu gadā finansētu konkrētus neparedzētus izdevumus saistību apropriācijās un atbilstošajās maksājumu apropriācijās, ko nevar finansēt, nepārsniedzot vienai vai vairākām citām izdevumu kategorijām pieejamos maksimālos apjomus. Elastības instrumentam 2021.–2023. gadā pieejamā ikgadējā maksimālā summa ir 915 miljoni EUR (2018. gada cenās). Elastības instrumentam 2024.–2027. gadā pieejamā ikgadējā maksimālā summa ir 1346 miljoni EUR (2018. gada cenās).</w:t>
      </w:r>
    </w:p>
    <w:p w:rsidR="00947364" w:rsidRPr="00DF24E5" w:rsidRDefault="00947364" w:rsidP="00947364">
      <w:pPr>
        <w:widowControl/>
        <w:spacing w:before="120" w:after="120" w:line="360" w:lineRule="auto"/>
        <w:ind w:left="1417"/>
        <w:rPr>
          <w:rFonts w:eastAsiaTheme="minorHAnsi"/>
          <w:szCs w:val="22"/>
          <w:lang w:eastAsia="en-US"/>
        </w:rPr>
      </w:pPr>
      <w:r w:rsidRPr="00DF24E5">
        <w:rPr>
          <w:rFonts w:eastAsiaTheme="minorHAnsi"/>
          <w:szCs w:val="22"/>
          <w:lang w:eastAsia="en-US"/>
        </w:rPr>
        <w:t>Katru gadu elastības instrumentam pieejamo gada summu palielina par summu, kas līdzvērtīga Eiropas Solidaritātes rezervei un rezervei palīdzībai ārkārtas gadījumos paredzēto ikgadējo summu daļām, kuras saskaņā ar 9. pantu ir dzēstas iepriekšējā gadā.</w:t>
      </w:r>
    </w:p>
    <w:p w:rsidR="00947364" w:rsidRPr="00DF24E5" w:rsidRDefault="00947364" w:rsidP="00947364">
      <w:pPr>
        <w:widowControl/>
        <w:spacing w:before="120" w:after="120" w:line="360" w:lineRule="auto"/>
        <w:ind w:left="1417" w:hanging="567"/>
        <w:rPr>
          <w:rFonts w:eastAsiaTheme="minorHAnsi"/>
          <w:szCs w:val="22"/>
          <w:lang w:eastAsia="en-US"/>
        </w:rPr>
      </w:pPr>
      <w:r w:rsidRPr="00DF24E5">
        <w:rPr>
          <w:rFonts w:eastAsiaTheme="minorHAnsi"/>
          <w:szCs w:val="22"/>
          <w:lang w:eastAsia="en-US"/>
        </w:rPr>
        <w:br w:type="page"/>
        <w:t>2.</w:t>
      </w:r>
      <w:r w:rsidRPr="00DF24E5">
        <w:rPr>
          <w:rFonts w:eastAsiaTheme="minorHAnsi"/>
          <w:color w:val="231F20"/>
          <w:sz w:val="19"/>
          <w:szCs w:val="19"/>
          <w:lang w:eastAsia="en-US"/>
        </w:rPr>
        <w:tab/>
      </w:r>
      <w:r w:rsidRPr="00DF24E5">
        <w:rPr>
          <w:rFonts w:eastAsiaTheme="minorHAnsi"/>
          <w:szCs w:val="22"/>
          <w:lang w:eastAsia="en-US"/>
        </w:rPr>
        <w:t>Elastības instrumenta ikgadējās summas neizmantoto daļu var izmantot līdz n+2 gadam. Vispirms izmanto jebkuru ikgadējās summas daļu, kas atlikusi no iepriekšējiem gadiem, sākot ar agrākajām summām. Jebkura tā n gada summas daļa, kas nav izmantota līdz n+2 gadam, tiek dzēsta.”;</w:t>
      </w:r>
    </w:p>
    <w:p w:rsidR="00947364" w:rsidRPr="00DF24E5" w:rsidRDefault="00947364" w:rsidP="00947364">
      <w:pPr>
        <w:widowControl/>
        <w:spacing w:before="120" w:after="120" w:line="360" w:lineRule="auto"/>
        <w:ind w:left="850" w:hanging="850"/>
        <w:rPr>
          <w:rFonts w:eastAsiaTheme="minorHAnsi"/>
          <w:szCs w:val="22"/>
          <w:lang w:eastAsia="en-US"/>
        </w:rPr>
      </w:pPr>
      <w:r w:rsidRPr="00DF24E5">
        <w:rPr>
          <w:rFonts w:eastAsiaTheme="minorHAnsi"/>
          <w:szCs w:val="22"/>
          <w:lang w:eastAsia="en-US"/>
        </w:rPr>
        <w:t>9)</w:t>
      </w:r>
      <w:r w:rsidRPr="00DF24E5">
        <w:rPr>
          <w:rFonts w:eastAsiaTheme="minorHAnsi"/>
          <w:szCs w:val="22"/>
          <w:lang w:eastAsia="en-US"/>
        </w:rPr>
        <w:tab/>
        <w:t>regulas I un II pielikumu aizstāj ar tekstu, kas izklāstīts šīs regulas pielikumā.</w:t>
      </w:r>
    </w:p>
    <w:p w:rsidR="00947364" w:rsidRPr="00DF24E5" w:rsidRDefault="00947364" w:rsidP="00947364">
      <w:pPr>
        <w:keepNext/>
        <w:widowControl/>
        <w:spacing w:before="360" w:after="120" w:line="360" w:lineRule="auto"/>
        <w:jc w:val="center"/>
        <w:rPr>
          <w:rFonts w:eastAsiaTheme="minorHAnsi"/>
          <w:i/>
          <w:szCs w:val="22"/>
          <w:lang w:eastAsia="en-US"/>
        </w:rPr>
      </w:pPr>
      <w:r w:rsidRPr="00DF24E5">
        <w:rPr>
          <w:rFonts w:eastAsiaTheme="minorHAnsi"/>
          <w:i/>
          <w:szCs w:val="22"/>
          <w:lang w:eastAsia="en-US"/>
        </w:rPr>
        <w:t>2. pants</w:t>
      </w:r>
    </w:p>
    <w:p w:rsidR="00947364" w:rsidRPr="00DF24E5" w:rsidRDefault="00947364" w:rsidP="00947364">
      <w:r w:rsidRPr="00DF24E5">
        <w:t xml:space="preserve">Šī regula stājas spēkā dienā, kad to publicē </w:t>
      </w:r>
      <w:r w:rsidRPr="00DF24E5">
        <w:rPr>
          <w:i/>
        </w:rPr>
        <w:t>Eiropas Savienības Oficiālajā Vēstnesī</w:t>
      </w:r>
      <w:r w:rsidRPr="00DF24E5">
        <w:t>.</w:t>
      </w:r>
    </w:p>
    <w:p w:rsidR="00947364" w:rsidRPr="00DF24E5" w:rsidRDefault="00947364" w:rsidP="00947364">
      <w:r w:rsidRPr="00DF24E5">
        <w:t>To piemēro no 2024. gada 1. janvāra.</w:t>
      </w:r>
    </w:p>
    <w:p w:rsidR="00947364" w:rsidRPr="00DF24E5" w:rsidRDefault="00947364" w:rsidP="00947364">
      <w:pPr>
        <w:widowControl/>
        <w:spacing w:before="480" w:after="120" w:line="360" w:lineRule="auto"/>
        <w:rPr>
          <w:rFonts w:eastAsiaTheme="minorHAnsi"/>
          <w:szCs w:val="22"/>
          <w:lang w:eastAsia="en-US"/>
        </w:rPr>
      </w:pPr>
      <w:r w:rsidRPr="00DF24E5">
        <w:rPr>
          <w:rFonts w:eastAsiaTheme="minorHAnsi"/>
          <w:szCs w:val="22"/>
          <w:lang w:eastAsia="en-US"/>
        </w:rPr>
        <w:t>Šī regula uzliek saistības kopumā un ir tieši piemērojama visās dalībvalstīs.</w:t>
      </w:r>
    </w:p>
    <w:p w:rsidR="00947364" w:rsidRPr="00DF24E5" w:rsidRDefault="00947364" w:rsidP="00947364">
      <w:pPr>
        <w:keepNext/>
        <w:widowControl/>
        <w:spacing w:before="120" w:line="360" w:lineRule="auto"/>
        <w:rPr>
          <w:rFonts w:eastAsiaTheme="minorHAnsi"/>
          <w:szCs w:val="22"/>
          <w:lang w:eastAsia="en-US"/>
        </w:rPr>
      </w:pPr>
      <w:r w:rsidRPr="00DF24E5">
        <w:rPr>
          <w:rFonts w:eastAsiaTheme="minorHAnsi"/>
          <w:szCs w:val="22"/>
          <w:lang w:eastAsia="en-US"/>
        </w:rPr>
        <w:t>…,</w:t>
      </w:r>
    </w:p>
    <w:p w:rsidR="00947364" w:rsidRPr="00DF24E5" w:rsidRDefault="00947364" w:rsidP="00947364">
      <w:pPr>
        <w:keepNext/>
        <w:widowControl/>
        <w:tabs>
          <w:tab w:val="left" w:pos="5669"/>
        </w:tabs>
        <w:spacing w:before="720" w:line="360" w:lineRule="auto"/>
        <w:rPr>
          <w:rFonts w:eastAsiaTheme="minorHAnsi"/>
          <w:i/>
          <w:szCs w:val="22"/>
          <w:lang w:eastAsia="en-US"/>
        </w:rPr>
      </w:pPr>
      <w:r w:rsidRPr="00DF24E5">
        <w:rPr>
          <w:rFonts w:eastAsiaTheme="minorHAnsi"/>
          <w:i/>
          <w:szCs w:val="22"/>
          <w:lang w:eastAsia="en-US"/>
        </w:rPr>
        <w:tab/>
        <w:t>Padomes vārdā –</w:t>
      </w:r>
    </w:p>
    <w:p w:rsidR="00947364" w:rsidRPr="00DF24E5" w:rsidRDefault="00947364" w:rsidP="00947364">
      <w:pPr>
        <w:widowControl/>
        <w:tabs>
          <w:tab w:val="left" w:pos="5669"/>
        </w:tabs>
        <w:spacing w:line="360" w:lineRule="auto"/>
        <w:rPr>
          <w:rFonts w:eastAsiaTheme="minorHAnsi"/>
          <w:i/>
          <w:szCs w:val="22"/>
          <w:lang w:eastAsia="en-US"/>
        </w:rPr>
      </w:pPr>
      <w:r w:rsidRPr="00DF24E5">
        <w:rPr>
          <w:rFonts w:eastAsiaTheme="minorHAnsi"/>
          <w:i/>
          <w:szCs w:val="22"/>
          <w:lang w:eastAsia="en-US"/>
        </w:rPr>
        <w:tab/>
        <w:t>priekšsēdētājs / priekšsēdētāja</w:t>
      </w:r>
    </w:p>
    <w:p w:rsidR="00947364" w:rsidRPr="00DF24E5" w:rsidRDefault="00947364" w:rsidP="00947364">
      <w:pPr>
        <w:widowControl/>
        <w:pBdr>
          <w:bottom w:val="single" w:sz="4" w:space="0" w:color="000000"/>
        </w:pBdr>
        <w:spacing w:before="360" w:after="120" w:line="360" w:lineRule="auto"/>
        <w:ind w:left="3400" w:right="3400"/>
        <w:jc w:val="center"/>
        <w:rPr>
          <w:rFonts w:eastAsiaTheme="minorHAnsi"/>
          <w:b/>
          <w:szCs w:val="22"/>
          <w:lang w:eastAsia="en-US"/>
        </w:rPr>
      </w:pPr>
    </w:p>
    <w:p w:rsidR="00947364" w:rsidRPr="00DF24E5" w:rsidRDefault="00947364" w:rsidP="00947364">
      <w:pPr>
        <w:spacing w:after="240"/>
      </w:pPr>
    </w:p>
    <w:p w:rsidR="00947364" w:rsidRPr="00DF24E5" w:rsidRDefault="00947364" w:rsidP="00947364">
      <w:pPr>
        <w:sectPr w:rsidR="00947364" w:rsidRPr="00DF24E5" w:rsidSect="00C27FFB">
          <w:pgSz w:w="11907" w:h="16839"/>
          <w:pgMar w:top="1134" w:right="1134" w:bottom="1134" w:left="1134" w:header="567" w:footer="567" w:gutter="0"/>
          <w:cols w:space="720"/>
          <w:titlePg/>
        </w:sectPr>
      </w:pPr>
    </w:p>
    <w:p w:rsidR="00947364" w:rsidRPr="002C2A5F" w:rsidRDefault="00947364" w:rsidP="00947364">
      <w:pPr>
        <w:widowControl/>
        <w:spacing w:before="120" w:after="120" w:line="360" w:lineRule="auto"/>
        <w:jc w:val="center"/>
        <w:rPr>
          <w:rFonts w:eastAsiaTheme="minorHAnsi"/>
          <w:b/>
          <w:szCs w:val="22"/>
          <w:u w:val="single"/>
          <w:lang w:eastAsia="en-US"/>
        </w:rPr>
      </w:pPr>
      <w:r w:rsidRPr="002C2A5F">
        <w:rPr>
          <w:rFonts w:eastAsiaTheme="minorHAnsi"/>
          <w:b/>
          <w:szCs w:val="22"/>
          <w:u w:val="single"/>
          <w:lang w:eastAsia="en-US"/>
        </w:rPr>
        <w:t>PIELIKUMS</w:t>
      </w:r>
    </w:p>
    <w:p w:rsidR="00947364" w:rsidRPr="002C2A5F" w:rsidRDefault="00947364" w:rsidP="00947364">
      <w:pPr>
        <w:jc w:val="center"/>
      </w:pPr>
      <w:r w:rsidRPr="002C2A5F">
        <w:t>“I PIELIKUMS</w:t>
      </w:r>
      <w:r w:rsidRPr="002C2A5F">
        <w:br/>
        <w:t>DAUDZGADU FINANŠU SHĒMA (ES – 27)</w:t>
      </w:r>
    </w:p>
    <w:tbl>
      <w:tblPr>
        <w:tblW w:w="5073" w:type="pct"/>
        <w:tblLayout w:type="fixed"/>
        <w:tblLook w:val="04A0" w:firstRow="1" w:lastRow="0" w:firstColumn="1" w:lastColumn="0" w:noHBand="0" w:noVBand="1"/>
      </w:tblPr>
      <w:tblGrid>
        <w:gridCol w:w="5585"/>
        <w:gridCol w:w="1006"/>
        <w:gridCol w:w="1015"/>
        <w:gridCol w:w="1015"/>
        <w:gridCol w:w="1015"/>
        <w:gridCol w:w="1012"/>
        <w:gridCol w:w="1009"/>
        <w:gridCol w:w="986"/>
        <w:gridCol w:w="1852"/>
      </w:tblGrid>
      <w:tr w:rsidR="00947364" w:rsidRPr="002C2A5F" w:rsidTr="0029709C">
        <w:trPr>
          <w:trHeight w:val="315"/>
          <w:tblHeader/>
        </w:trPr>
        <w:tc>
          <w:tcPr>
            <w:tcW w:w="1927" w:type="pct"/>
            <w:tcBorders>
              <w:top w:val="nil"/>
              <w:left w:val="nil"/>
              <w:bottom w:val="nil"/>
              <w:right w:val="nil"/>
            </w:tcBorders>
            <w:shd w:val="clear" w:color="auto" w:fill="auto"/>
            <w:noWrap/>
            <w:vAlign w:val="bottom"/>
            <w:hideMark/>
          </w:tcPr>
          <w:p w:rsidR="00947364" w:rsidRPr="002C2A5F" w:rsidRDefault="00947364" w:rsidP="00947364">
            <w:pPr>
              <w:spacing w:before="60" w:after="60"/>
            </w:pPr>
          </w:p>
        </w:tc>
        <w:tc>
          <w:tcPr>
            <w:tcW w:w="347" w:type="pct"/>
            <w:tcBorders>
              <w:top w:val="nil"/>
              <w:left w:val="nil"/>
              <w:bottom w:val="nil"/>
              <w:right w:val="nil"/>
            </w:tcBorders>
            <w:shd w:val="clear" w:color="auto" w:fill="auto"/>
            <w:noWrap/>
            <w:vAlign w:val="bottom"/>
            <w:hideMark/>
          </w:tcPr>
          <w:p w:rsidR="00947364" w:rsidRPr="002C2A5F" w:rsidRDefault="00947364" w:rsidP="00947364">
            <w:pPr>
              <w:spacing w:before="60" w:after="60"/>
            </w:pPr>
          </w:p>
        </w:tc>
        <w:tc>
          <w:tcPr>
            <w:tcW w:w="350" w:type="pct"/>
            <w:tcBorders>
              <w:top w:val="nil"/>
              <w:left w:val="nil"/>
              <w:bottom w:val="nil"/>
              <w:right w:val="nil"/>
            </w:tcBorders>
            <w:shd w:val="clear" w:color="auto" w:fill="auto"/>
            <w:noWrap/>
            <w:vAlign w:val="bottom"/>
            <w:hideMark/>
          </w:tcPr>
          <w:p w:rsidR="00947364" w:rsidRPr="002C2A5F" w:rsidRDefault="00947364" w:rsidP="00947364">
            <w:pPr>
              <w:spacing w:before="60" w:after="60"/>
            </w:pPr>
          </w:p>
        </w:tc>
        <w:tc>
          <w:tcPr>
            <w:tcW w:w="350" w:type="pct"/>
            <w:tcBorders>
              <w:top w:val="nil"/>
              <w:left w:val="nil"/>
              <w:bottom w:val="nil"/>
              <w:right w:val="nil"/>
            </w:tcBorders>
            <w:shd w:val="clear" w:color="auto" w:fill="auto"/>
            <w:noWrap/>
            <w:vAlign w:val="bottom"/>
            <w:hideMark/>
          </w:tcPr>
          <w:p w:rsidR="00947364" w:rsidRPr="002C2A5F" w:rsidRDefault="00947364" w:rsidP="00947364">
            <w:pPr>
              <w:spacing w:before="60" w:after="60"/>
            </w:pPr>
          </w:p>
        </w:tc>
        <w:tc>
          <w:tcPr>
            <w:tcW w:w="350" w:type="pct"/>
            <w:tcBorders>
              <w:top w:val="nil"/>
              <w:left w:val="nil"/>
              <w:bottom w:val="nil"/>
              <w:right w:val="nil"/>
            </w:tcBorders>
            <w:shd w:val="clear" w:color="auto" w:fill="auto"/>
            <w:noWrap/>
            <w:vAlign w:val="bottom"/>
            <w:hideMark/>
          </w:tcPr>
          <w:p w:rsidR="00947364" w:rsidRPr="002C2A5F" w:rsidRDefault="00947364" w:rsidP="00947364">
            <w:pPr>
              <w:spacing w:before="60" w:after="60"/>
            </w:pPr>
          </w:p>
        </w:tc>
        <w:tc>
          <w:tcPr>
            <w:tcW w:w="349" w:type="pct"/>
            <w:tcBorders>
              <w:top w:val="nil"/>
              <w:left w:val="nil"/>
              <w:bottom w:val="nil"/>
              <w:right w:val="nil"/>
            </w:tcBorders>
            <w:shd w:val="clear" w:color="auto" w:fill="auto"/>
            <w:noWrap/>
            <w:vAlign w:val="bottom"/>
            <w:hideMark/>
          </w:tcPr>
          <w:p w:rsidR="00947364" w:rsidRPr="002C2A5F" w:rsidRDefault="00947364" w:rsidP="00947364">
            <w:pPr>
              <w:spacing w:before="60" w:after="60"/>
            </w:pPr>
          </w:p>
        </w:tc>
        <w:tc>
          <w:tcPr>
            <w:tcW w:w="1327" w:type="pct"/>
            <w:gridSpan w:val="3"/>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i/>
                <w:iCs/>
              </w:rPr>
            </w:pPr>
            <w:r w:rsidRPr="002C2A5F">
              <w:rPr>
                <w:i/>
              </w:rPr>
              <w:t>(miljoni EUR – 2018. gada cenās)</w:t>
            </w:r>
          </w:p>
        </w:tc>
      </w:tr>
      <w:tr w:rsidR="00947364" w:rsidRPr="002C2A5F" w:rsidTr="0029709C">
        <w:trPr>
          <w:trHeight w:val="645"/>
          <w:tblHeader/>
        </w:trPr>
        <w:tc>
          <w:tcPr>
            <w:tcW w:w="1927"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rsidR="00947364" w:rsidRPr="002C2A5F" w:rsidRDefault="00947364" w:rsidP="00947364">
            <w:pPr>
              <w:spacing w:before="60" w:after="60"/>
              <w:jc w:val="center"/>
              <w:rPr>
                <w:b/>
                <w:bCs/>
              </w:rPr>
            </w:pPr>
            <w:r w:rsidRPr="002C2A5F">
              <w:rPr>
                <w:b/>
              </w:rPr>
              <w:t>SAISTĪBU APROPRIĀCIJAS</w:t>
            </w:r>
          </w:p>
        </w:tc>
        <w:tc>
          <w:tcPr>
            <w:tcW w:w="347"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center"/>
              <w:rPr>
                <w:b/>
                <w:bCs/>
              </w:rPr>
            </w:pPr>
            <w:r w:rsidRPr="002C2A5F">
              <w:rPr>
                <w:b/>
              </w:rPr>
              <w:t>2021</w:t>
            </w:r>
          </w:p>
        </w:tc>
        <w:tc>
          <w:tcPr>
            <w:tcW w:w="350"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center"/>
              <w:rPr>
                <w:b/>
                <w:bCs/>
              </w:rPr>
            </w:pPr>
            <w:r w:rsidRPr="002C2A5F">
              <w:rPr>
                <w:b/>
              </w:rPr>
              <w:t>2022</w:t>
            </w:r>
          </w:p>
        </w:tc>
        <w:tc>
          <w:tcPr>
            <w:tcW w:w="350"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center"/>
              <w:rPr>
                <w:b/>
                <w:bCs/>
              </w:rPr>
            </w:pPr>
            <w:r w:rsidRPr="002C2A5F">
              <w:rPr>
                <w:b/>
              </w:rPr>
              <w:t>2023</w:t>
            </w:r>
          </w:p>
        </w:tc>
        <w:tc>
          <w:tcPr>
            <w:tcW w:w="350"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center"/>
              <w:rPr>
                <w:b/>
                <w:bCs/>
              </w:rPr>
            </w:pPr>
            <w:r w:rsidRPr="002C2A5F">
              <w:rPr>
                <w:b/>
              </w:rPr>
              <w:t>2024</w:t>
            </w:r>
          </w:p>
        </w:tc>
        <w:tc>
          <w:tcPr>
            <w:tcW w:w="349"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center"/>
              <w:rPr>
                <w:b/>
                <w:bCs/>
              </w:rPr>
            </w:pPr>
            <w:r w:rsidRPr="002C2A5F">
              <w:rPr>
                <w:b/>
              </w:rPr>
              <w:t>2025</w:t>
            </w:r>
          </w:p>
        </w:tc>
        <w:tc>
          <w:tcPr>
            <w:tcW w:w="348"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center"/>
              <w:rPr>
                <w:b/>
                <w:bCs/>
              </w:rPr>
            </w:pPr>
            <w:r w:rsidRPr="002C2A5F">
              <w:rPr>
                <w:b/>
              </w:rPr>
              <w:t>2026</w:t>
            </w:r>
          </w:p>
        </w:tc>
        <w:tc>
          <w:tcPr>
            <w:tcW w:w="340"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center"/>
              <w:rPr>
                <w:b/>
                <w:bCs/>
              </w:rPr>
            </w:pPr>
            <w:r w:rsidRPr="002C2A5F">
              <w:rPr>
                <w:b/>
              </w:rPr>
              <w:t>2027</w:t>
            </w:r>
          </w:p>
        </w:tc>
        <w:tc>
          <w:tcPr>
            <w:tcW w:w="639" w:type="pct"/>
            <w:tcBorders>
              <w:top w:val="single" w:sz="8" w:space="0" w:color="auto"/>
              <w:left w:val="single" w:sz="4" w:space="0" w:color="auto"/>
              <w:bottom w:val="single" w:sz="8" w:space="0" w:color="auto"/>
              <w:right w:val="single" w:sz="8" w:space="0" w:color="auto"/>
            </w:tcBorders>
            <w:shd w:val="clear" w:color="auto" w:fill="auto"/>
            <w:vAlign w:val="center"/>
            <w:hideMark/>
          </w:tcPr>
          <w:p w:rsidR="00947364" w:rsidRPr="002C2A5F" w:rsidRDefault="00947364" w:rsidP="00947364">
            <w:pPr>
              <w:spacing w:before="60" w:after="60"/>
              <w:jc w:val="center"/>
              <w:rPr>
                <w:b/>
                <w:bCs/>
              </w:rPr>
            </w:pPr>
            <w:r w:rsidRPr="002C2A5F">
              <w:rPr>
                <w:b/>
              </w:rPr>
              <w:t>Kopā</w:t>
            </w:r>
            <w:r w:rsidRPr="002C2A5F">
              <w:rPr>
                <w:b/>
              </w:rPr>
              <w:br/>
              <w:t>2021-2027</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spacing w:before="60" w:after="60"/>
              <w:rPr>
                <w:b/>
                <w:bCs/>
                <w:szCs w:val="24"/>
              </w:rPr>
            </w:pPr>
            <w:r w:rsidRPr="002C2A5F">
              <w:rPr>
                <w:b/>
                <w:szCs w:val="24"/>
              </w:rPr>
              <w:t>1.</w:t>
            </w:r>
            <w:r w:rsidRPr="002C2A5F">
              <w:rPr>
                <w:b/>
                <w:szCs w:val="24"/>
              </w:rPr>
              <w:tab/>
              <w:t>Vienotais tirgus, inovācija un digitālā joma</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19 712</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20 211</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19 678</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19 178</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18 173</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18 120</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17 565</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rPr>
                <w:b/>
                <w:bCs/>
              </w:rPr>
            </w:pPr>
            <w:r w:rsidRPr="002C2A5F">
              <w:rPr>
                <w:b/>
              </w:rPr>
              <w:t>132 637</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spacing w:before="60" w:after="60"/>
              <w:rPr>
                <w:b/>
                <w:bCs/>
                <w:szCs w:val="24"/>
              </w:rPr>
            </w:pPr>
            <w:r w:rsidRPr="002C2A5F">
              <w:rPr>
                <w:b/>
                <w:szCs w:val="24"/>
              </w:rPr>
              <w:t>2.</w:t>
            </w:r>
            <w:r w:rsidRPr="002C2A5F">
              <w:rPr>
                <w:b/>
                <w:szCs w:val="24"/>
              </w:rPr>
              <w:tab/>
              <w:t xml:space="preserve">Kohēzija, noturība un vērtības </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5 996</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62 642</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63 525</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64 079</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65 184</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56 675</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58 680</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rPr>
                <w:b/>
                <w:bCs/>
              </w:rPr>
            </w:pPr>
            <w:r w:rsidRPr="002C2A5F">
              <w:rPr>
                <w:b/>
              </w:rPr>
              <w:t>377 781</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spacing w:before="60" w:after="60"/>
              <w:ind w:left="720"/>
              <w:rPr>
                <w:szCs w:val="24"/>
              </w:rPr>
            </w:pPr>
            <w:r w:rsidRPr="002C2A5F">
              <w:t>2.a</w:t>
            </w:r>
            <w:r w:rsidRPr="002C2A5F">
              <w:tab/>
              <w:t>Ekonomiskā, sociālā un teritoriālā kohēzija</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1 666</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56 673</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57 005</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57 436</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57 772</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48 302</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48 937</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pPr>
            <w:r w:rsidRPr="002C2A5F">
              <w:t>327 791</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spacing w:before="60" w:after="60"/>
              <w:ind w:left="720"/>
              <w:rPr>
                <w:szCs w:val="24"/>
              </w:rPr>
            </w:pPr>
            <w:r w:rsidRPr="002C2A5F">
              <w:t>2.b</w:t>
            </w:r>
            <w:r w:rsidRPr="002C2A5F">
              <w:tab/>
              <w:t>Noturība un vērtības</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4 330</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5 969</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6 520</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7 643</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7 412</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8 373</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9 743</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pPr>
            <w:r w:rsidRPr="002C2A5F">
              <w:t>49 990</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spacing w:before="60" w:after="60"/>
              <w:rPr>
                <w:b/>
                <w:bCs/>
                <w:szCs w:val="24"/>
              </w:rPr>
            </w:pPr>
            <w:r w:rsidRPr="002C2A5F">
              <w:rPr>
                <w:b/>
              </w:rPr>
              <w:t>3.</w:t>
            </w:r>
            <w:r w:rsidRPr="002C2A5F">
              <w:rPr>
                <w:b/>
              </w:rPr>
              <w:tab/>
              <w:t>Dabas resursi un vide</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53 562</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52 626</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51 893</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51 013</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49 914</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48 734</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47 960</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rPr>
                <w:b/>
                <w:bCs/>
              </w:rPr>
            </w:pPr>
            <w:r w:rsidRPr="002C2A5F">
              <w:rPr>
                <w:b/>
              </w:rPr>
              <w:t>355 702</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spacing w:before="60" w:after="60"/>
              <w:ind w:left="720"/>
              <w:rPr>
                <w:szCs w:val="24"/>
              </w:rPr>
            </w:pPr>
            <w:r w:rsidRPr="002C2A5F">
              <w:t>t. sk.: ar tirgu saistītie izdevumi un tiešie maksājumi</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38 040</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37 544</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36 857</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36 054</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35 283</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34 602</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pPr>
            <w:r w:rsidRPr="002C2A5F">
              <w:t>33 886</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pPr>
            <w:r w:rsidRPr="002C2A5F">
              <w:t>252 266</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pageBreakBefore/>
              <w:spacing w:before="60" w:after="60"/>
              <w:rPr>
                <w:b/>
                <w:bCs/>
                <w:szCs w:val="24"/>
              </w:rPr>
            </w:pPr>
            <w:r w:rsidRPr="002C2A5F">
              <w:rPr>
                <w:b/>
              </w:rPr>
              <w:t>4.</w:t>
            </w:r>
            <w:r w:rsidRPr="002C2A5F">
              <w:rPr>
                <w:b/>
              </w:rPr>
              <w:tab/>
              <w:t>Migrācija un robežu pārvaldība</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1 687</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3 104</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3 454</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3 569</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4 083</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4 145</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4 701</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rPr>
                <w:b/>
                <w:bCs/>
              </w:rPr>
            </w:pPr>
            <w:r w:rsidRPr="002C2A5F">
              <w:rPr>
                <w:b/>
              </w:rPr>
              <w:t>24 743</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spacing w:before="60" w:after="60"/>
              <w:rPr>
                <w:b/>
                <w:bCs/>
                <w:szCs w:val="24"/>
              </w:rPr>
            </w:pPr>
            <w:r w:rsidRPr="002C2A5F">
              <w:rPr>
                <w:b/>
              </w:rPr>
              <w:t>5.</w:t>
            </w:r>
            <w:r w:rsidRPr="002C2A5F">
              <w:rPr>
                <w:b/>
              </w:rPr>
              <w:tab/>
              <w:t>Drošība un aizsardzība</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1 598</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1 750</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1 762</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2 112</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2 277</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2 398</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2 576</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rPr>
                <w:b/>
                <w:bCs/>
              </w:rPr>
            </w:pPr>
            <w:r w:rsidRPr="002C2A5F">
              <w:rPr>
                <w:b/>
              </w:rPr>
              <w:t>14 473</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spacing w:before="60" w:after="60"/>
              <w:rPr>
                <w:b/>
                <w:bCs/>
                <w:szCs w:val="24"/>
              </w:rPr>
            </w:pPr>
            <w:r w:rsidRPr="002C2A5F">
              <w:rPr>
                <w:b/>
              </w:rPr>
              <w:t>6.</w:t>
            </w:r>
            <w:r w:rsidRPr="002C2A5F">
              <w:rPr>
                <w:b/>
              </w:rPr>
              <w:tab/>
              <w:t>Kaimiņattiecības un pasaule</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15 309</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15 522</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14 789</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14 500</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14 192</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13 326</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13 447</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rPr>
                <w:b/>
                <w:bCs/>
              </w:rPr>
            </w:pPr>
            <w:r w:rsidRPr="002C2A5F">
              <w:rPr>
                <w:b/>
              </w:rPr>
              <w:t>101 085</w:t>
            </w:r>
          </w:p>
        </w:tc>
      </w:tr>
      <w:tr w:rsidR="00947364" w:rsidRPr="002C2A5F" w:rsidTr="0029709C">
        <w:trPr>
          <w:trHeight w:val="300"/>
        </w:trPr>
        <w:tc>
          <w:tcPr>
            <w:tcW w:w="1927" w:type="pct"/>
            <w:tcBorders>
              <w:top w:val="nil"/>
              <w:left w:val="single" w:sz="8" w:space="0" w:color="auto"/>
              <w:bottom w:val="nil"/>
              <w:right w:val="single" w:sz="4" w:space="0" w:color="auto"/>
            </w:tcBorders>
            <w:shd w:val="clear" w:color="auto" w:fill="auto"/>
            <w:noWrap/>
            <w:vAlign w:val="center"/>
            <w:hideMark/>
          </w:tcPr>
          <w:p w:rsidR="00947364" w:rsidRPr="002C2A5F" w:rsidRDefault="00947364" w:rsidP="00947364">
            <w:pPr>
              <w:spacing w:before="60" w:after="60"/>
              <w:rPr>
                <w:b/>
                <w:bCs/>
                <w:szCs w:val="24"/>
              </w:rPr>
            </w:pPr>
            <w:r w:rsidRPr="002C2A5F">
              <w:rPr>
                <w:b/>
              </w:rPr>
              <w:t>7.</w:t>
            </w:r>
            <w:r w:rsidRPr="002C2A5F">
              <w:rPr>
                <w:b/>
              </w:rPr>
              <w:tab/>
              <w:t>Eiropas publiskā pārvalde</w:t>
            </w:r>
          </w:p>
        </w:tc>
        <w:tc>
          <w:tcPr>
            <w:tcW w:w="347"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10 021</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10 215</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10 342</w:t>
            </w:r>
          </w:p>
        </w:tc>
        <w:tc>
          <w:tcPr>
            <w:tcW w:w="35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10 454</w:t>
            </w:r>
          </w:p>
        </w:tc>
        <w:tc>
          <w:tcPr>
            <w:tcW w:w="349"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10 554</w:t>
            </w:r>
          </w:p>
        </w:tc>
        <w:tc>
          <w:tcPr>
            <w:tcW w:w="348"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10 673</w:t>
            </w:r>
          </w:p>
        </w:tc>
        <w:tc>
          <w:tcPr>
            <w:tcW w:w="340" w:type="pct"/>
            <w:tcBorders>
              <w:top w:val="nil"/>
              <w:left w:val="nil"/>
              <w:bottom w:val="nil"/>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10 843</w:t>
            </w:r>
          </w:p>
        </w:tc>
        <w:tc>
          <w:tcPr>
            <w:tcW w:w="639" w:type="pct"/>
            <w:tcBorders>
              <w:top w:val="nil"/>
              <w:left w:val="single" w:sz="4" w:space="0" w:color="auto"/>
              <w:bottom w:val="nil"/>
              <w:right w:val="single" w:sz="8" w:space="0" w:color="auto"/>
            </w:tcBorders>
            <w:shd w:val="clear" w:color="auto" w:fill="auto"/>
            <w:noWrap/>
            <w:vAlign w:val="center"/>
            <w:hideMark/>
          </w:tcPr>
          <w:p w:rsidR="00947364" w:rsidRPr="002C2A5F" w:rsidRDefault="00947364" w:rsidP="00947364">
            <w:pPr>
              <w:spacing w:before="60" w:after="60"/>
              <w:jc w:val="right"/>
              <w:rPr>
                <w:b/>
                <w:bCs/>
              </w:rPr>
            </w:pPr>
            <w:r w:rsidRPr="002C2A5F">
              <w:rPr>
                <w:b/>
              </w:rPr>
              <w:t>73 102</w:t>
            </w:r>
          </w:p>
        </w:tc>
      </w:tr>
      <w:tr w:rsidR="00947364" w:rsidRPr="002C2A5F" w:rsidTr="0029709C">
        <w:trPr>
          <w:trHeight w:val="315"/>
        </w:trPr>
        <w:tc>
          <w:tcPr>
            <w:tcW w:w="1927" w:type="pct"/>
            <w:tcBorders>
              <w:top w:val="nil"/>
              <w:left w:val="single" w:sz="8" w:space="0" w:color="auto"/>
              <w:bottom w:val="single" w:sz="8" w:space="0" w:color="auto"/>
              <w:right w:val="single" w:sz="4" w:space="0" w:color="auto"/>
            </w:tcBorders>
            <w:shd w:val="clear" w:color="auto" w:fill="auto"/>
            <w:noWrap/>
            <w:vAlign w:val="center"/>
            <w:hideMark/>
          </w:tcPr>
          <w:p w:rsidR="00947364" w:rsidRPr="002C2A5F" w:rsidRDefault="00947364" w:rsidP="00947364">
            <w:pPr>
              <w:spacing w:before="60" w:after="60"/>
              <w:ind w:left="720"/>
              <w:rPr>
                <w:szCs w:val="24"/>
              </w:rPr>
            </w:pPr>
            <w:r w:rsidRPr="002C2A5F">
              <w:t>t. sk.: iestāžu administratīvie izdevumi</w:t>
            </w:r>
          </w:p>
        </w:tc>
        <w:tc>
          <w:tcPr>
            <w:tcW w:w="347"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pPr>
            <w:r w:rsidRPr="002C2A5F">
              <w:t>7 742</w:t>
            </w:r>
          </w:p>
        </w:tc>
        <w:tc>
          <w:tcPr>
            <w:tcW w:w="350"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pPr>
            <w:r w:rsidRPr="002C2A5F">
              <w:t>7 878</w:t>
            </w:r>
          </w:p>
        </w:tc>
        <w:tc>
          <w:tcPr>
            <w:tcW w:w="350"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pPr>
            <w:r w:rsidRPr="002C2A5F">
              <w:t>7 945</w:t>
            </w:r>
          </w:p>
        </w:tc>
        <w:tc>
          <w:tcPr>
            <w:tcW w:w="350"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pPr>
            <w:r w:rsidRPr="002C2A5F">
              <w:t>7 997</w:t>
            </w:r>
          </w:p>
        </w:tc>
        <w:tc>
          <w:tcPr>
            <w:tcW w:w="349"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pPr>
            <w:r w:rsidRPr="002C2A5F">
              <w:t>8 025</w:t>
            </w:r>
          </w:p>
        </w:tc>
        <w:tc>
          <w:tcPr>
            <w:tcW w:w="348"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pPr>
            <w:r w:rsidRPr="002C2A5F">
              <w:t>8 077</w:t>
            </w:r>
          </w:p>
        </w:tc>
        <w:tc>
          <w:tcPr>
            <w:tcW w:w="340"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pPr>
            <w:r w:rsidRPr="002C2A5F">
              <w:t>8 188</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rsidR="00947364" w:rsidRPr="002C2A5F" w:rsidRDefault="00947364" w:rsidP="00947364">
            <w:pPr>
              <w:spacing w:before="60" w:after="60"/>
              <w:jc w:val="right"/>
            </w:pPr>
            <w:r w:rsidRPr="002C2A5F">
              <w:t>55 852</w:t>
            </w:r>
          </w:p>
        </w:tc>
      </w:tr>
      <w:tr w:rsidR="00947364" w:rsidRPr="002C2A5F" w:rsidTr="0029709C">
        <w:trPr>
          <w:trHeight w:val="315"/>
        </w:trPr>
        <w:tc>
          <w:tcPr>
            <w:tcW w:w="1927" w:type="pct"/>
            <w:tcBorders>
              <w:top w:val="nil"/>
              <w:left w:val="single" w:sz="8" w:space="0" w:color="auto"/>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KOPĒJĀS SAISTĪBU APROPRIĀCIJAS</w:t>
            </w:r>
          </w:p>
        </w:tc>
        <w:tc>
          <w:tcPr>
            <w:tcW w:w="347" w:type="pct"/>
            <w:tcBorders>
              <w:top w:val="nil"/>
              <w:left w:val="single" w:sz="4" w:space="0" w:color="auto"/>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107 885</w:t>
            </w:r>
          </w:p>
        </w:tc>
        <w:tc>
          <w:tcPr>
            <w:tcW w:w="350"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166 070</w:t>
            </w:r>
          </w:p>
        </w:tc>
        <w:tc>
          <w:tcPr>
            <w:tcW w:w="350"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165 443</w:t>
            </w:r>
          </w:p>
        </w:tc>
        <w:tc>
          <w:tcPr>
            <w:tcW w:w="350"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165 905</w:t>
            </w:r>
          </w:p>
        </w:tc>
        <w:tc>
          <w:tcPr>
            <w:tcW w:w="349"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164 377</w:t>
            </w:r>
          </w:p>
        </w:tc>
        <w:tc>
          <w:tcPr>
            <w:tcW w:w="348"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154 071</w:t>
            </w:r>
          </w:p>
        </w:tc>
        <w:tc>
          <w:tcPr>
            <w:tcW w:w="340" w:type="pct"/>
            <w:tcBorders>
              <w:top w:val="nil"/>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155 772</w:t>
            </w:r>
          </w:p>
        </w:tc>
        <w:tc>
          <w:tcPr>
            <w:tcW w:w="639" w:type="pct"/>
            <w:tcBorders>
              <w:top w:val="nil"/>
              <w:left w:val="single" w:sz="4" w:space="0" w:color="auto"/>
              <w:bottom w:val="single" w:sz="8" w:space="0" w:color="auto"/>
              <w:right w:val="single" w:sz="8" w:space="0" w:color="auto"/>
            </w:tcBorders>
            <w:shd w:val="clear" w:color="auto" w:fill="auto"/>
            <w:noWrap/>
            <w:vAlign w:val="center"/>
            <w:hideMark/>
          </w:tcPr>
          <w:p w:rsidR="00947364" w:rsidRPr="002C2A5F" w:rsidRDefault="00947364" w:rsidP="00947364">
            <w:pPr>
              <w:spacing w:before="60" w:after="60"/>
              <w:jc w:val="right"/>
              <w:rPr>
                <w:b/>
                <w:bCs/>
              </w:rPr>
            </w:pPr>
            <w:r w:rsidRPr="002C2A5F">
              <w:rPr>
                <w:b/>
              </w:rPr>
              <w:t>1 079 523</w:t>
            </w:r>
          </w:p>
        </w:tc>
      </w:tr>
      <w:tr w:rsidR="00947364" w:rsidRPr="002C2A5F" w:rsidTr="0029709C">
        <w:trPr>
          <w:trHeight w:val="315"/>
        </w:trPr>
        <w:tc>
          <w:tcPr>
            <w:tcW w:w="1927" w:type="pct"/>
            <w:tcBorders>
              <w:top w:val="single" w:sz="8" w:space="0" w:color="auto"/>
              <w:bottom w:val="single" w:sz="8" w:space="0" w:color="auto"/>
            </w:tcBorders>
            <w:shd w:val="clear" w:color="auto" w:fill="auto"/>
            <w:noWrap/>
            <w:vAlign w:val="center"/>
          </w:tcPr>
          <w:p w:rsidR="00947364" w:rsidRPr="002C2A5F" w:rsidRDefault="00947364" w:rsidP="00947364">
            <w:pPr>
              <w:spacing w:before="60" w:after="60"/>
            </w:pPr>
          </w:p>
        </w:tc>
        <w:tc>
          <w:tcPr>
            <w:tcW w:w="347" w:type="pct"/>
            <w:tcBorders>
              <w:top w:val="single" w:sz="8" w:space="0" w:color="auto"/>
              <w:bottom w:val="single" w:sz="8" w:space="0" w:color="auto"/>
            </w:tcBorders>
            <w:shd w:val="clear" w:color="auto" w:fill="auto"/>
            <w:noWrap/>
            <w:vAlign w:val="center"/>
          </w:tcPr>
          <w:p w:rsidR="00947364" w:rsidRPr="002C2A5F" w:rsidRDefault="00947364" w:rsidP="00947364">
            <w:pPr>
              <w:spacing w:before="60" w:after="60"/>
              <w:jc w:val="right"/>
            </w:pPr>
          </w:p>
        </w:tc>
        <w:tc>
          <w:tcPr>
            <w:tcW w:w="350" w:type="pct"/>
            <w:tcBorders>
              <w:top w:val="single" w:sz="8" w:space="0" w:color="auto"/>
              <w:bottom w:val="single" w:sz="8" w:space="0" w:color="auto"/>
            </w:tcBorders>
            <w:shd w:val="clear" w:color="auto" w:fill="auto"/>
            <w:noWrap/>
            <w:vAlign w:val="center"/>
          </w:tcPr>
          <w:p w:rsidR="00947364" w:rsidRPr="002C2A5F" w:rsidRDefault="00947364" w:rsidP="00947364">
            <w:pPr>
              <w:spacing w:before="60" w:after="60"/>
              <w:jc w:val="right"/>
            </w:pPr>
          </w:p>
        </w:tc>
        <w:tc>
          <w:tcPr>
            <w:tcW w:w="350" w:type="pct"/>
            <w:tcBorders>
              <w:top w:val="single" w:sz="8" w:space="0" w:color="auto"/>
              <w:bottom w:val="single" w:sz="8" w:space="0" w:color="auto"/>
            </w:tcBorders>
            <w:shd w:val="clear" w:color="auto" w:fill="auto"/>
            <w:noWrap/>
            <w:vAlign w:val="center"/>
          </w:tcPr>
          <w:p w:rsidR="00947364" w:rsidRPr="002C2A5F" w:rsidRDefault="00947364" w:rsidP="00947364">
            <w:pPr>
              <w:spacing w:before="60" w:after="60"/>
              <w:jc w:val="right"/>
            </w:pPr>
          </w:p>
        </w:tc>
        <w:tc>
          <w:tcPr>
            <w:tcW w:w="350" w:type="pct"/>
            <w:tcBorders>
              <w:top w:val="single" w:sz="8" w:space="0" w:color="auto"/>
              <w:bottom w:val="single" w:sz="8" w:space="0" w:color="auto"/>
            </w:tcBorders>
            <w:shd w:val="clear" w:color="auto" w:fill="auto"/>
            <w:noWrap/>
            <w:vAlign w:val="center"/>
          </w:tcPr>
          <w:p w:rsidR="00947364" w:rsidRPr="002C2A5F" w:rsidRDefault="00947364" w:rsidP="00947364">
            <w:pPr>
              <w:spacing w:before="60" w:after="60"/>
              <w:jc w:val="right"/>
            </w:pPr>
          </w:p>
        </w:tc>
        <w:tc>
          <w:tcPr>
            <w:tcW w:w="349" w:type="pct"/>
            <w:tcBorders>
              <w:top w:val="single" w:sz="8" w:space="0" w:color="auto"/>
              <w:bottom w:val="single" w:sz="8" w:space="0" w:color="auto"/>
            </w:tcBorders>
            <w:shd w:val="clear" w:color="auto" w:fill="auto"/>
            <w:noWrap/>
            <w:vAlign w:val="center"/>
          </w:tcPr>
          <w:p w:rsidR="00947364" w:rsidRPr="002C2A5F" w:rsidRDefault="00947364" w:rsidP="00947364">
            <w:pPr>
              <w:spacing w:before="60" w:after="60"/>
              <w:jc w:val="right"/>
            </w:pPr>
          </w:p>
        </w:tc>
        <w:tc>
          <w:tcPr>
            <w:tcW w:w="348" w:type="pct"/>
            <w:tcBorders>
              <w:top w:val="single" w:sz="8" w:space="0" w:color="auto"/>
              <w:bottom w:val="single" w:sz="8" w:space="0" w:color="auto"/>
            </w:tcBorders>
            <w:shd w:val="clear" w:color="auto" w:fill="auto"/>
            <w:noWrap/>
            <w:vAlign w:val="center"/>
          </w:tcPr>
          <w:p w:rsidR="00947364" w:rsidRPr="002C2A5F" w:rsidRDefault="00947364" w:rsidP="00947364">
            <w:pPr>
              <w:spacing w:before="60" w:after="60"/>
              <w:jc w:val="right"/>
            </w:pPr>
          </w:p>
        </w:tc>
        <w:tc>
          <w:tcPr>
            <w:tcW w:w="340" w:type="pct"/>
            <w:tcBorders>
              <w:top w:val="single" w:sz="8" w:space="0" w:color="auto"/>
              <w:bottom w:val="single" w:sz="8" w:space="0" w:color="auto"/>
            </w:tcBorders>
            <w:shd w:val="clear" w:color="auto" w:fill="auto"/>
            <w:noWrap/>
            <w:vAlign w:val="center"/>
          </w:tcPr>
          <w:p w:rsidR="00947364" w:rsidRPr="002C2A5F" w:rsidRDefault="00947364" w:rsidP="00947364">
            <w:pPr>
              <w:spacing w:before="60" w:after="60"/>
              <w:jc w:val="right"/>
            </w:pPr>
          </w:p>
        </w:tc>
        <w:tc>
          <w:tcPr>
            <w:tcW w:w="639" w:type="pct"/>
            <w:tcBorders>
              <w:top w:val="single" w:sz="8" w:space="0" w:color="auto"/>
              <w:bottom w:val="single" w:sz="8" w:space="0" w:color="auto"/>
            </w:tcBorders>
            <w:shd w:val="clear" w:color="auto" w:fill="auto"/>
            <w:noWrap/>
            <w:vAlign w:val="center"/>
          </w:tcPr>
          <w:p w:rsidR="00947364" w:rsidRPr="002C2A5F" w:rsidRDefault="00947364" w:rsidP="00947364">
            <w:pPr>
              <w:spacing w:before="60" w:after="60"/>
              <w:jc w:val="right"/>
            </w:pPr>
          </w:p>
        </w:tc>
      </w:tr>
      <w:tr w:rsidR="00947364" w:rsidRPr="002C2A5F" w:rsidTr="0029709C">
        <w:trPr>
          <w:trHeight w:val="315"/>
        </w:trPr>
        <w:tc>
          <w:tcPr>
            <w:tcW w:w="1927" w:type="pct"/>
            <w:tcBorders>
              <w:top w:val="single" w:sz="8" w:space="0" w:color="auto"/>
              <w:left w:val="single" w:sz="8" w:space="0" w:color="auto"/>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KOPĒJĀS MAKSĀJUMU APROPRIĀCIJAS</w:t>
            </w:r>
          </w:p>
        </w:tc>
        <w:tc>
          <w:tcPr>
            <w:tcW w:w="347" w:type="pct"/>
            <w:tcBorders>
              <w:top w:val="single" w:sz="8" w:space="0" w:color="auto"/>
              <w:left w:val="single" w:sz="4" w:space="0" w:color="auto"/>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154 065</w:t>
            </w:r>
          </w:p>
        </w:tc>
        <w:tc>
          <w:tcPr>
            <w:tcW w:w="350"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153 850</w:t>
            </w:r>
          </w:p>
        </w:tc>
        <w:tc>
          <w:tcPr>
            <w:tcW w:w="350"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152 682</w:t>
            </w:r>
          </w:p>
        </w:tc>
        <w:tc>
          <w:tcPr>
            <w:tcW w:w="350"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151 436</w:t>
            </w:r>
          </w:p>
        </w:tc>
        <w:tc>
          <w:tcPr>
            <w:tcW w:w="349"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151 175</w:t>
            </w:r>
          </w:p>
        </w:tc>
        <w:tc>
          <w:tcPr>
            <w:tcW w:w="348"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151 175</w:t>
            </w:r>
          </w:p>
        </w:tc>
        <w:tc>
          <w:tcPr>
            <w:tcW w:w="340" w:type="pct"/>
            <w:tcBorders>
              <w:top w:val="single" w:sz="8" w:space="0" w:color="auto"/>
              <w:left w:val="nil"/>
              <w:bottom w:val="single" w:sz="8" w:space="0" w:color="auto"/>
              <w:right w:val="nil"/>
            </w:tcBorders>
            <w:shd w:val="clear" w:color="auto" w:fill="auto"/>
            <w:noWrap/>
            <w:vAlign w:val="center"/>
            <w:hideMark/>
          </w:tcPr>
          <w:p w:rsidR="00947364" w:rsidRPr="002C2A5F" w:rsidRDefault="00947364" w:rsidP="00947364">
            <w:pPr>
              <w:spacing w:before="60" w:after="60"/>
              <w:jc w:val="right"/>
              <w:rPr>
                <w:b/>
                <w:bCs/>
              </w:rPr>
            </w:pPr>
            <w:r w:rsidRPr="002C2A5F">
              <w:rPr>
                <w:b/>
              </w:rPr>
              <w:t>151 175</w:t>
            </w:r>
          </w:p>
        </w:tc>
        <w:tc>
          <w:tcPr>
            <w:tcW w:w="639" w:type="pct"/>
            <w:tcBorders>
              <w:top w:val="single" w:sz="8" w:space="0" w:color="auto"/>
              <w:left w:val="single" w:sz="4" w:space="0" w:color="auto"/>
              <w:bottom w:val="single" w:sz="8" w:space="0" w:color="auto"/>
              <w:right w:val="single" w:sz="8" w:space="0" w:color="auto"/>
            </w:tcBorders>
            <w:shd w:val="clear" w:color="auto" w:fill="auto"/>
            <w:noWrap/>
            <w:vAlign w:val="center"/>
            <w:hideMark/>
          </w:tcPr>
          <w:p w:rsidR="00947364" w:rsidRPr="002C2A5F" w:rsidRDefault="00947364" w:rsidP="00947364">
            <w:pPr>
              <w:spacing w:before="60" w:after="60"/>
              <w:jc w:val="right"/>
              <w:rPr>
                <w:b/>
                <w:bCs/>
              </w:rPr>
            </w:pPr>
            <w:r w:rsidRPr="002C2A5F">
              <w:rPr>
                <w:b/>
              </w:rPr>
              <w:t>1 065 558</w:t>
            </w:r>
          </w:p>
        </w:tc>
      </w:tr>
    </w:tbl>
    <w:p w:rsidR="00947364" w:rsidRPr="002C2A5F" w:rsidRDefault="00947364" w:rsidP="00947364">
      <w:pPr>
        <w:jc w:val="center"/>
      </w:pPr>
      <w:r w:rsidRPr="002C2A5F">
        <w:br w:type="page"/>
        <w:t>II PIELIKUMS</w:t>
      </w:r>
      <w:r w:rsidRPr="002C2A5F">
        <w:br/>
        <w:t>KONKRĒTĀM PROGRAMMĀM PAREDZĒTA KOREKCIJA – PROGRAMMU SARAKSTS, SADALES KOEFICIENTS UN KOPĒJAIS SAISTĪBU APROPRIĀCIJU PAPILDU PIEŠĶĪRUMS</w:t>
      </w:r>
    </w:p>
    <w:tbl>
      <w:tblPr>
        <w:tblW w:w="5000" w:type="pct"/>
        <w:tblLook w:val="04A0" w:firstRow="1" w:lastRow="0" w:firstColumn="1" w:lastColumn="0" w:noHBand="0" w:noVBand="1"/>
      </w:tblPr>
      <w:tblGrid>
        <w:gridCol w:w="5480"/>
        <w:gridCol w:w="2226"/>
        <w:gridCol w:w="2363"/>
        <w:gridCol w:w="4217"/>
      </w:tblGrid>
      <w:tr w:rsidR="00947364" w:rsidRPr="002C2A5F" w:rsidTr="0029709C">
        <w:trPr>
          <w:trHeight w:val="20"/>
        </w:trPr>
        <w:tc>
          <w:tcPr>
            <w:tcW w:w="1810" w:type="pct"/>
            <w:tcBorders>
              <w:bottom w:val="single" w:sz="8" w:space="0" w:color="auto"/>
            </w:tcBorders>
            <w:noWrap/>
            <w:hideMark/>
          </w:tcPr>
          <w:p w:rsidR="00947364" w:rsidRPr="002C2A5F" w:rsidRDefault="00947364" w:rsidP="00947364">
            <w:pPr>
              <w:spacing w:before="60" w:after="60"/>
            </w:pPr>
          </w:p>
        </w:tc>
        <w:tc>
          <w:tcPr>
            <w:tcW w:w="815" w:type="pct"/>
            <w:tcBorders>
              <w:bottom w:val="single" w:sz="8" w:space="0" w:color="auto"/>
            </w:tcBorders>
            <w:noWrap/>
            <w:hideMark/>
          </w:tcPr>
          <w:p w:rsidR="00947364" w:rsidRPr="002C2A5F" w:rsidRDefault="00947364" w:rsidP="00947364">
            <w:pPr>
              <w:spacing w:before="60" w:after="60"/>
            </w:pPr>
          </w:p>
        </w:tc>
        <w:tc>
          <w:tcPr>
            <w:tcW w:w="863" w:type="pct"/>
            <w:tcBorders>
              <w:bottom w:val="single" w:sz="8" w:space="0" w:color="auto"/>
            </w:tcBorders>
          </w:tcPr>
          <w:p w:rsidR="00947364" w:rsidRPr="002C2A5F" w:rsidRDefault="00947364" w:rsidP="00947364">
            <w:pPr>
              <w:spacing w:before="60" w:after="60"/>
              <w:jc w:val="right"/>
            </w:pPr>
          </w:p>
        </w:tc>
        <w:tc>
          <w:tcPr>
            <w:tcW w:w="1512" w:type="pct"/>
            <w:tcBorders>
              <w:bottom w:val="single" w:sz="8" w:space="0" w:color="auto"/>
            </w:tcBorders>
            <w:noWrap/>
            <w:hideMark/>
          </w:tcPr>
          <w:p w:rsidR="00947364" w:rsidRPr="002C2A5F" w:rsidRDefault="00947364" w:rsidP="00947364">
            <w:pPr>
              <w:spacing w:before="60" w:after="60"/>
              <w:jc w:val="right"/>
            </w:pPr>
            <w:r w:rsidRPr="002C2A5F">
              <w:t>(</w:t>
            </w:r>
            <w:r w:rsidRPr="002C2A5F">
              <w:rPr>
                <w:i/>
              </w:rPr>
              <w:t>Miljonos EUR – 2018. gada cenās</w:t>
            </w:r>
            <w:r w:rsidRPr="002C2A5F">
              <w:t>)</w:t>
            </w:r>
          </w:p>
        </w:tc>
      </w:tr>
      <w:tr w:rsidR="00947364" w:rsidRPr="002C2A5F" w:rsidTr="0029709C">
        <w:trPr>
          <w:trHeight w:val="20"/>
        </w:trPr>
        <w:tc>
          <w:tcPr>
            <w:tcW w:w="1810" w:type="pct"/>
            <w:tcBorders>
              <w:top w:val="single" w:sz="8" w:space="0" w:color="auto"/>
              <w:bottom w:val="single" w:sz="8" w:space="0" w:color="auto"/>
            </w:tcBorders>
            <w:noWrap/>
            <w:hideMark/>
          </w:tcPr>
          <w:p w:rsidR="00947364" w:rsidRPr="002C2A5F" w:rsidRDefault="00947364" w:rsidP="00947364">
            <w:pPr>
              <w:spacing w:before="60" w:after="60"/>
              <w:jc w:val="center"/>
            </w:pPr>
          </w:p>
        </w:tc>
        <w:tc>
          <w:tcPr>
            <w:tcW w:w="1678" w:type="pct"/>
            <w:gridSpan w:val="2"/>
            <w:tcBorders>
              <w:top w:val="single" w:sz="4" w:space="0" w:color="auto"/>
              <w:bottom w:val="single" w:sz="8" w:space="0" w:color="auto"/>
            </w:tcBorders>
            <w:noWrap/>
            <w:hideMark/>
          </w:tcPr>
          <w:p w:rsidR="00947364" w:rsidRPr="002C2A5F" w:rsidRDefault="00947364" w:rsidP="00947364">
            <w:pPr>
              <w:spacing w:before="60" w:after="60"/>
              <w:jc w:val="center"/>
            </w:pPr>
            <w:r w:rsidRPr="002C2A5F">
              <w:t>Sadales koeficients</w:t>
            </w:r>
          </w:p>
        </w:tc>
        <w:tc>
          <w:tcPr>
            <w:tcW w:w="1512" w:type="pct"/>
            <w:tcBorders>
              <w:top w:val="single" w:sz="8" w:space="0" w:color="auto"/>
              <w:bottom w:val="single" w:sz="8" w:space="0" w:color="auto"/>
            </w:tcBorders>
            <w:hideMark/>
          </w:tcPr>
          <w:p w:rsidR="00947364" w:rsidRPr="002C2A5F" w:rsidRDefault="00947364" w:rsidP="00947364">
            <w:pPr>
              <w:spacing w:before="60" w:after="60"/>
              <w:jc w:val="center"/>
            </w:pPr>
            <w:r w:rsidRPr="002C2A5F">
              <w:t>Kopējais saistību apropriāciju papildu piešķīrums saskaņā ar 5. pantu</w:t>
            </w:r>
          </w:p>
        </w:tc>
      </w:tr>
      <w:tr w:rsidR="00947364" w:rsidRPr="002C2A5F" w:rsidTr="0029709C">
        <w:trPr>
          <w:trHeight w:val="20"/>
        </w:trPr>
        <w:tc>
          <w:tcPr>
            <w:tcW w:w="1810" w:type="pct"/>
            <w:tcBorders>
              <w:top w:val="single" w:sz="8" w:space="0" w:color="auto"/>
            </w:tcBorders>
            <w:noWrap/>
          </w:tcPr>
          <w:p w:rsidR="00947364" w:rsidRPr="002C2A5F" w:rsidRDefault="00947364" w:rsidP="00947364">
            <w:pPr>
              <w:spacing w:before="60" w:after="60"/>
              <w:jc w:val="center"/>
            </w:pPr>
          </w:p>
        </w:tc>
        <w:tc>
          <w:tcPr>
            <w:tcW w:w="815" w:type="pct"/>
            <w:tcBorders>
              <w:top w:val="single" w:sz="8" w:space="0" w:color="auto"/>
            </w:tcBorders>
            <w:noWrap/>
          </w:tcPr>
          <w:p w:rsidR="00947364" w:rsidRPr="002C2A5F" w:rsidRDefault="00947364" w:rsidP="00947364">
            <w:pPr>
              <w:spacing w:before="60" w:after="60"/>
              <w:jc w:val="center"/>
              <w:rPr>
                <w:b/>
              </w:rPr>
            </w:pPr>
            <w:r w:rsidRPr="002C2A5F">
              <w:rPr>
                <w:b/>
              </w:rPr>
              <w:t>2022-2024</w:t>
            </w:r>
          </w:p>
        </w:tc>
        <w:tc>
          <w:tcPr>
            <w:tcW w:w="863" w:type="pct"/>
            <w:tcBorders>
              <w:top w:val="single" w:sz="8" w:space="0" w:color="auto"/>
            </w:tcBorders>
          </w:tcPr>
          <w:p w:rsidR="00947364" w:rsidRPr="002C2A5F" w:rsidRDefault="00947364" w:rsidP="00947364">
            <w:pPr>
              <w:spacing w:before="60" w:after="60"/>
              <w:jc w:val="center"/>
              <w:rPr>
                <w:b/>
              </w:rPr>
            </w:pPr>
            <w:r w:rsidRPr="002C2A5F">
              <w:rPr>
                <w:b/>
              </w:rPr>
              <w:t>2025-2027</w:t>
            </w:r>
          </w:p>
        </w:tc>
        <w:tc>
          <w:tcPr>
            <w:tcW w:w="1512" w:type="pct"/>
            <w:tcBorders>
              <w:top w:val="single" w:sz="8" w:space="0" w:color="auto"/>
            </w:tcBorders>
          </w:tcPr>
          <w:p w:rsidR="00947364" w:rsidRPr="002C2A5F" w:rsidRDefault="00947364" w:rsidP="00947364">
            <w:pPr>
              <w:spacing w:before="60" w:after="60"/>
              <w:jc w:val="center"/>
            </w:pP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hanging="850"/>
              <w:rPr>
                <w:rFonts w:eastAsiaTheme="minorHAnsi"/>
                <w:b/>
                <w:bCs/>
                <w:szCs w:val="22"/>
                <w:lang w:eastAsia="en-US"/>
              </w:rPr>
            </w:pPr>
            <w:r w:rsidRPr="002C2A5F">
              <w:rPr>
                <w:rFonts w:eastAsiaTheme="minorHAnsi"/>
                <w:b/>
                <w:szCs w:val="22"/>
                <w:lang w:eastAsia="en-US"/>
              </w:rPr>
              <w:t>1.</w:t>
            </w:r>
            <w:r w:rsidRPr="002C2A5F">
              <w:rPr>
                <w:rFonts w:eastAsiaTheme="minorHAnsi"/>
                <w:b/>
                <w:szCs w:val="22"/>
                <w:lang w:eastAsia="en-US"/>
              </w:rPr>
              <w:tab/>
              <w:t>Vienotais tirgus, inovācija un digitālā joma</w:t>
            </w:r>
          </w:p>
        </w:tc>
        <w:tc>
          <w:tcPr>
            <w:tcW w:w="815" w:type="pct"/>
            <w:noWrap/>
            <w:hideMark/>
          </w:tcPr>
          <w:p w:rsidR="00947364" w:rsidRPr="002C2A5F" w:rsidRDefault="00947364" w:rsidP="00947364">
            <w:pPr>
              <w:spacing w:before="60" w:after="60"/>
              <w:ind w:right="567"/>
              <w:jc w:val="right"/>
              <w:rPr>
                <w:b/>
              </w:rPr>
            </w:pPr>
            <w:r w:rsidRPr="002C2A5F">
              <w:rPr>
                <w:b/>
              </w:rPr>
              <w:t>36,36 %</w:t>
            </w:r>
          </w:p>
        </w:tc>
        <w:tc>
          <w:tcPr>
            <w:tcW w:w="863" w:type="pct"/>
          </w:tcPr>
          <w:p w:rsidR="00947364" w:rsidRPr="002C2A5F" w:rsidRDefault="00947364" w:rsidP="00947364">
            <w:pPr>
              <w:spacing w:before="60" w:after="60"/>
              <w:ind w:right="567"/>
              <w:jc w:val="right"/>
              <w:rPr>
                <w:b/>
              </w:rPr>
            </w:pPr>
            <w:r w:rsidRPr="002C2A5F">
              <w:rPr>
                <w:b/>
              </w:rPr>
              <w:t>41,79 %</w:t>
            </w:r>
          </w:p>
        </w:tc>
        <w:tc>
          <w:tcPr>
            <w:tcW w:w="1512" w:type="pct"/>
            <w:noWrap/>
            <w:hideMark/>
          </w:tcPr>
          <w:p w:rsidR="00947364" w:rsidRPr="002C2A5F" w:rsidRDefault="00947364" w:rsidP="00947364">
            <w:pPr>
              <w:spacing w:before="60" w:after="60"/>
              <w:ind w:right="1134"/>
              <w:jc w:val="right"/>
              <w:rPr>
                <w:b/>
              </w:rPr>
            </w:pPr>
            <w:r w:rsidRPr="002C2A5F">
              <w:rPr>
                <w:b/>
              </w:rPr>
              <w:t>4 000</w:t>
            </w: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rPr>
                <w:rFonts w:eastAsiaTheme="minorHAnsi"/>
                <w:szCs w:val="22"/>
                <w:lang w:eastAsia="en-US"/>
              </w:rPr>
            </w:pPr>
            <w:r w:rsidRPr="002C2A5F">
              <w:rPr>
                <w:rFonts w:eastAsiaTheme="minorHAnsi"/>
                <w:szCs w:val="22"/>
                <w:lang w:eastAsia="en-US"/>
              </w:rPr>
              <w:t>Apvārsnis Eiropa</w:t>
            </w:r>
          </w:p>
        </w:tc>
        <w:tc>
          <w:tcPr>
            <w:tcW w:w="815" w:type="pct"/>
            <w:noWrap/>
            <w:hideMark/>
          </w:tcPr>
          <w:p w:rsidR="00947364" w:rsidRPr="002C2A5F" w:rsidRDefault="00947364" w:rsidP="00947364">
            <w:pPr>
              <w:spacing w:before="60" w:after="60"/>
              <w:ind w:left="-156" w:right="567" w:firstLine="156"/>
              <w:jc w:val="right"/>
            </w:pPr>
            <w:r w:rsidRPr="002C2A5F">
              <w:t>27,27 %</w:t>
            </w:r>
          </w:p>
        </w:tc>
        <w:tc>
          <w:tcPr>
            <w:tcW w:w="863" w:type="pct"/>
          </w:tcPr>
          <w:p w:rsidR="00947364" w:rsidRPr="002C2A5F" w:rsidRDefault="00947364" w:rsidP="00947364">
            <w:pPr>
              <w:spacing w:before="60" w:after="60"/>
              <w:ind w:right="567"/>
              <w:jc w:val="right"/>
            </w:pPr>
            <w:r w:rsidRPr="002C2A5F">
              <w:t>31,34 %</w:t>
            </w:r>
          </w:p>
        </w:tc>
        <w:tc>
          <w:tcPr>
            <w:tcW w:w="1512" w:type="pct"/>
            <w:noWrap/>
            <w:hideMark/>
          </w:tcPr>
          <w:p w:rsidR="00947364" w:rsidRPr="002C2A5F" w:rsidRDefault="00947364" w:rsidP="00947364">
            <w:pPr>
              <w:spacing w:before="60" w:after="60"/>
              <w:ind w:right="1134"/>
              <w:jc w:val="right"/>
            </w:pPr>
            <w:r w:rsidRPr="002C2A5F">
              <w:t>3 000</w:t>
            </w: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rPr>
                <w:rFonts w:eastAsiaTheme="minorHAnsi"/>
                <w:szCs w:val="22"/>
                <w:lang w:eastAsia="en-US"/>
              </w:rPr>
            </w:pPr>
            <w:proofErr w:type="spellStart"/>
            <w:r w:rsidRPr="002C2A5F">
              <w:rPr>
                <w:rFonts w:eastAsiaTheme="minorHAnsi"/>
                <w:i/>
                <w:szCs w:val="22"/>
                <w:lang w:eastAsia="en-US"/>
              </w:rPr>
              <w:t>InvestEU</w:t>
            </w:r>
            <w:proofErr w:type="spellEnd"/>
            <w:r w:rsidRPr="002C2A5F">
              <w:rPr>
                <w:rFonts w:eastAsiaTheme="minorHAnsi"/>
                <w:szCs w:val="22"/>
                <w:lang w:eastAsia="en-US"/>
              </w:rPr>
              <w:t xml:space="preserve"> fonds</w:t>
            </w:r>
          </w:p>
        </w:tc>
        <w:tc>
          <w:tcPr>
            <w:tcW w:w="815" w:type="pct"/>
            <w:noWrap/>
            <w:hideMark/>
          </w:tcPr>
          <w:p w:rsidR="00947364" w:rsidRPr="002C2A5F" w:rsidRDefault="00947364" w:rsidP="00947364">
            <w:pPr>
              <w:spacing w:before="60" w:after="60"/>
              <w:ind w:right="567"/>
              <w:jc w:val="right"/>
            </w:pPr>
            <w:r w:rsidRPr="002C2A5F">
              <w:t>9,09 %</w:t>
            </w:r>
          </w:p>
        </w:tc>
        <w:tc>
          <w:tcPr>
            <w:tcW w:w="863" w:type="pct"/>
          </w:tcPr>
          <w:p w:rsidR="00947364" w:rsidRPr="002C2A5F" w:rsidRDefault="00947364" w:rsidP="00947364">
            <w:pPr>
              <w:spacing w:before="60" w:after="60"/>
              <w:ind w:right="567"/>
              <w:jc w:val="right"/>
            </w:pPr>
            <w:r w:rsidRPr="002C2A5F">
              <w:t>10,45 %</w:t>
            </w:r>
          </w:p>
        </w:tc>
        <w:tc>
          <w:tcPr>
            <w:tcW w:w="1512" w:type="pct"/>
            <w:noWrap/>
            <w:hideMark/>
          </w:tcPr>
          <w:p w:rsidR="00947364" w:rsidRPr="002C2A5F" w:rsidRDefault="00947364" w:rsidP="00947364">
            <w:pPr>
              <w:spacing w:before="60" w:after="60"/>
              <w:ind w:right="1134"/>
              <w:jc w:val="right"/>
            </w:pPr>
            <w:r w:rsidRPr="002C2A5F">
              <w:t>1 000</w:t>
            </w: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hanging="850"/>
              <w:rPr>
                <w:rFonts w:eastAsiaTheme="minorHAnsi"/>
                <w:b/>
                <w:bCs/>
                <w:szCs w:val="22"/>
                <w:lang w:eastAsia="en-US"/>
              </w:rPr>
            </w:pPr>
            <w:r w:rsidRPr="002C2A5F">
              <w:rPr>
                <w:rFonts w:eastAsiaTheme="minorHAnsi"/>
                <w:b/>
                <w:szCs w:val="22"/>
                <w:lang w:eastAsia="en-US"/>
              </w:rPr>
              <w:t>2b.</w:t>
            </w:r>
            <w:r w:rsidRPr="002C2A5F">
              <w:rPr>
                <w:rFonts w:eastAsiaTheme="minorHAnsi"/>
                <w:b/>
                <w:szCs w:val="22"/>
                <w:lang w:eastAsia="en-US"/>
              </w:rPr>
              <w:tab/>
              <w:t>Noturība un vērtības</w:t>
            </w:r>
          </w:p>
        </w:tc>
        <w:tc>
          <w:tcPr>
            <w:tcW w:w="815" w:type="pct"/>
            <w:noWrap/>
            <w:hideMark/>
          </w:tcPr>
          <w:p w:rsidR="00947364" w:rsidRPr="002C2A5F" w:rsidRDefault="00947364" w:rsidP="00947364">
            <w:pPr>
              <w:spacing w:before="60" w:after="60"/>
              <w:ind w:right="567"/>
              <w:jc w:val="right"/>
              <w:rPr>
                <w:b/>
              </w:rPr>
            </w:pPr>
            <w:r w:rsidRPr="002C2A5F">
              <w:rPr>
                <w:b/>
              </w:rPr>
              <w:t>54,55 %</w:t>
            </w:r>
          </w:p>
        </w:tc>
        <w:tc>
          <w:tcPr>
            <w:tcW w:w="863" w:type="pct"/>
          </w:tcPr>
          <w:p w:rsidR="00947364" w:rsidRPr="002C2A5F" w:rsidRDefault="00947364" w:rsidP="00947364">
            <w:pPr>
              <w:spacing w:before="60" w:after="60"/>
              <w:ind w:right="567"/>
              <w:jc w:val="right"/>
              <w:rPr>
                <w:b/>
              </w:rPr>
            </w:pPr>
            <w:r w:rsidRPr="002C2A5F">
              <w:rPr>
                <w:b/>
              </w:rPr>
              <w:t>47,76 %</w:t>
            </w:r>
          </w:p>
        </w:tc>
        <w:tc>
          <w:tcPr>
            <w:tcW w:w="1512" w:type="pct"/>
            <w:noWrap/>
            <w:hideMark/>
          </w:tcPr>
          <w:p w:rsidR="00947364" w:rsidRPr="002C2A5F" w:rsidRDefault="00947364" w:rsidP="00947364">
            <w:pPr>
              <w:spacing w:before="60" w:after="60"/>
              <w:ind w:right="1134"/>
              <w:jc w:val="right"/>
              <w:rPr>
                <w:b/>
                <w:strike/>
              </w:rPr>
            </w:pPr>
            <w:r w:rsidRPr="002C2A5F">
              <w:rPr>
                <w:b/>
              </w:rPr>
              <w:t>5 155</w:t>
            </w: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rPr>
                <w:rFonts w:eastAsiaTheme="minorHAnsi"/>
                <w:szCs w:val="22"/>
                <w:lang w:eastAsia="en-US"/>
              </w:rPr>
            </w:pPr>
            <w:r w:rsidRPr="002C2A5F">
              <w:rPr>
                <w:rFonts w:eastAsiaTheme="minorHAnsi"/>
                <w:szCs w:val="22"/>
                <w:lang w:eastAsia="en-US"/>
              </w:rPr>
              <w:t>ES veselība</w:t>
            </w:r>
          </w:p>
        </w:tc>
        <w:tc>
          <w:tcPr>
            <w:tcW w:w="815" w:type="pct"/>
            <w:noWrap/>
            <w:hideMark/>
          </w:tcPr>
          <w:p w:rsidR="00947364" w:rsidRPr="002C2A5F" w:rsidRDefault="00947364" w:rsidP="00947364">
            <w:pPr>
              <w:spacing w:before="60" w:after="60"/>
              <w:ind w:right="567"/>
              <w:jc w:val="right"/>
            </w:pPr>
            <w:r w:rsidRPr="002C2A5F">
              <w:t>26,37 %</w:t>
            </w:r>
          </w:p>
        </w:tc>
        <w:tc>
          <w:tcPr>
            <w:tcW w:w="863" w:type="pct"/>
          </w:tcPr>
          <w:p w:rsidR="00947364" w:rsidRPr="002C2A5F" w:rsidRDefault="00947364" w:rsidP="00947364">
            <w:pPr>
              <w:spacing w:before="60" w:after="60"/>
              <w:ind w:right="567"/>
              <w:jc w:val="right"/>
            </w:pPr>
            <w:r w:rsidRPr="002C2A5F">
              <w:t>15,37 %</w:t>
            </w:r>
          </w:p>
        </w:tc>
        <w:tc>
          <w:tcPr>
            <w:tcW w:w="1512" w:type="pct"/>
            <w:noWrap/>
            <w:hideMark/>
          </w:tcPr>
          <w:p w:rsidR="00947364" w:rsidRPr="002C2A5F" w:rsidRDefault="00947364" w:rsidP="00947364">
            <w:pPr>
              <w:spacing w:before="60" w:after="60"/>
              <w:ind w:right="1134"/>
              <w:jc w:val="right"/>
              <w:rPr>
                <w:bCs/>
                <w:strike/>
              </w:rPr>
            </w:pPr>
            <w:r w:rsidRPr="002C2A5F">
              <w:t>2 055</w:t>
            </w: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rPr>
                <w:rFonts w:eastAsiaTheme="minorHAnsi"/>
                <w:szCs w:val="22"/>
                <w:lang w:eastAsia="en-US"/>
              </w:rPr>
            </w:pPr>
            <w:proofErr w:type="spellStart"/>
            <w:r w:rsidRPr="002C2A5F">
              <w:rPr>
                <w:rFonts w:eastAsiaTheme="minorHAnsi"/>
                <w:szCs w:val="22"/>
                <w:lang w:eastAsia="en-US"/>
              </w:rPr>
              <w:t>Erasmus</w:t>
            </w:r>
            <w:proofErr w:type="spellEnd"/>
            <w:r w:rsidRPr="002C2A5F">
              <w:rPr>
                <w:rFonts w:eastAsiaTheme="minorHAnsi"/>
                <w:szCs w:val="22"/>
                <w:lang w:eastAsia="en-US"/>
              </w:rPr>
              <w:t>+</w:t>
            </w:r>
          </w:p>
        </w:tc>
        <w:tc>
          <w:tcPr>
            <w:tcW w:w="815" w:type="pct"/>
            <w:noWrap/>
            <w:hideMark/>
          </w:tcPr>
          <w:p w:rsidR="00947364" w:rsidRPr="002C2A5F" w:rsidRDefault="00947364" w:rsidP="00947364">
            <w:pPr>
              <w:spacing w:before="60" w:after="60"/>
              <w:ind w:right="567"/>
              <w:jc w:val="right"/>
            </w:pPr>
            <w:r w:rsidRPr="002C2A5F">
              <w:t>15,46 %</w:t>
            </w:r>
          </w:p>
        </w:tc>
        <w:tc>
          <w:tcPr>
            <w:tcW w:w="863" w:type="pct"/>
          </w:tcPr>
          <w:p w:rsidR="00947364" w:rsidRPr="002C2A5F" w:rsidRDefault="00947364" w:rsidP="00947364">
            <w:pPr>
              <w:spacing w:before="60" w:after="60"/>
              <w:ind w:right="567"/>
              <w:jc w:val="right"/>
            </w:pPr>
            <w:r w:rsidRPr="002C2A5F">
              <w:t>17,77 %</w:t>
            </w:r>
          </w:p>
        </w:tc>
        <w:tc>
          <w:tcPr>
            <w:tcW w:w="1512" w:type="pct"/>
            <w:noWrap/>
            <w:hideMark/>
          </w:tcPr>
          <w:p w:rsidR="00947364" w:rsidRPr="002C2A5F" w:rsidRDefault="00947364" w:rsidP="00947364">
            <w:pPr>
              <w:spacing w:before="60" w:after="60"/>
              <w:ind w:right="1134"/>
              <w:jc w:val="right"/>
            </w:pPr>
            <w:r w:rsidRPr="002C2A5F">
              <w:t>1 700</w:t>
            </w: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rPr>
                <w:rFonts w:eastAsiaTheme="minorHAnsi"/>
                <w:szCs w:val="22"/>
                <w:lang w:eastAsia="en-US"/>
              </w:rPr>
            </w:pPr>
            <w:r w:rsidRPr="002C2A5F">
              <w:rPr>
                <w:rFonts w:eastAsiaTheme="minorHAnsi"/>
                <w:szCs w:val="22"/>
                <w:lang w:eastAsia="en-US"/>
              </w:rPr>
              <w:t>Radošā Eiropa</w:t>
            </w:r>
          </w:p>
        </w:tc>
        <w:tc>
          <w:tcPr>
            <w:tcW w:w="815" w:type="pct"/>
            <w:noWrap/>
            <w:hideMark/>
          </w:tcPr>
          <w:p w:rsidR="00947364" w:rsidRPr="002C2A5F" w:rsidRDefault="00947364" w:rsidP="00947364">
            <w:pPr>
              <w:spacing w:before="60" w:after="60"/>
              <w:ind w:right="567"/>
              <w:jc w:val="right"/>
            </w:pPr>
            <w:r w:rsidRPr="002C2A5F">
              <w:t>5,45 %</w:t>
            </w:r>
          </w:p>
        </w:tc>
        <w:tc>
          <w:tcPr>
            <w:tcW w:w="863" w:type="pct"/>
          </w:tcPr>
          <w:p w:rsidR="00947364" w:rsidRPr="002C2A5F" w:rsidRDefault="00947364" w:rsidP="00947364">
            <w:pPr>
              <w:spacing w:before="60" w:after="60"/>
              <w:ind w:right="567"/>
              <w:jc w:val="right"/>
            </w:pPr>
            <w:r w:rsidRPr="002C2A5F">
              <w:t>6,26 %</w:t>
            </w:r>
          </w:p>
        </w:tc>
        <w:tc>
          <w:tcPr>
            <w:tcW w:w="1512" w:type="pct"/>
            <w:noWrap/>
            <w:hideMark/>
          </w:tcPr>
          <w:p w:rsidR="00947364" w:rsidRPr="002C2A5F" w:rsidRDefault="00947364" w:rsidP="00947364">
            <w:pPr>
              <w:spacing w:before="60" w:after="60"/>
              <w:ind w:right="1134"/>
              <w:jc w:val="right"/>
            </w:pPr>
            <w:r w:rsidRPr="002C2A5F">
              <w:t>600</w:t>
            </w: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rPr>
                <w:rFonts w:eastAsiaTheme="minorHAnsi"/>
                <w:szCs w:val="22"/>
                <w:lang w:eastAsia="en-US"/>
              </w:rPr>
            </w:pPr>
            <w:r w:rsidRPr="002C2A5F">
              <w:rPr>
                <w:rFonts w:eastAsiaTheme="minorHAnsi"/>
                <w:szCs w:val="22"/>
                <w:lang w:eastAsia="en-US"/>
              </w:rPr>
              <w:t>Tiesības un vērtības</w:t>
            </w:r>
          </w:p>
        </w:tc>
        <w:tc>
          <w:tcPr>
            <w:tcW w:w="815" w:type="pct"/>
            <w:noWrap/>
            <w:hideMark/>
          </w:tcPr>
          <w:p w:rsidR="00947364" w:rsidRPr="002C2A5F" w:rsidRDefault="00947364" w:rsidP="00947364">
            <w:pPr>
              <w:spacing w:before="60" w:after="60"/>
              <w:ind w:right="567"/>
              <w:jc w:val="right"/>
            </w:pPr>
            <w:r w:rsidRPr="002C2A5F">
              <w:t>7,27 %</w:t>
            </w:r>
          </w:p>
        </w:tc>
        <w:tc>
          <w:tcPr>
            <w:tcW w:w="863" w:type="pct"/>
          </w:tcPr>
          <w:p w:rsidR="00947364" w:rsidRPr="002C2A5F" w:rsidRDefault="00947364" w:rsidP="00947364">
            <w:pPr>
              <w:spacing w:before="60" w:after="60"/>
              <w:ind w:right="567"/>
              <w:jc w:val="right"/>
              <w:rPr>
                <w:b/>
              </w:rPr>
            </w:pPr>
            <w:r w:rsidRPr="002C2A5F">
              <w:rPr>
                <w:b/>
              </w:rPr>
              <w:t>8,36 %</w:t>
            </w:r>
          </w:p>
        </w:tc>
        <w:tc>
          <w:tcPr>
            <w:tcW w:w="1512" w:type="pct"/>
            <w:noWrap/>
            <w:hideMark/>
          </w:tcPr>
          <w:p w:rsidR="00947364" w:rsidRPr="002C2A5F" w:rsidRDefault="00947364" w:rsidP="00947364">
            <w:pPr>
              <w:spacing w:before="60" w:after="60"/>
              <w:ind w:right="1134"/>
              <w:jc w:val="right"/>
            </w:pPr>
            <w:r w:rsidRPr="002C2A5F">
              <w:t>800</w:t>
            </w: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hanging="850"/>
              <w:rPr>
                <w:rFonts w:eastAsiaTheme="minorHAnsi"/>
                <w:b/>
                <w:bCs/>
                <w:szCs w:val="22"/>
                <w:lang w:eastAsia="en-US"/>
              </w:rPr>
            </w:pPr>
            <w:r w:rsidRPr="002C2A5F">
              <w:rPr>
                <w:rFonts w:eastAsiaTheme="minorHAnsi"/>
                <w:b/>
                <w:szCs w:val="22"/>
                <w:lang w:eastAsia="en-US"/>
              </w:rPr>
              <w:t>4.</w:t>
            </w:r>
            <w:r w:rsidRPr="002C2A5F">
              <w:rPr>
                <w:rFonts w:eastAsiaTheme="minorHAnsi"/>
                <w:b/>
                <w:szCs w:val="22"/>
                <w:lang w:eastAsia="en-US"/>
              </w:rPr>
              <w:tab/>
              <w:t>Migrācija un robežu pārvaldība</w:t>
            </w:r>
          </w:p>
        </w:tc>
        <w:tc>
          <w:tcPr>
            <w:tcW w:w="815" w:type="pct"/>
            <w:noWrap/>
            <w:hideMark/>
          </w:tcPr>
          <w:p w:rsidR="00947364" w:rsidRPr="002C2A5F" w:rsidRDefault="00947364" w:rsidP="00947364">
            <w:pPr>
              <w:spacing w:before="60" w:after="60"/>
              <w:ind w:right="567"/>
              <w:jc w:val="right"/>
              <w:rPr>
                <w:b/>
              </w:rPr>
            </w:pPr>
            <w:r w:rsidRPr="002C2A5F">
              <w:rPr>
                <w:b/>
              </w:rPr>
              <w:t>9,09 %</w:t>
            </w:r>
          </w:p>
        </w:tc>
        <w:tc>
          <w:tcPr>
            <w:tcW w:w="863" w:type="pct"/>
          </w:tcPr>
          <w:p w:rsidR="00947364" w:rsidRPr="002C2A5F" w:rsidRDefault="00947364" w:rsidP="00947364">
            <w:pPr>
              <w:spacing w:before="60" w:after="60"/>
              <w:ind w:right="567"/>
              <w:jc w:val="right"/>
              <w:rPr>
                <w:b/>
              </w:rPr>
            </w:pPr>
            <w:r w:rsidRPr="002C2A5F">
              <w:rPr>
                <w:b/>
              </w:rPr>
              <w:t>10,45 %</w:t>
            </w:r>
          </w:p>
        </w:tc>
        <w:tc>
          <w:tcPr>
            <w:tcW w:w="1512" w:type="pct"/>
            <w:noWrap/>
            <w:hideMark/>
          </w:tcPr>
          <w:p w:rsidR="00947364" w:rsidRPr="002C2A5F" w:rsidRDefault="00947364" w:rsidP="00947364">
            <w:pPr>
              <w:spacing w:before="60" w:after="60"/>
              <w:ind w:right="1134"/>
              <w:jc w:val="right"/>
              <w:rPr>
                <w:b/>
              </w:rPr>
            </w:pPr>
            <w:r w:rsidRPr="002C2A5F">
              <w:rPr>
                <w:b/>
              </w:rPr>
              <w:t>1 000</w:t>
            </w:r>
          </w:p>
        </w:tc>
      </w:tr>
      <w:tr w:rsidR="00947364" w:rsidRPr="002C2A5F" w:rsidTr="0029709C">
        <w:trPr>
          <w:trHeight w:val="20"/>
        </w:trPr>
        <w:tc>
          <w:tcPr>
            <w:tcW w:w="1810" w:type="pct"/>
            <w:noWrap/>
            <w:hideMark/>
          </w:tcPr>
          <w:p w:rsidR="00947364" w:rsidRPr="002C2A5F" w:rsidRDefault="00947364" w:rsidP="00947364">
            <w:pPr>
              <w:widowControl/>
              <w:spacing w:before="60" w:after="60"/>
              <w:ind w:left="850"/>
              <w:rPr>
                <w:rFonts w:eastAsiaTheme="minorHAnsi"/>
                <w:szCs w:val="22"/>
                <w:lang w:eastAsia="en-US"/>
              </w:rPr>
            </w:pPr>
            <w:r w:rsidRPr="002C2A5F">
              <w:rPr>
                <w:rFonts w:eastAsiaTheme="minorHAnsi"/>
                <w:szCs w:val="22"/>
                <w:lang w:eastAsia="en-US"/>
              </w:rPr>
              <w:t>Integrētās robežu pārvaldības fonds</w:t>
            </w:r>
          </w:p>
        </w:tc>
        <w:tc>
          <w:tcPr>
            <w:tcW w:w="815" w:type="pct"/>
            <w:noWrap/>
            <w:hideMark/>
          </w:tcPr>
          <w:p w:rsidR="00947364" w:rsidRPr="002C2A5F" w:rsidRDefault="00947364" w:rsidP="00947364">
            <w:pPr>
              <w:spacing w:before="60" w:after="60"/>
              <w:ind w:right="567"/>
              <w:jc w:val="right"/>
            </w:pPr>
            <w:r w:rsidRPr="002C2A5F">
              <w:t>9,09 %</w:t>
            </w:r>
          </w:p>
        </w:tc>
        <w:tc>
          <w:tcPr>
            <w:tcW w:w="863" w:type="pct"/>
          </w:tcPr>
          <w:p w:rsidR="00947364" w:rsidRPr="002C2A5F" w:rsidRDefault="00947364" w:rsidP="00947364">
            <w:pPr>
              <w:spacing w:before="60" w:after="60"/>
              <w:ind w:right="567"/>
              <w:jc w:val="right"/>
            </w:pPr>
            <w:r w:rsidRPr="002C2A5F">
              <w:t>10,45 %</w:t>
            </w:r>
          </w:p>
        </w:tc>
        <w:tc>
          <w:tcPr>
            <w:tcW w:w="1512" w:type="pct"/>
            <w:noWrap/>
            <w:hideMark/>
          </w:tcPr>
          <w:p w:rsidR="00947364" w:rsidRPr="002C2A5F" w:rsidRDefault="00947364" w:rsidP="00947364">
            <w:pPr>
              <w:spacing w:before="60" w:after="60"/>
              <w:ind w:right="1134"/>
              <w:jc w:val="right"/>
            </w:pPr>
            <w:r w:rsidRPr="002C2A5F">
              <w:t>1 000</w:t>
            </w:r>
          </w:p>
        </w:tc>
      </w:tr>
      <w:tr w:rsidR="00947364" w:rsidRPr="002C2A5F" w:rsidTr="0029709C">
        <w:trPr>
          <w:trHeight w:val="20"/>
        </w:trPr>
        <w:tc>
          <w:tcPr>
            <w:tcW w:w="1810" w:type="pct"/>
            <w:tcBorders>
              <w:bottom w:val="single" w:sz="4" w:space="0" w:color="auto"/>
            </w:tcBorders>
            <w:noWrap/>
            <w:hideMark/>
          </w:tcPr>
          <w:p w:rsidR="00947364" w:rsidRPr="002C2A5F" w:rsidRDefault="00947364" w:rsidP="00947364">
            <w:pPr>
              <w:spacing w:before="60" w:after="60"/>
              <w:rPr>
                <w:b/>
              </w:rPr>
            </w:pPr>
            <w:r w:rsidRPr="002C2A5F">
              <w:rPr>
                <w:b/>
              </w:rPr>
              <w:t>KOPĀ</w:t>
            </w:r>
          </w:p>
        </w:tc>
        <w:tc>
          <w:tcPr>
            <w:tcW w:w="815" w:type="pct"/>
            <w:tcBorders>
              <w:bottom w:val="single" w:sz="4" w:space="0" w:color="auto"/>
            </w:tcBorders>
            <w:noWrap/>
            <w:hideMark/>
          </w:tcPr>
          <w:p w:rsidR="00947364" w:rsidRPr="002C2A5F" w:rsidRDefault="00947364" w:rsidP="00947364">
            <w:pPr>
              <w:spacing w:before="60" w:after="60"/>
              <w:ind w:right="567"/>
              <w:jc w:val="right"/>
              <w:rPr>
                <w:b/>
              </w:rPr>
            </w:pPr>
            <w:r w:rsidRPr="002C2A5F">
              <w:rPr>
                <w:b/>
              </w:rPr>
              <w:t>100,00 %</w:t>
            </w:r>
          </w:p>
        </w:tc>
        <w:tc>
          <w:tcPr>
            <w:tcW w:w="863" w:type="pct"/>
            <w:tcBorders>
              <w:bottom w:val="single" w:sz="4" w:space="0" w:color="auto"/>
            </w:tcBorders>
          </w:tcPr>
          <w:p w:rsidR="00947364" w:rsidRPr="002C2A5F" w:rsidRDefault="00947364" w:rsidP="00947364">
            <w:pPr>
              <w:spacing w:before="60" w:after="60"/>
              <w:ind w:right="567"/>
              <w:jc w:val="right"/>
              <w:rPr>
                <w:b/>
              </w:rPr>
            </w:pPr>
            <w:r w:rsidRPr="002C2A5F">
              <w:rPr>
                <w:b/>
              </w:rPr>
              <w:t>100,00 %</w:t>
            </w:r>
          </w:p>
        </w:tc>
        <w:tc>
          <w:tcPr>
            <w:tcW w:w="1512" w:type="pct"/>
            <w:tcBorders>
              <w:bottom w:val="single" w:sz="4" w:space="0" w:color="auto"/>
            </w:tcBorders>
            <w:noWrap/>
            <w:hideMark/>
          </w:tcPr>
          <w:p w:rsidR="00947364" w:rsidRPr="002C2A5F" w:rsidRDefault="00947364" w:rsidP="00947364">
            <w:pPr>
              <w:spacing w:before="60" w:after="60"/>
              <w:ind w:right="1134"/>
              <w:jc w:val="right"/>
              <w:rPr>
                <w:b/>
                <w:strike/>
              </w:rPr>
            </w:pPr>
            <w:r w:rsidRPr="002C2A5F">
              <w:rPr>
                <w:b/>
              </w:rPr>
              <w:t>10 155</w:t>
            </w:r>
          </w:p>
        </w:tc>
      </w:tr>
    </w:tbl>
    <w:p w:rsidR="00947364" w:rsidRPr="002C2A5F" w:rsidRDefault="00947364" w:rsidP="00947364">
      <w:pPr>
        <w:widowControl/>
        <w:spacing w:before="120" w:after="120" w:line="360" w:lineRule="auto"/>
        <w:jc w:val="right"/>
        <w:rPr>
          <w:rFonts w:eastAsiaTheme="minorHAnsi"/>
          <w:szCs w:val="22"/>
          <w:lang w:eastAsia="en-US"/>
        </w:rPr>
      </w:pPr>
      <w:r w:rsidRPr="002C2A5F">
        <w:rPr>
          <w:rFonts w:eastAsiaTheme="minorHAnsi"/>
          <w:szCs w:val="22"/>
          <w:lang w:eastAsia="en-US"/>
        </w:rPr>
        <w:t>”.</w:t>
      </w:r>
    </w:p>
    <w:p w:rsidR="00947364" w:rsidRPr="002C2A5F" w:rsidRDefault="00947364" w:rsidP="00947364">
      <w:pPr>
        <w:widowControl/>
        <w:pBdr>
          <w:bottom w:val="single" w:sz="4" w:space="0" w:color="000000"/>
        </w:pBdr>
        <w:spacing w:before="360" w:after="120" w:line="360" w:lineRule="auto"/>
        <w:ind w:left="5868" w:right="5868"/>
        <w:jc w:val="center"/>
        <w:rPr>
          <w:rFonts w:eastAsiaTheme="minorHAnsi"/>
          <w:b/>
          <w:szCs w:val="22"/>
          <w:lang w:eastAsia="en-US"/>
        </w:rPr>
      </w:pPr>
    </w:p>
    <w:p w:rsidR="00947364" w:rsidRPr="002C2A5F" w:rsidRDefault="00947364" w:rsidP="00947364">
      <w:pPr>
        <w:sectPr w:rsidR="00947364" w:rsidRPr="002C2A5F" w:rsidSect="001909EB">
          <w:headerReference w:type="even" r:id="rId11"/>
          <w:head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rsidR="00947364" w:rsidRPr="002C2A5F" w:rsidRDefault="00947364" w:rsidP="00947364">
      <w:pPr>
        <w:keepNext/>
        <w:spacing w:after="480"/>
        <w:jc w:val="center"/>
        <w:rPr>
          <w:b/>
          <w:caps/>
        </w:rPr>
      </w:pPr>
      <w:bookmarkStart w:id="12" w:name="_Toc159509474"/>
      <w:bookmarkStart w:id="13" w:name="_Toc159528345"/>
      <w:r w:rsidRPr="002C2A5F">
        <w:rPr>
          <w:b/>
        </w:rPr>
        <w:t xml:space="preserve">2. PIELIKUMS. </w:t>
      </w:r>
      <w:r w:rsidRPr="002C2A5F">
        <w:rPr>
          <w:b/>
          <w:caps/>
        </w:rPr>
        <w:t>Eiropas Parlamenta, Padomes un Komisijas kopīga deklarācija par atbrīvoto līdzekļu atkārtotu izmantošanu saistībā ar pētniecības programmu</w:t>
      </w:r>
      <w:bookmarkEnd w:id="12"/>
      <w:bookmarkEnd w:id="13"/>
    </w:p>
    <w:p w:rsidR="00947364" w:rsidRPr="002C2A5F" w:rsidRDefault="00947364" w:rsidP="00947364">
      <w:pPr>
        <w:widowControl/>
        <w:shd w:val="clear" w:color="auto" w:fill="FFFFFF" w:themeFill="background1"/>
        <w:spacing w:after="240"/>
        <w:jc w:val="both"/>
        <w:rPr>
          <w:szCs w:val="24"/>
          <w:lang w:eastAsia="en-IE"/>
        </w:rPr>
      </w:pPr>
      <w:r w:rsidRPr="002C2A5F">
        <w:rPr>
          <w:szCs w:val="24"/>
          <w:lang w:eastAsia="en-IE"/>
        </w:rPr>
        <w:t>2020. gada 22. decembra kopīgajā deklarācijā par atbrīvoto līdzekļu atkārtotu izmantošanu saistībā ar pētniecības programmu</w:t>
      </w:r>
      <w:r w:rsidRPr="002C2A5F">
        <w:rPr>
          <w:szCs w:val="24"/>
          <w:vertAlign w:val="superscript"/>
          <w:lang w:eastAsia="en-IE"/>
        </w:rPr>
        <w:footnoteReference w:id="12"/>
      </w:r>
      <w:r w:rsidRPr="002C2A5F">
        <w:rPr>
          <w:szCs w:val="24"/>
          <w:lang w:eastAsia="en-IE"/>
        </w:rPr>
        <w:t xml:space="preserve"> Eiropas Parlaments, Padome un Komisija vienojās par labu pētniecības programmai laikposmā no 2021. līdz 2027. gadam vēlreiz darīt pieejamas saistību apropriācijas, kas atbilst saistību atcelšanas summai līdz 0,5 miljardiem EUR (2018. gada cenās) un kas izriet no pilnīgas vai daļējas to projektu neīstenošanas, kuri pieder minētajai programmai vai tās priekštecei, kā paredzēts Finanšu regulas 15. panta 3. punktā.</w:t>
      </w:r>
    </w:p>
    <w:p w:rsidR="00215A38" w:rsidRPr="002C2A5F" w:rsidRDefault="00947364" w:rsidP="00215A38">
      <w:pPr>
        <w:widowControl/>
        <w:shd w:val="clear" w:color="auto" w:fill="FFFFFF" w:themeFill="background1"/>
        <w:spacing w:after="240"/>
        <w:jc w:val="both"/>
        <w:rPr>
          <w:szCs w:val="24"/>
          <w:lang w:eastAsia="en-IE"/>
        </w:rPr>
      </w:pPr>
      <w:r w:rsidRPr="002C2A5F">
        <w:rPr>
          <w:szCs w:val="24"/>
          <w:lang w:eastAsia="en-IE"/>
        </w:rPr>
        <w:t xml:space="preserve">Neskarot budžeta lēmējinstitūcijas pilnvaras ikgadējās budžeta procedūras ietvaros un Komisijas pilnvaras izpildīt budžetu, Eiropas Parlaments, Padome un Komisija vienojas, ka laikposmā no 2025. līdz 2027. gadam pētniecības programmas vajadzībām atkal būs pieejama papildu summa 100 miljonu EUR apmērā (2018. gada cenās), kas atbilst 2019.–2020. gadā atceltajām saistībām, kuras izriet no minētās programmas vai tās priekšteces projektu pilnīgas vai daļējas neīstenošanas, un kas nav atkal darīti pieejami saskaņā ar Finanšu regulas 15. panta 3. punktu pēc 2020. gada 22. decembra kopīgās deklarācijas. Tas neietekmē pieejamās atcelto saistību summas Regulas (ES, </w:t>
      </w:r>
      <w:r w:rsidRPr="002C2A5F">
        <w:rPr>
          <w:i/>
          <w:iCs/>
          <w:szCs w:val="24"/>
          <w:lang w:eastAsia="en-IE"/>
        </w:rPr>
        <w:t>Euratom</w:t>
      </w:r>
      <w:r w:rsidRPr="002C2A5F">
        <w:rPr>
          <w:szCs w:val="24"/>
          <w:lang w:eastAsia="en-IE"/>
        </w:rPr>
        <w:t>) 2020/2093 10.a pantā minētajam ESAI instrumentam</w:t>
      </w:r>
      <w:r w:rsidR="00215A38" w:rsidRPr="002C2A5F">
        <w:rPr>
          <w:szCs w:val="24"/>
          <w:lang w:eastAsia="en-IE"/>
        </w:rPr>
        <w:t>.</w:t>
      </w:r>
    </w:p>
    <w:sectPr w:rsidR="00215A38" w:rsidRPr="002C2A5F" w:rsidSect="00757AB4">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185" w:rsidRPr="00757AB4" w:rsidRDefault="00224185">
      <w:r w:rsidRPr="00757AB4">
        <w:separator/>
      </w:r>
    </w:p>
  </w:endnote>
  <w:endnote w:type="continuationSeparator" w:id="0">
    <w:p w:rsidR="00224185" w:rsidRPr="00757AB4" w:rsidRDefault="00224185">
      <w:r w:rsidRPr="00757A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364" w:rsidRPr="00C27FFB" w:rsidRDefault="00947364" w:rsidP="00C27FFB">
    <w:pPr>
      <w:pStyle w:val="EPFooter"/>
    </w:pPr>
    <w:r w:rsidRPr="00C27FFB">
      <w:t>PE</w:t>
    </w:r>
    <w:r w:rsidRPr="00C27FFB">
      <w:rPr>
        <w:rStyle w:val="HideTWBExt"/>
      </w:rPr>
      <w:t>&lt;</w:t>
    </w:r>
    <w:proofErr w:type="spellStart"/>
    <w:r w:rsidRPr="00C27FFB">
      <w:rPr>
        <w:rStyle w:val="HideTWBExt"/>
      </w:rPr>
      <w:t>NoPE</w:t>
    </w:r>
    <w:proofErr w:type="spellEnd"/>
    <w:r w:rsidRPr="00C27FFB">
      <w:rPr>
        <w:rStyle w:val="HideTWBExt"/>
      </w:rPr>
      <w:t>&gt;</w:t>
    </w:r>
    <w:r w:rsidRPr="00C27FFB">
      <w:t>758.992</w:t>
    </w:r>
    <w:r w:rsidRPr="00C27FFB">
      <w:rPr>
        <w:rStyle w:val="HideTWBExt"/>
      </w:rPr>
      <w:t>&lt;/</w:t>
    </w:r>
    <w:proofErr w:type="spellStart"/>
    <w:r w:rsidRPr="00C27FFB">
      <w:rPr>
        <w:rStyle w:val="HideTWBExt"/>
      </w:rPr>
      <w:t>NoPE</w:t>
    </w:r>
    <w:proofErr w:type="spellEnd"/>
    <w:r w:rsidRPr="00C27FFB">
      <w:rPr>
        <w:rStyle w:val="HideTWBExt"/>
      </w:rPr>
      <w:t>&gt;&lt;Version&gt;</w:t>
    </w:r>
    <w:r w:rsidRPr="00C27FFB">
      <w:t>v02-00</w:t>
    </w:r>
    <w:r w:rsidRPr="00C27FFB">
      <w:rPr>
        <w:rStyle w:val="HideTWBExt"/>
      </w:rPr>
      <w:t>&lt;/</w:t>
    </w:r>
    <w:proofErr w:type="spellStart"/>
    <w:r w:rsidRPr="00C27FFB">
      <w:rPr>
        <w:rStyle w:val="HideTWBExt"/>
      </w:rPr>
      <w:t>Version</w:t>
    </w:r>
    <w:proofErr w:type="spellEnd"/>
    <w:r w:rsidRPr="00C27FFB">
      <w:rPr>
        <w:rStyle w:val="HideTWBExt"/>
      </w:rPr>
      <w:t>&gt;</w:t>
    </w:r>
    <w:r w:rsidRPr="00C27FFB">
      <w:tab/>
    </w:r>
    <w:r w:rsidRPr="00C27FFB">
      <w:fldChar w:fldCharType="begin"/>
    </w:r>
    <w:r w:rsidRPr="00C27FFB">
      <w:instrText xml:space="preserve"> PAGE  \* MERGEFORMAT </w:instrText>
    </w:r>
    <w:r w:rsidRPr="00C27FFB">
      <w:fldChar w:fldCharType="separate"/>
    </w:r>
    <w:r>
      <w:rPr>
        <w:noProof/>
      </w:rPr>
      <w:t>30</w:t>
    </w:r>
    <w:r w:rsidRPr="00C27FFB">
      <w:fldChar w:fldCharType="end"/>
    </w:r>
    <w:r w:rsidRPr="00C27FFB">
      <w:t>/</w:t>
    </w:r>
    <w:r w:rsidR="002C2A5F">
      <w:fldChar w:fldCharType="begin"/>
    </w:r>
    <w:r w:rsidR="002C2A5F">
      <w:instrText xml:space="preserve"> NUMPAGES  \* M</w:instrText>
    </w:r>
    <w:r w:rsidR="002C2A5F">
      <w:instrText xml:space="preserve">ERGEFORMAT </w:instrText>
    </w:r>
    <w:r w:rsidR="002C2A5F">
      <w:fldChar w:fldCharType="separate"/>
    </w:r>
    <w:r>
      <w:rPr>
        <w:noProof/>
      </w:rPr>
      <w:t>31</w:t>
    </w:r>
    <w:r w:rsidR="002C2A5F">
      <w:rPr>
        <w:noProof/>
      </w:rPr>
      <w:fldChar w:fldCharType="end"/>
    </w:r>
    <w:r w:rsidRPr="00C27FFB">
      <w:tab/>
    </w:r>
    <w:r w:rsidRPr="00C27FFB">
      <w:rPr>
        <w:rStyle w:val="HideTWBExt"/>
      </w:rPr>
      <w:t>&lt;PathFdR&gt;</w:t>
    </w:r>
    <w:r w:rsidRPr="00C27FFB">
      <w:t>RR\1297557LV.docx</w:t>
    </w:r>
    <w:r w:rsidRPr="00C27FFB">
      <w:rPr>
        <w:rStyle w:val="HideTWBExt"/>
      </w:rPr>
      <w:t>&lt;/</w:t>
    </w:r>
    <w:proofErr w:type="spellStart"/>
    <w:r w:rsidRPr="00C27FFB">
      <w:rPr>
        <w:rStyle w:val="HideTWBExt"/>
      </w:rPr>
      <w:t>PathFdR</w:t>
    </w:r>
    <w:proofErr w:type="spellEnd"/>
    <w:r w:rsidRPr="00C27FFB">
      <w:rPr>
        <w:rStyle w:val="HideTWBExt"/>
      </w:rPr>
      <w:t>&gt;</w:t>
    </w:r>
  </w:p>
  <w:p w:rsidR="00947364" w:rsidRPr="00C27FFB" w:rsidRDefault="00947364" w:rsidP="00C27FFB">
    <w:pPr>
      <w:pStyle w:val="EPFooter2"/>
    </w:pPr>
    <w:r w:rsidRPr="00C27FFB">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364" w:rsidRPr="00C27FFB" w:rsidRDefault="00947364" w:rsidP="00DF24E5">
    <w:pPr>
      <w:pStyle w:val="EPFooter2"/>
      <w:ind w:left="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364" w:rsidRPr="00C27FFB" w:rsidRDefault="00947364" w:rsidP="00FA76F5">
    <w:pPr>
      <w:pStyle w:val="EPFooter"/>
    </w:pPr>
    <w:r w:rsidRPr="00C27FFB">
      <w:rPr>
        <w:rStyle w:val="HideTWBExt"/>
      </w:rPr>
      <w:t>&lt;PathFdR&gt;</w:t>
    </w:r>
    <w:r w:rsidRPr="00C27FFB">
      <w:t>RR\758992EN.docx</w:t>
    </w:r>
    <w:r w:rsidRPr="00C27FFB">
      <w:rPr>
        <w:rStyle w:val="HideTWBExt"/>
      </w:rPr>
      <w:t>&lt;/</w:t>
    </w:r>
    <w:proofErr w:type="spellStart"/>
    <w:r w:rsidRPr="00C27FFB">
      <w:rPr>
        <w:rStyle w:val="HideTWBExt"/>
      </w:rPr>
      <w:t>PathFdR</w:t>
    </w:r>
    <w:proofErr w:type="spellEnd"/>
    <w:r w:rsidRPr="00C27FFB">
      <w:rPr>
        <w:rStyle w:val="HideTWBExt"/>
      </w:rPr>
      <w:t>&gt;</w:t>
    </w:r>
    <w:r w:rsidRPr="00C27FFB">
      <w:tab/>
    </w:r>
    <w:r w:rsidRPr="00C27FFB">
      <w:tab/>
      <w:t>PE</w:t>
    </w:r>
    <w:r w:rsidRPr="00C27FFB">
      <w:rPr>
        <w:rStyle w:val="HideTWBExt"/>
      </w:rPr>
      <w:t>&lt;</w:t>
    </w:r>
    <w:proofErr w:type="spellStart"/>
    <w:r w:rsidRPr="00C27FFB">
      <w:rPr>
        <w:rStyle w:val="HideTWBExt"/>
      </w:rPr>
      <w:t>NoPE</w:t>
    </w:r>
    <w:proofErr w:type="spellEnd"/>
    <w:r w:rsidRPr="00C27FFB">
      <w:rPr>
        <w:rStyle w:val="HideTWBExt"/>
      </w:rPr>
      <w:t>&gt;</w:t>
    </w:r>
    <w:r w:rsidRPr="00C27FFB">
      <w:t>758.992</w:t>
    </w:r>
    <w:r w:rsidRPr="00C27FFB">
      <w:rPr>
        <w:rStyle w:val="HideTWBExt"/>
      </w:rPr>
      <w:t>&lt;/</w:t>
    </w:r>
    <w:proofErr w:type="spellStart"/>
    <w:r w:rsidRPr="00C27FFB">
      <w:rPr>
        <w:rStyle w:val="HideTWBExt"/>
      </w:rPr>
      <w:t>NoPE</w:t>
    </w:r>
    <w:proofErr w:type="spellEnd"/>
    <w:r w:rsidRPr="00C27FFB">
      <w:rPr>
        <w:rStyle w:val="HideTWBExt"/>
      </w:rPr>
      <w:t>&gt;&lt;Version&gt;</w:t>
    </w:r>
    <w:r w:rsidRPr="00C27FFB">
      <w:t>v02-00</w:t>
    </w:r>
    <w:r w:rsidRPr="00C27FFB">
      <w:rPr>
        <w:rStyle w:val="HideTWBExt"/>
      </w:rPr>
      <w:t>&lt;/</w:t>
    </w:r>
    <w:proofErr w:type="spellStart"/>
    <w:r w:rsidRPr="00C27FFB">
      <w:rPr>
        <w:rStyle w:val="HideTWBExt"/>
      </w:rPr>
      <w:t>Version</w:t>
    </w:r>
    <w:proofErr w:type="spellEnd"/>
    <w:r w:rsidRPr="00C27FFB">
      <w:rPr>
        <w:rStyle w:val="HideTWBExt"/>
      </w:rPr>
      <w:t>&gt;</w:t>
    </w:r>
  </w:p>
  <w:p w:rsidR="00947364" w:rsidRPr="00C27FFB" w:rsidRDefault="00947364" w:rsidP="00FA76F5">
    <w:pPr>
      <w:pStyle w:val="EPFooter2"/>
    </w:pPr>
    <w:r w:rsidRPr="00C27FFB">
      <w:t>XT</w:t>
    </w:r>
    <w:r w:rsidRPr="00C27FFB">
      <w:tab/>
    </w:r>
    <w:proofErr w:type="spellStart"/>
    <w:r w:rsidRPr="00C27FFB">
      <w:rPr>
        <w:b w:val="0"/>
        <w:i/>
        <w:color w:val="C0C0C0"/>
        <w:sz w:val="22"/>
      </w:rPr>
      <w:t>United</w:t>
    </w:r>
    <w:proofErr w:type="spellEnd"/>
    <w:r w:rsidRPr="00C27FFB">
      <w:rPr>
        <w:b w:val="0"/>
        <w:i/>
        <w:color w:val="C0C0C0"/>
        <w:sz w:val="22"/>
      </w:rPr>
      <w:t xml:space="preserve"> in </w:t>
    </w:r>
    <w:proofErr w:type="spellStart"/>
    <w:r w:rsidRPr="00C27FFB">
      <w:rPr>
        <w:b w:val="0"/>
        <w:i/>
        <w:color w:val="C0C0C0"/>
        <w:sz w:val="22"/>
      </w:rPr>
      <w:t>diversity</w:t>
    </w:r>
    <w:proofErr w:type="spellEnd"/>
    <w:r w:rsidRPr="00C27FFB">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B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B4"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185" w:rsidRPr="00757AB4" w:rsidRDefault="00224185">
      <w:r w:rsidRPr="00757AB4">
        <w:separator/>
      </w:r>
    </w:p>
  </w:footnote>
  <w:footnote w:type="continuationSeparator" w:id="0">
    <w:p w:rsidR="00224185" w:rsidRPr="00757AB4" w:rsidRDefault="00224185">
      <w:r w:rsidRPr="00757AB4">
        <w:continuationSeparator/>
      </w:r>
    </w:p>
  </w:footnote>
  <w:footnote w:id="1">
    <w:p w:rsidR="00211648" w:rsidRPr="00215A38" w:rsidRDefault="00211648" w:rsidP="00DF24E5">
      <w:pPr>
        <w:pStyle w:val="FootnoteText"/>
        <w:rPr>
          <w:sz w:val="24"/>
          <w:szCs w:val="24"/>
          <w:lang w:val="lv-LV"/>
        </w:rPr>
      </w:pPr>
      <w:r w:rsidRPr="00215A38">
        <w:rPr>
          <w:rStyle w:val="FootnoteReference"/>
          <w:sz w:val="24"/>
          <w:szCs w:val="24"/>
          <w:lang w:val="lv-LV"/>
        </w:rPr>
        <w:footnoteRef/>
      </w:r>
      <w:r w:rsidR="00757AB4" w:rsidRPr="00215A38">
        <w:rPr>
          <w:sz w:val="24"/>
          <w:szCs w:val="24"/>
          <w:lang w:val="lv-LV"/>
        </w:rPr>
        <w:t xml:space="preserve"> </w:t>
      </w:r>
      <w:r w:rsidR="00757AB4" w:rsidRPr="00215A38">
        <w:rPr>
          <w:sz w:val="24"/>
          <w:szCs w:val="24"/>
          <w:lang w:val="lv-LV"/>
        </w:rPr>
        <w:tab/>
      </w:r>
      <w:r w:rsidRPr="00215A38">
        <w:rPr>
          <w:sz w:val="24"/>
          <w:szCs w:val="24"/>
          <w:lang w:val="lv-LV"/>
        </w:rPr>
        <w:t>Pieņemtie teksti, P9_TA(2023)0335.</w:t>
      </w:r>
    </w:p>
  </w:footnote>
  <w:footnote w:id="2">
    <w:p w:rsidR="00947364" w:rsidRPr="00DF24E5" w:rsidRDefault="00947364" w:rsidP="00947364">
      <w:pPr>
        <w:pStyle w:val="FootnoteText"/>
        <w:rPr>
          <w:sz w:val="24"/>
          <w:szCs w:val="24"/>
          <w:lang w:val="lv-LV"/>
        </w:rPr>
      </w:pPr>
      <w:r w:rsidRPr="00DF24E5">
        <w:rPr>
          <w:rStyle w:val="FootnoteReference"/>
          <w:sz w:val="24"/>
          <w:szCs w:val="24"/>
        </w:rPr>
        <w:footnoteRef/>
      </w:r>
      <w:r w:rsidRPr="00DF24E5">
        <w:rPr>
          <w:sz w:val="24"/>
          <w:szCs w:val="24"/>
          <w:lang w:val="lv-LV"/>
        </w:rPr>
        <w:tab/>
        <w:t>2024. gada 27. februāra piekrišana (</w:t>
      </w:r>
      <w:r w:rsidRPr="00DF24E5">
        <w:rPr>
          <w:i/>
          <w:sz w:val="24"/>
          <w:szCs w:val="24"/>
          <w:lang w:val="lv-LV"/>
        </w:rPr>
        <w:t>Oficiālajā Vēstnesī</w:t>
      </w:r>
      <w:r w:rsidRPr="00DF24E5">
        <w:rPr>
          <w:sz w:val="24"/>
          <w:szCs w:val="24"/>
          <w:lang w:val="lv-LV"/>
        </w:rPr>
        <w:t xml:space="preserve"> vēl nav publicēta).</w:t>
      </w:r>
    </w:p>
  </w:footnote>
  <w:footnote w:id="3">
    <w:p w:rsidR="00947364" w:rsidRPr="00DF24E5" w:rsidRDefault="00947364" w:rsidP="00947364">
      <w:pPr>
        <w:pStyle w:val="FootnoteText"/>
        <w:rPr>
          <w:sz w:val="24"/>
          <w:szCs w:val="24"/>
          <w:lang w:val="lv-LV"/>
        </w:rPr>
      </w:pPr>
      <w:r w:rsidRPr="00DF24E5">
        <w:rPr>
          <w:rStyle w:val="FootnoteReference"/>
          <w:sz w:val="24"/>
          <w:szCs w:val="24"/>
        </w:rPr>
        <w:footnoteRef/>
      </w:r>
      <w:r w:rsidRPr="00DF24E5">
        <w:rPr>
          <w:sz w:val="24"/>
          <w:szCs w:val="24"/>
          <w:lang w:val="lv-LV"/>
        </w:rPr>
        <w:tab/>
        <w:t xml:space="preserve">Padomes Regula (ES, </w:t>
      </w:r>
      <w:r w:rsidRPr="00DF24E5">
        <w:rPr>
          <w:i/>
          <w:sz w:val="24"/>
          <w:szCs w:val="24"/>
          <w:lang w:val="lv-LV"/>
        </w:rPr>
        <w:t>Euratom</w:t>
      </w:r>
      <w:r w:rsidRPr="00DF24E5">
        <w:rPr>
          <w:sz w:val="24"/>
          <w:szCs w:val="24"/>
          <w:lang w:val="lv-LV"/>
        </w:rPr>
        <w:t>) 2020/2093 (2020. gada 17. decembris), ar ko nosaka daudzgadu finanšu shēmu 2021.–2027. gadam (OV L 433 I, 22.12.2020., 11. lpp.).</w:t>
      </w:r>
    </w:p>
  </w:footnote>
  <w:footnote w:id="4">
    <w:p w:rsidR="00947364" w:rsidRPr="00DF24E5" w:rsidRDefault="00947364" w:rsidP="00947364">
      <w:pPr>
        <w:pStyle w:val="FootnoteText"/>
        <w:rPr>
          <w:sz w:val="24"/>
          <w:szCs w:val="24"/>
          <w:lang w:val="es-ES"/>
        </w:rPr>
      </w:pPr>
      <w:r w:rsidRPr="00DF24E5">
        <w:rPr>
          <w:rStyle w:val="FootnoteReference"/>
          <w:sz w:val="24"/>
          <w:szCs w:val="24"/>
        </w:rPr>
        <w:footnoteRef/>
      </w:r>
      <w:r w:rsidRPr="00DF24E5">
        <w:rPr>
          <w:sz w:val="24"/>
          <w:szCs w:val="24"/>
          <w:lang w:val="es-ES"/>
        </w:rPr>
        <w:tab/>
      </w:r>
      <w:proofErr w:type="spellStart"/>
      <w:r w:rsidRPr="00DF24E5">
        <w:rPr>
          <w:sz w:val="24"/>
          <w:szCs w:val="24"/>
          <w:lang w:val="es-ES"/>
        </w:rPr>
        <w:t>Eiropas</w:t>
      </w:r>
      <w:proofErr w:type="spellEnd"/>
      <w:r w:rsidRPr="00DF24E5">
        <w:rPr>
          <w:sz w:val="24"/>
          <w:szCs w:val="24"/>
          <w:lang w:val="es-ES"/>
        </w:rPr>
        <w:t xml:space="preserve"> Parlamenta un </w:t>
      </w:r>
      <w:proofErr w:type="spellStart"/>
      <w:r w:rsidRPr="00DF24E5">
        <w:rPr>
          <w:sz w:val="24"/>
          <w:szCs w:val="24"/>
          <w:lang w:val="es-ES"/>
        </w:rPr>
        <w:t>Padomes</w:t>
      </w:r>
      <w:proofErr w:type="spellEnd"/>
      <w:r w:rsidRPr="00DF24E5">
        <w:rPr>
          <w:sz w:val="24"/>
          <w:szCs w:val="24"/>
          <w:lang w:val="es-ES"/>
        </w:rPr>
        <w:t xml:space="preserve"> Regula (ES) 2024/... (... </w:t>
      </w:r>
      <w:proofErr w:type="spellStart"/>
      <w:r w:rsidRPr="00DF24E5">
        <w:rPr>
          <w:sz w:val="24"/>
          <w:szCs w:val="24"/>
          <w:lang w:val="es-ES"/>
        </w:rPr>
        <w:t>gada</w:t>
      </w:r>
      <w:proofErr w:type="spellEnd"/>
      <w:r w:rsidRPr="00DF24E5">
        <w:rPr>
          <w:sz w:val="24"/>
          <w:szCs w:val="24"/>
          <w:lang w:val="es-ES"/>
        </w:rPr>
        <w:t xml:space="preserve"> ...), </w:t>
      </w:r>
      <w:proofErr w:type="spellStart"/>
      <w:r w:rsidRPr="00DF24E5">
        <w:rPr>
          <w:sz w:val="24"/>
          <w:szCs w:val="24"/>
          <w:lang w:val="es-ES"/>
        </w:rPr>
        <w:t>ar</w:t>
      </w:r>
      <w:proofErr w:type="spellEnd"/>
      <w:r w:rsidRPr="00DF24E5">
        <w:rPr>
          <w:sz w:val="24"/>
          <w:szCs w:val="24"/>
          <w:lang w:val="es-ES"/>
        </w:rPr>
        <w:t xml:space="preserve"> </w:t>
      </w:r>
      <w:proofErr w:type="spellStart"/>
      <w:r w:rsidRPr="00DF24E5">
        <w:rPr>
          <w:sz w:val="24"/>
          <w:szCs w:val="24"/>
          <w:lang w:val="es-ES"/>
        </w:rPr>
        <w:t>ko</w:t>
      </w:r>
      <w:proofErr w:type="spellEnd"/>
      <w:r w:rsidRPr="00DF24E5">
        <w:rPr>
          <w:sz w:val="24"/>
          <w:szCs w:val="24"/>
          <w:lang w:val="es-ES"/>
        </w:rPr>
        <w:t xml:space="preserve"> </w:t>
      </w:r>
      <w:proofErr w:type="spellStart"/>
      <w:r w:rsidRPr="00DF24E5">
        <w:rPr>
          <w:sz w:val="24"/>
          <w:szCs w:val="24"/>
          <w:lang w:val="es-ES"/>
        </w:rPr>
        <w:t>izveido</w:t>
      </w:r>
      <w:proofErr w:type="spellEnd"/>
      <w:r w:rsidRPr="00DF24E5">
        <w:rPr>
          <w:sz w:val="24"/>
          <w:szCs w:val="24"/>
          <w:lang w:val="es-ES"/>
        </w:rPr>
        <w:t xml:space="preserve"> </w:t>
      </w:r>
      <w:proofErr w:type="spellStart"/>
      <w:r w:rsidRPr="00DF24E5">
        <w:rPr>
          <w:sz w:val="24"/>
          <w:szCs w:val="24"/>
          <w:lang w:val="es-ES"/>
        </w:rPr>
        <w:t>Ukrainas</w:t>
      </w:r>
      <w:proofErr w:type="spellEnd"/>
      <w:r w:rsidRPr="00DF24E5">
        <w:rPr>
          <w:sz w:val="24"/>
          <w:szCs w:val="24"/>
          <w:lang w:val="es-ES"/>
        </w:rPr>
        <w:t xml:space="preserve"> </w:t>
      </w:r>
      <w:proofErr w:type="spellStart"/>
      <w:r w:rsidRPr="00DF24E5">
        <w:rPr>
          <w:sz w:val="24"/>
          <w:szCs w:val="24"/>
          <w:lang w:val="es-ES"/>
        </w:rPr>
        <w:t>mehānismu</w:t>
      </w:r>
      <w:proofErr w:type="spellEnd"/>
      <w:r w:rsidRPr="00DF24E5">
        <w:rPr>
          <w:sz w:val="24"/>
          <w:szCs w:val="24"/>
          <w:lang w:val="es-ES"/>
        </w:rPr>
        <w:t xml:space="preserve"> (OV L ..., ELI: ...).</w:t>
      </w:r>
    </w:p>
  </w:footnote>
  <w:footnote w:id="5">
    <w:p w:rsidR="00947364" w:rsidRPr="00DF24E5" w:rsidRDefault="00947364" w:rsidP="00947364">
      <w:pPr>
        <w:pStyle w:val="FootnoteText"/>
        <w:rPr>
          <w:sz w:val="24"/>
          <w:szCs w:val="24"/>
          <w:lang w:val="es-ES"/>
        </w:rPr>
      </w:pPr>
      <w:r w:rsidRPr="00DF24E5">
        <w:rPr>
          <w:rStyle w:val="FootnoteReference"/>
          <w:sz w:val="24"/>
          <w:szCs w:val="24"/>
          <w:lang w:val="es-ES"/>
        </w:rPr>
        <w:t>+</w:t>
      </w:r>
      <w:r w:rsidRPr="00DF24E5">
        <w:rPr>
          <w:sz w:val="24"/>
          <w:szCs w:val="24"/>
          <w:lang w:val="es-ES"/>
        </w:rPr>
        <w:tab/>
        <w:t xml:space="preserve">OV: </w:t>
      </w:r>
      <w:proofErr w:type="spellStart"/>
      <w:r w:rsidRPr="00DF24E5">
        <w:rPr>
          <w:sz w:val="24"/>
          <w:szCs w:val="24"/>
          <w:lang w:val="es-ES"/>
        </w:rPr>
        <w:t>lūgums</w:t>
      </w:r>
      <w:proofErr w:type="spellEnd"/>
      <w:r w:rsidRPr="00DF24E5">
        <w:rPr>
          <w:sz w:val="24"/>
          <w:szCs w:val="24"/>
          <w:lang w:val="es-ES"/>
        </w:rPr>
        <w:t xml:space="preserve"> </w:t>
      </w:r>
      <w:proofErr w:type="spellStart"/>
      <w:r w:rsidRPr="00DF24E5">
        <w:rPr>
          <w:sz w:val="24"/>
          <w:szCs w:val="24"/>
          <w:lang w:val="es-ES"/>
        </w:rPr>
        <w:t>tekstā</w:t>
      </w:r>
      <w:proofErr w:type="spellEnd"/>
      <w:r w:rsidRPr="00DF24E5">
        <w:rPr>
          <w:sz w:val="24"/>
          <w:szCs w:val="24"/>
          <w:lang w:val="es-ES"/>
        </w:rPr>
        <w:t xml:space="preserve"> </w:t>
      </w:r>
      <w:proofErr w:type="spellStart"/>
      <w:r w:rsidRPr="00DF24E5">
        <w:rPr>
          <w:sz w:val="24"/>
          <w:szCs w:val="24"/>
          <w:lang w:val="es-ES"/>
        </w:rPr>
        <w:t>ievietot</w:t>
      </w:r>
      <w:proofErr w:type="spellEnd"/>
      <w:r w:rsidRPr="00DF24E5">
        <w:rPr>
          <w:sz w:val="24"/>
          <w:szCs w:val="24"/>
          <w:lang w:val="es-ES"/>
        </w:rPr>
        <w:t xml:space="preserve"> </w:t>
      </w:r>
      <w:proofErr w:type="spellStart"/>
      <w:r w:rsidRPr="00DF24E5">
        <w:rPr>
          <w:sz w:val="24"/>
          <w:szCs w:val="24"/>
          <w:lang w:val="es-ES"/>
        </w:rPr>
        <w:t>dokumentā</w:t>
      </w:r>
      <w:proofErr w:type="spellEnd"/>
      <w:r w:rsidRPr="00DF24E5">
        <w:rPr>
          <w:sz w:val="24"/>
          <w:szCs w:val="24"/>
          <w:lang w:val="es-ES"/>
        </w:rPr>
        <w:t xml:space="preserve"> PE-CONS 10/24 (2023/0200(COD)) </w:t>
      </w:r>
      <w:proofErr w:type="spellStart"/>
      <w:r w:rsidRPr="00DF24E5">
        <w:rPr>
          <w:sz w:val="24"/>
          <w:szCs w:val="24"/>
          <w:lang w:val="es-ES"/>
        </w:rPr>
        <w:t>ietvertās</w:t>
      </w:r>
      <w:proofErr w:type="spellEnd"/>
      <w:r w:rsidRPr="00DF24E5">
        <w:rPr>
          <w:sz w:val="24"/>
          <w:szCs w:val="24"/>
          <w:lang w:val="es-ES"/>
        </w:rPr>
        <w:t xml:space="preserve"> regulas </w:t>
      </w:r>
      <w:proofErr w:type="spellStart"/>
      <w:r w:rsidRPr="00DF24E5">
        <w:rPr>
          <w:sz w:val="24"/>
          <w:szCs w:val="24"/>
          <w:lang w:val="es-ES"/>
        </w:rPr>
        <w:t>numuru</w:t>
      </w:r>
      <w:proofErr w:type="spellEnd"/>
      <w:r w:rsidRPr="00DF24E5">
        <w:rPr>
          <w:sz w:val="24"/>
          <w:szCs w:val="24"/>
          <w:lang w:val="es-ES"/>
        </w:rPr>
        <w:t xml:space="preserve"> un </w:t>
      </w:r>
      <w:proofErr w:type="spellStart"/>
      <w:r w:rsidRPr="00DF24E5">
        <w:rPr>
          <w:sz w:val="24"/>
          <w:szCs w:val="24"/>
          <w:lang w:val="es-ES"/>
        </w:rPr>
        <w:t>zemsvītras</w:t>
      </w:r>
      <w:proofErr w:type="spellEnd"/>
      <w:r w:rsidRPr="00DF24E5">
        <w:rPr>
          <w:sz w:val="24"/>
          <w:szCs w:val="24"/>
          <w:lang w:val="es-ES"/>
        </w:rPr>
        <w:t xml:space="preserve"> </w:t>
      </w:r>
      <w:proofErr w:type="spellStart"/>
      <w:r w:rsidRPr="00DF24E5">
        <w:rPr>
          <w:sz w:val="24"/>
          <w:szCs w:val="24"/>
          <w:lang w:val="es-ES"/>
        </w:rPr>
        <w:t>piezīmē</w:t>
      </w:r>
      <w:proofErr w:type="spellEnd"/>
      <w:r w:rsidRPr="00DF24E5">
        <w:rPr>
          <w:sz w:val="24"/>
          <w:szCs w:val="24"/>
          <w:lang w:val="es-ES"/>
        </w:rPr>
        <w:t xml:space="preserve"> </w:t>
      </w:r>
      <w:proofErr w:type="spellStart"/>
      <w:r w:rsidRPr="00DF24E5">
        <w:rPr>
          <w:sz w:val="24"/>
          <w:szCs w:val="24"/>
          <w:lang w:val="es-ES"/>
        </w:rPr>
        <w:t>ievietot</w:t>
      </w:r>
      <w:proofErr w:type="spellEnd"/>
      <w:r w:rsidRPr="00DF24E5">
        <w:rPr>
          <w:sz w:val="24"/>
          <w:szCs w:val="24"/>
          <w:lang w:val="es-ES"/>
        </w:rPr>
        <w:t xml:space="preserve"> </w:t>
      </w:r>
      <w:proofErr w:type="spellStart"/>
      <w:r w:rsidRPr="00DF24E5">
        <w:rPr>
          <w:sz w:val="24"/>
          <w:szCs w:val="24"/>
          <w:lang w:val="es-ES"/>
        </w:rPr>
        <w:t>minētās</w:t>
      </w:r>
      <w:proofErr w:type="spellEnd"/>
      <w:r w:rsidRPr="00DF24E5">
        <w:rPr>
          <w:sz w:val="24"/>
          <w:szCs w:val="24"/>
          <w:lang w:val="es-ES"/>
        </w:rPr>
        <w:t xml:space="preserve"> regulas </w:t>
      </w:r>
      <w:proofErr w:type="spellStart"/>
      <w:r w:rsidRPr="00DF24E5">
        <w:rPr>
          <w:sz w:val="24"/>
          <w:szCs w:val="24"/>
          <w:lang w:val="es-ES"/>
        </w:rPr>
        <w:t>numuru</w:t>
      </w:r>
      <w:proofErr w:type="spellEnd"/>
      <w:r w:rsidRPr="00DF24E5">
        <w:rPr>
          <w:sz w:val="24"/>
          <w:szCs w:val="24"/>
          <w:lang w:val="es-ES"/>
        </w:rPr>
        <w:t xml:space="preserve">, </w:t>
      </w:r>
      <w:proofErr w:type="spellStart"/>
      <w:r w:rsidRPr="00DF24E5">
        <w:rPr>
          <w:sz w:val="24"/>
          <w:szCs w:val="24"/>
          <w:lang w:val="es-ES"/>
        </w:rPr>
        <w:t>datumu</w:t>
      </w:r>
      <w:proofErr w:type="spellEnd"/>
      <w:r w:rsidRPr="00DF24E5">
        <w:rPr>
          <w:sz w:val="24"/>
          <w:szCs w:val="24"/>
          <w:lang w:val="es-ES"/>
        </w:rPr>
        <w:t xml:space="preserve"> un OV </w:t>
      </w:r>
      <w:proofErr w:type="spellStart"/>
      <w:r w:rsidRPr="00DF24E5">
        <w:rPr>
          <w:sz w:val="24"/>
          <w:szCs w:val="24"/>
          <w:lang w:val="es-ES"/>
        </w:rPr>
        <w:t>publikācijas</w:t>
      </w:r>
      <w:proofErr w:type="spellEnd"/>
      <w:r w:rsidRPr="00DF24E5">
        <w:rPr>
          <w:sz w:val="24"/>
          <w:szCs w:val="24"/>
          <w:lang w:val="es-ES"/>
        </w:rPr>
        <w:t xml:space="preserve"> </w:t>
      </w:r>
      <w:proofErr w:type="spellStart"/>
      <w:r w:rsidRPr="00DF24E5">
        <w:rPr>
          <w:sz w:val="24"/>
          <w:szCs w:val="24"/>
          <w:lang w:val="es-ES"/>
        </w:rPr>
        <w:t>atsauci</w:t>
      </w:r>
      <w:proofErr w:type="spellEnd"/>
      <w:r w:rsidRPr="00DF24E5">
        <w:rPr>
          <w:sz w:val="24"/>
          <w:szCs w:val="24"/>
          <w:lang w:val="es-ES"/>
        </w:rPr>
        <w:t>.</w:t>
      </w:r>
    </w:p>
  </w:footnote>
  <w:footnote w:id="6">
    <w:p w:rsidR="00947364" w:rsidRPr="00DF24E5" w:rsidRDefault="00947364" w:rsidP="00947364">
      <w:pPr>
        <w:pStyle w:val="FootnoteText"/>
        <w:rPr>
          <w:sz w:val="24"/>
          <w:szCs w:val="24"/>
          <w:lang w:val="es-ES"/>
        </w:rPr>
      </w:pPr>
      <w:r w:rsidRPr="00DF24E5">
        <w:rPr>
          <w:rStyle w:val="FootnoteReference"/>
          <w:sz w:val="24"/>
          <w:szCs w:val="24"/>
          <w:lang w:val="es-ES"/>
        </w:rPr>
        <w:t>+</w:t>
      </w:r>
      <w:r w:rsidRPr="00DF24E5">
        <w:rPr>
          <w:sz w:val="24"/>
          <w:szCs w:val="24"/>
          <w:lang w:val="es-ES"/>
        </w:rPr>
        <w:tab/>
        <w:t xml:space="preserve">OV: </w:t>
      </w:r>
      <w:proofErr w:type="spellStart"/>
      <w:r w:rsidRPr="00DF24E5">
        <w:rPr>
          <w:sz w:val="24"/>
          <w:szCs w:val="24"/>
          <w:lang w:val="es-ES"/>
        </w:rPr>
        <w:t>lūgums</w:t>
      </w:r>
      <w:proofErr w:type="spellEnd"/>
      <w:r w:rsidRPr="00DF24E5">
        <w:rPr>
          <w:sz w:val="24"/>
          <w:szCs w:val="24"/>
          <w:lang w:val="es-ES"/>
        </w:rPr>
        <w:t xml:space="preserve"> </w:t>
      </w:r>
      <w:proofErr w:type="spellStart"/>
      <w:r w:rsidRPr="00DF24E5">
        <w:rPr>
          <w:sz w:val="24"/>
          <w:szCs w:val="24"/>
          <w:lang w:val="es-ES"/>
        </w:rPr>
        <w:t>tekstā</w:t>
      </w:r>
      <w:proofErr w:type="spellEnd"/>
      <w:r w:rsidRPr="00DF24E5">
        <w:rPr>
          <w:sz w:val="24"/>
          <w:szCs w:val="24"/>
          <w:lang w:val="es-ES"/>
        </w:rPr>
        <w:t xml:space="preserve"> </w:t>
      </w:r>
      <w:proofErr w:type="spellStart"/>
      <w:r w:rsidRPr="00DF24E5">
        <w:rPr>
          <w:sz w:val="24"/>
          <w:szCs w:val="24"/>
          <w:lang w:val="es-ES"/>
        </w:rPr>
        <w:t>ievietot</w:t>
      </w:r>
      <w:proofErr w:type="spellEnd"/>
      <w:r w:rsidRPr="00DF24E5">
        <w:rPr>
          <w:sz w:val="24"/>
          <w:szCs w:val="24"/>
          <w:lang w:val="es-ES"/>
        </w:rPr>
        <w:t xml:space="preserve"> </w:t>
      </w:r>
      <w:proofErr w:type="spellStart"/>
      <w:r w:rsidRPr="00DF24E5">
        <w:rPr>
          <w:sz w:val="24"/>
          <w:szCs w:val="24"/>
          <w:lang w:val="es-ES"/>
        </w:rPr>
        <w:t>dokumentā</w:t>
      </w:r>
      <w:proofErr w:type="spellEnd"/>
      <w:r w:rsidRPr="00DF24E5">
        <w:rPr>
          <w:sz w:val="24"/>
          <w:szCs w:val="24"/>
          <w:lang w:val="es-ES"/>
        </w:rPr>
        <w:t xml:space="preserve"> PE-CONS 10/24 (2023/0200(COD)) </w:t>
      </w:r>
      <w:proofErr w:type="spellStart"/>
      <w:r w:rsidRPr="00DF24E5">
        <w:rPr>
          <w:sz w:val="24"/>
          <w:szCs w:val="24"/>
          <w:lang w:val="es-ES"/>
        </w:rPr>
        <w:t>ietvertās</w:t>
      </w:r>
      <w:proofErr w:type="spellEnd"/>
      <w:r w:rsidRPr="00DF24E5">
        <w:rPr>
          <w:sz w:val="24"/>
          <w:szCs w:val="24"/>
          <w:lang w:val="es-ES"/>
        </w:rPr>
        <w:t xml:space="preserve"> regulas </w:t>
      </w:r>
      <w:proofErr w:type="spellStart"/>
      <w:r w:rsidRPr="00DF24E5">
        <w:rPr>
          <w:sz w:val="24"/>
          <w:szCs w:val="24"/>
          <w:lang w:val="es-ES"/>
        </w:rPr>
        <w:t>numuru</w:t>
      </w:r>
      <w:proofErr w:type="spellEnd"/>
      <w:r w:rsidRPr="00DF24E5">
        <w:rPr>
          <w:sz w:val="24"/>
          <w:szCs w:val="24"/>
          <w:lang w:val="es-ES"/>
        </w:rPr>
        <w:t>.</w:t>
      </w:r>
    </w:p>
  </w:footnote>
  <w:footnote w:id="7">
    <w:p w:rsidR="00947364" w:rsidRPr="00DF24E5" w:rsidRDefault="00947364" w:rsidP="00947364">
      <w:pPr>
        <w:pStyle w:val="FootnoteText"/>
        <w:rPr>
          <w:sz w:val="24"/>
          <w:szCs w:val="24"/>
          <w:lang w:val="es-ES"/>
        </w:rPr>
      </w:pPr>
      <w:r w:rsidRPr="00DF24E5">
        <w:rPr>
          <w:rStyle w:val="FootnoteReference"/>
          <w:sz w:val="24"/>
          <w:szCs w:val="24"/>
          <w:lang w:val="es-ES"/>
        </w:rPr>
        <w:t>+</w:t>
      </w:r>
      <w:r w:rsidRPr="00DF24E5">
        <w:rPr>
          <w:sz w:val="24"/>
          <w:szCs w:val="24"/>
          <w:lang w:val="es-ES"/>
        </w:rPr>
        <w:tab/>
        <w:t xml:space="preserve">OV: </w:t>
      </w:r>
      <w:proofErr w:type="spellStart"/>
      <w:r w:rsidRPr="00DF24E5">
        <w:rPr>
          <w:sz w:val="24"/>
          <w:szCs w:val="24"/>
          <w:lang w:val="es-ES"/>
        </w:rPr>
        <w:t>lūgums</w:t>
      </w:r>
      <w:proofErr w:type="spellEnd"/>
      <w:r w:rsidRPr="00DF24E5">
        <w:rPr>
          <w:sz w:val="24"/>
          <w:szCs w:val="24"/>
          <w:lang w:val="es-ES"/>
        </w:rPr>
        <w:t xml:space="preserve"> </w:t>
      </w:r>
      <w:proofErr w:type="spellStart"/>
      <w:r w:rsidRPr="00DF24E5">
        <w:rPr>
          <w:sz w:val="24"/>
          <w:szCs w:val="24"/>
          <w:lang w:val="es-ES"/>
        </w:rPr>
        <w:t>tekstā</w:t>
      </w:r>
      <w:proofErr w:type="spellEnd"/>
      <w:r w:rsidRPr="00DF24E5">
        <w:rPr>
          <w:sz w:val="24"/>
          <w:szCs w:val="24"/>
          <w:lang w:val="es-ES"/>
        </w:rPr>
        <w:t xml:space="preserve"> </w:t>
      </w:r>
      <w:proofErr w:type="spellStart"/>
      <w:r w:rsidRPr="00DF24E5">
        <w:rPr>
          <w:sz w:val="24"/>
          <w:szCs w:val="24"/>
          <w:lang w:val="es-ES"/>
        </w:rPr>
        <w:t>ievietot</w:t>
      </w:r>
      <w:proofErr w:type="spellEnd"/>
      <w:r w:rsidRPr="00DF24E5">
        <w:rPr>
          <w:sz w:val="24"/>
          <w:szCs w:val="24"/>
          <w:lang w:val="es-ES"/>
        </w:rPr>
        <w:t xml:space="preserve"> </w:t>
      </w:r>
      <w:proofErr w:type="spellStart"/>
      <w:r w:rsidRPr="00DF24E5">
        <w:rPr>
          <w:sz w:val="24"/>
          <w:szCs w:val="24"/>
          <w:lang w:val="es-ES"/>
        </w:rPr>
        <w:t>dokumentā</w:t>
      </w:r>
      <w:proofErr w:type="spellEnd"/>
      <w:r w:rsidRPr="00DF24E5">
        <w:rPr>
          <w:sz w:val="24"/>
          <w:szCs w:val="24"/>
          <w:lang w:val="es-ES"/>
        </w:rPr>
        <w:t xml:space="preserve"> PE-CONS 10/24 (2023/0200(COD)) </w:t>
      </w:r>
      <w:proofErr w:type="spellStart"/>
      <w:r w:rsidRPr="00DF24E5">
        <w:rPr>
          <w:sz w:val="24"/>
          <w:szCs w:val="24"/>
          <w:lang w:val="es-ES"/>
        </w:rPr>
        <w:t>ietvertās</w:t>
      </w:r>
      <w:proofErr w:type="spellEnd"/>
      <w:r w:rsidRPr="00DF24E5">
        <w:rPr>
          <w:sz w:val="24"/>
          <w:szCs w:val="24"/>
          <w:lang w:val="es-ES"/>
        </w:rPr>
        <w:t xml:space="preserve"> regulas </w:t>
      </w:r>
      <w:proofErr w:type="spellStart"/>
      <w:r w:rsidRPr="00DF24E5">
        <w:rPr>
          <w:sz w:val="24"/>
          <w:szCs w:val="24"/>
          <w:lang w:val="es-ES"/>
        </w:rPr>
        <w:t>numuru</w:t>
      </w:r>
      <w:proofErr w:type="spellEnd"/>
      <w:r w:rsidRPr="00DF24E5">
        <w:rPr>
          <w:sz w:val="24"/>
          <w:szCs w:val="24"/>
          <w:lang w:val="es-ES"/>
        </w:rPr>
        <w:t>.</w:t>
      </w:r>
    </w:p>
  </w:footnote>
  <w:footnote w:id="8">
    <w:p w:rsidR="00947364" w:rsidRPr="00DF24E5" w:rsidRDefault="00947364" w:rsidP="00947364">
      <w:pPr>
        <w:pStyle w:val="FootnoteText"/>
        <w:rPr>
          <w:sz w:val="24"/>
          <w:szCs w:val="24"/>
          <w:lang w:val="es-ES"/>
        </w:rPr>
      </w:pPr>
      <w:r w:rsidRPr="00DF24E5">
        <w:rPr>
          <w:rStyle w:val="FootnoteReference"/>
          <w:sz w:val="24"/>
          <w:szCs w:val="24"/>
        </w:rPr>
        <w:footnoteRef/>
      </w:r>
      <w:r w:rsidRPr="00DF24E5">
        <w:rPr>
          <w:sz w:val="24"/>
          <w:szCs w:val="24"/>
          <w:lang w:val="es-ES"/>
        </w:rPr>
        <w:tab/>
      </w:r>
      <w:proofErr w:type="spellStart"/>
      <w:r w:rsidRPr="00DF24E5">
        <w:rPr>
          <w:sz w:val="24"/>
          <w:szCs w:val="24"/>
          <w:lang w:val="es-ES"/>
        </w:rPr>
        <w:t>Padomes</w:t>
      </w:r>
      <w:proofErr w:type="spellEnd"/>
      <w:r w:rsidRPr="00DF24E5">
        <w:rPr>
          <w:sz w:val="24"/>
          <w:szCs w:val="24"/>
          <w:lang w:val="es-ES"/>
        </w:rPr>
        <w:t xml:space="preserve"> </w:t>
      </w:r>
      <w:proofErr w:type="spellStart"/>
      <w:r w:rsidRPr="00DF24E5">
        <w:rPr>
          <w:sz w:val="24"/>
          <w:szCs w:val="24"/>
          <w:lang w:val="es-ES"/>
        </w:rPr>
        <w:t>Lēmums</w:t>
      </w:r>
      <w:proofErr w:type="spellEnd"/>
      <w:r w:rsidRPr="00DF24E5">
        <w:rPr>
          <w:sz w:val="24"/>
          <w:szCs w:val="24"/>
          <w:lang w:val="es-ES"/>
        </w:rPr>
        <w:t xml:space="preserve"> (ES, </w:t>
      </w:r>
      <w:proofErr w:type="spellStart"/>
      <w:r w:rsidRPr="00DF24E5">
        <w:rPr>
          <w:i/>
          <w:sz w:val="24"/>
          <w:szCs w:val="24"/>
          <w:lang w:val="es-ES"/>
        </w:rPr>
        <w:t>Euratom</w:t>
      </w:r>
      <w:proofErr w:type="spellEnd"/>
      <w:r w:rsidRPr="00DF24E5">
        <w:rPr>
          <w:sz w:val="24"/>
          <w:szCs w:val="24"/>
          <w:lang w:val="es-ES"/>
        </w:rPr>
        <w:t>) 2020/2053 (2020. </w:t>
      </w:r>
      <w:proofErr w:type="spellStart"/>
      <w:r w:rsidRPr="00DF24E5">
        <w:rPr>
          <w:sz w:val="24"/>
          <w:szCs w:val="24"/>
          <w:lang w:val="es-ES"/>
        </w:rPr>
        <w:t>gada</w:t>
      </w:r>
      <w:proofErr w:type="spellEnd"/>
      <w:r w:rsidRPr="00DF24E5">
        <w:rPr>
          <w:sz w:val="24"/>
          <w:szCs w:val="24"/>
          <w:lang w:val="es-ES"/>
        </w:rPr>
        <w:t xml:space="preserve"> 14. </w:t>
      </w:r>
      <w:proofErr w:type="spellStart"/>
      <w:r w:rsidRPr="00DF24E5">
        <w:rPr>
          <w:sz w:val="24"/>
          <w:szCs w:val="24"/>
          <w:lang w:val="es-ES"/>
        </w:rPr>
        <w:t>decembris</w:t>
      </w:r>
      <w:proofErr w:type="spellEnd"/>
      <w:r w:rsidRPr="00DF24E5">
        <w:rPr>
          <w:sz w:val="24"/>
          <w:szCs w:val="24"/>
          <w:lang w:val="es-ES"/>
        </w:rPr>
        <w:t xml:space="preserve">) par </w:t>
      </w:r>
      <w:proofErr w:type="spellStart"/>
      <w:r w:rsidRPr="00DF24E5">
        <w:rPr>
          <w:sz w:val="24"/>
          <w:szCs w:val="24"/>
          <w:lang w:val="es-ES"/>
        </w:rPr>
        <w:t>Eiropas</w:t>
      </w:r>
      <w:proofErr w:type="spellEnd"/>
      <w:r w:rsidRPr="00DF24E5">
        <w:rPr>
          <w:sz w:val="24"/>
          <w:szCs w:val="24"/>
          <w:lang w:val="es-ES"/>
        </w:rPr>
        <w:t xml:space="preserve"> </w:t>
      </w:r>
      <w:proofErr w:type="spellStart"/>
      <w:r w:rsidRPr="00DF24E5">
        <w:rPr>
          <w:sz w:val="24"/>
          <w:szCs w:val="24"/>
          <w:lang w:val="es-ES"/>
        </w:rPr>
        <w:t>Savienības</w:t>
      </w:r>
      <w:proofErr w:type="spellEnd"/>
      <w:r w:rsidRPr="00DF24E5">
        <w:rPr>
          <w:sz w:val="24"/>
          <w:szCs w:val="24"/>
          <w:lang w:val="es-ES"/>
        </w:rPr>
        <w:t xml:space="preserve"> </w:t>
      </w:r>
      <w:proofErr w:type="spellStart"/>
      <w:r w:rsidRPr="00DF24E5">
        <w:rPr>
          <w:sz w:val="24"/>
          <w:szCs w:val="24"/>
          <w:lang w:val="es-ES"/>
        </w:rPr>
        <w:t>pašu</w:t>
      </w:r>
      <w:proofErr w:type="spellEnd"/>
      <w:r w:rsidRPr="00DF24E5">
        <w:rPr>
          <w:sz w:val="24"/>
          <w:szCs w:val="24"/>
          <w:lang w:val="es-ES"/>
        </w:rPr>
        <w:t xml:space="preserve"> </w:t>
      </w:r>
      <w:proofErr w:type="spellStart"/>
      <w:r w:rsidRPr="00DF24E5">
        <w:rPr>
          <w:sz w:val="24"/>
          <w:szCs w:val="24"/>
          <w:lang w:val="es-ES"/>
        </w:rPr>
        <w:t>resursu</w:t>
      </w:r>
      <w:proofErr w:type="spellEnd"/>
      <w:r w:rsidRPr="00DF24E5">
        <w:rPr>
          <w:sz w:val="24"/>
          <w:szCs w:val="24"/>
          <w:lang w:val="es-ES"/>
        </w:rPr>
        <w:t xml:space="preserve"> </w:t>
      </w:r>
      <w:proofErr w:type="spellStart"/>
      <w:r w:rsidRPr="00DF24E5">
        <w:rPr>
          <w:sz w:val="24"/>
          <w:szCs w:val="24"/>
          <w:lang w:val="es-ES"/>
        </w:rPr>
        <w:t>sistēmu</w:t>
      </w:r>
      <w:proofErr w:type="spellEnd"/>
      <w:r w:rsidRPr="00DF24E5">
        <w:rPr>
          <w:sz w:val="24"/>
          <w:szCs w:val="24"/>
          <w:lang w:val="es-ES"/>
        </w:rPr>
        <w:t xml:space="preserve"> un </w:t>
      </w:r>
      <w:proofErr w:type="spellStart"/>
      <w:r w:rsidRPr="00DF24E5">
        <w:rPr>
          <w:sz w:val="24"/>
          <w:szCs w:val="24"/>
          <w:lang w:val="es-ES"/>
        </w:rPr>
        <w:t>ar</w:t>
      </w:r>
      <w:proofErr w:type="spellEnd"/>
      <w:r w:rsidRPr="00DF24E5">
        <w:rPr>
          <w:sz w:val="24"/>
          <w:szCs w:val="24"/>
          <w:lang w:val="es-ES"/>
        </w:rPr>
        <w:t xml:space="preserve"> </w:t>
      </w:r>
      <w:proofErr w:type="spellStart"/>
      <w:r w:rsidRPr="00DF24E5">
        <w:rPr>
          <w:sz w:val="24"/>
          <w:szCs w:val="24"/>
          <w:lang w:val="es-ES"/>
        </w:rPr>
        <w:t>ko</w:t>
      </w:r>
      <w:proofErr w:type="spellEnd"/>
      <w:r w:rsidRPr="00DF24E5">
        <w:rPr>
          <w:sz w:val="24"/>
          <w:szCs w:val="24"/>
          <w:lang w:val="es-ES"/>
        </w:rPr>
        <w:t xml:space="preserve"> </w:t>
      </w:r>
      <w:proofErr w:type="spellStart"/>
      <w:r w:rsidRPr="00DF24E5">
        <w:rPr>
          <w:sz w:val="24"/>
          <w:szCs w:val="24"/>
          <w:lang w:val="es-ES"/>
        </w:rPr>
        <w:t>atceļ</w:t>
      </w:r>
      <w:proofErr w:type="spellEnd"/>
      <w:r w:rsidRPr="00DF24E5">
        <w:rPr>
          <w:sz w:val="24"/>
          <w:szCs w:val="24"/>
          <w:lang w:val="es-ES"/>
        </w:rPr>
        <w:t xml:space="preserve"> </w:t>
      </w:r>
      <w:proofErr w:type="spellStart"/>
      <w:r w:rsidRPr="00DF24E5">
        <w:rPr>
          <w:sz w:val="24"/>
          <w:szCs w:val="24"/>
          <w:lang w:val="es-ES"/>
        </w:rPr>
        <w:t>Lēmumu</w:t>
      </w:r>
      <w:proofErr w:type="spellEnd"/>
      <w:r w:rsidRPr="00DF24E5">
        <w:rPr>
          <w:sz w:val="24"/>
          <w:szCs w:val="24"/>
          <w:lang w:val="es-ES"/>
        </w:rPr>
        <w:t xml:space="preserve"> 2014/335/ES, </w:t>
      </w:r>
      <w:proofErr w:type="spellStart"/>
      <w:r w:rsidRPr="00DF24E5">
        <w:rPr>
          <w:i/>
          <w:sz w:val="24"/>
          <w:szCs w:val="24"/>
          <w:lang w:val="es-ES"/>
        </w:rPr>
        <w:t>Euratom</w:t>
      </w:r>
      <w:proofErr w:type="spellEnd"/>
      <w:r w:rsidRPr="00DF24E5">
        <w:rPr>
          <w:sz w:val="24"/>
          <w:szCs w:val="24"/>
          <w:lang w:val="es-ES"/>
        </w:rPr>
        <w:t xml:space="preserve"> (OV L 424, 15.12.2020., 1. </w:t>
      </w:r>
      <w:proofErr w:type="spellStart"/>
      <w:r w:rsidRPr="00DF24E5">
        <w:rPr>
          <w:sz w:val="24"/>
          <w:szCs w:val="24"/>
          <w:lang w:val="es-ES"/>
        </w:rPr>
        <w:t>lpp</w:t>
      </w:r>
      <w:proofErr w:type="spellEnd"/>
      <w:r w:rsidRPr="00DF24E5">
        <w:rPr>
          <w:sz w:val="24"/>
          <w:szCs w:val="24"/>
          <w:lang w:val="es-ES"/>
        </w:rPr>
        <w:t>.).</w:t>
      </w:r>
    </w:p>
  </w:footnote>
  <w:footnote w:id="9">
    <w:p w:rsidR="00947364" w:rsidRPr="00DF24E5" w:rsidRDefault="00947364" w:rsidP="00947364">
      <w:pPr>
        <w:pStyle w:val="FootnoteText"/>
        <w:rPr>
          <w:sz w:val="24"/>
          <w:szCs w:val="24"/>
          <w:lang w:val="es-ES"/>
        </w:rPr>
      </w:pPr>
      <w:r w:rsidRPr="00DF24E5">
        <w:rPr>
          <w:rStyle w:val="FootnoteReference"/>
          <w:sz w:val="24"/>
          <w:szCs w:val="24"/>
        </w:rPr>
        <w:footnoteRef/>
      </w:r>
      <w:r w:rsidRPr="00DF24E5">
        <w:rPr>
          <w:sz w:val="24"/>
          <w:szCs w:val="24"/>
          <w:lang w:val="es-ES"/>
        </w:rPr>
        <w:tab/>
      </w:r>
      <w:proofErr w:type="spellStart"/>
      <w:r w:rsidRPr="00DF24E5">
        <w:rPr>
          <w:sz w:val="24"/>
          <w:szCs w:val="24"/>
          <w:lang w:val="es-ES"/>
        </w:rPr>
        <w:t>Padomes</w:t>
      </w:r>
      <w:proofErr w:type="spellEnd"/>
      <w:r w:rsidRPr="00DF24E5">
        <w:rPr>
          <w:sz w:val="24"/>
          <w:szCs w:val="24"/>
          <w:lang w:val="es-ES"/>
        </w:rPr>
        <w:t xml:space="preserve"> Regula (EK) </w:t>
      </w:r>
      <w:proofErr w:type="spellStart"/>
      <w:r w:rsidRPr="00DF24E5">
        <w:rPr>
          <w:sz w:val="24"/>
          <w:szCs w:val="24"/>
          <w:lang w:val="es-ES"/>
        </w:rPr>
        <w:t>Nr</w:t>
      </w:r>
      <w:proofErr w:type="spellEnd"/>
      <w:r w:rsidRPr="00DF24E5">
        <w:rPr>
          <w:sz w:val="24"/>
          <w:szCs w:val="24"/>
          <w:lang w:val="es-ES"/>
        </w:rPr>
        <w:t>. 2012/2002 (2002. </w:t>
      </w:r>
      <w:proofErr w:type="spellStart"/>
      <w:r w:rsidRPr="00DF24E5">
        <w:rPr>
          <w:sz w:val="24"/>
          <w:szCs w:val="24"/>
          <w:lang w:val="es-ES"/>
        </w:rPr>
        <w:t>gada</w:t>
      </w:r>
      <w:proofErr w:type="spellEnd"/>
      <w:r w:rsidRPr="00DF24E5">
        <w:rPr>
          <w:sz w:val="24"/>
          <w:szCs w:val="24"/>
          <w:lang w:val="es-ES"/>
        </w:rPr>
        <w:t xml:space="preserve"> 11. </w:t>
      </w:r>
      <w:proofErr w:type="spellStart"/>
      <w:r w:rsidRPr="00DF24E5">
        <w:rPr>
          <w:sz w:val="24"/>
          <w:szCs w:val="24"/>
          <w:lang w:val="es-ES"/>
        </w:rPr>
        <w:t>novembris</w:t>
      </w:r>
      <w:proofErr w:type="spellEnd"/>
      <w:r w:rsidRPr="00DF24E5">
        <w:rPr>
          <w:sz w:val="24"/>
          <w:szCs w:val="24"/>
          <w:lang w:val="es-ES"/>
        </w:rPr>
        <w:t xml:space="preserve">), </w:t>
      </w:r>
      <w:proofErr w:type="spellStart"/>
      <w:r w:rsidRPr="00DF24E5">
        <w:rPr>
          <w:sz w:val="24"/>
          <w:szCs w:val="24"/>
          <w:lang w:val="es-ES"/>
        </w:rPr>
        <w:t>ar</w:t>
      </w:r>
      <w:proofErr w:type="spellEnd"/>
      <w:r w:rsidRPr="00DF24E5">
        <w:rPr>
          <w:sz w:val="24"/>
          <w:szCs w:val="24"/>
          <w:lang w:val="es-ES"/>
        </w:rPr>
        <w:t xml:space="preserve"> </w:t>
      </w:r>
      <w:proofErr w:type="spellStart"/>
      <w:r w:rsidRPr="00DF24E5">
        <w:rPr>
          <w:sz w:val="24"/>
          <w:szCs w:val="24"/>
          <w:lang w:val="es-ES"/>
        </w:rPr>
        <w:t>ko</w:t>
      </w:r>
      <w:proofErr w:type="spellEnd"/>
      <w:r w:rsidRPr="00DF24E5">
        <w:rPr>
          <w:sz w:val="24"/>
          <w:szCs w:val="24"/>
          <w:lang w:val="es-ES"/>
        </w:rPr>
        <w:t xml:space="preserve"> </w:t>
      </w:r>
      <w:proofErr w:type="spellStart"/>
      <w:r w:rsidRPr="00DF24E5">
        <w:rPr>
          <w:sz w:val="24"/>
          <w:szCs w:val="24"/>
          <w:lang w:val="es-ES"/>
        </w:rPr>
        <w:t>izveido</w:t>
      </w:r>
      <w:proofErr w:type="spellEnd"/>
      <w:r w:rsidRPr="00DF24E5">
        <w:rPr>
          <w:sz w:val="24"/>
          <w:szCs w:val="24"/>
          <w:lang w:val="es-ES"/>
        </w:rPr>
        <w:t xml:space="preserve"> </w:t>
      </w:r>
      <w:proofErr w:type="spellStart"/>
      <w:r w:rsidRPr="00DF24E5">
        <w:rPr>
          <w:sz w:val="24"/>
          <w:szCs w:val="24"/>
          <w:lang w:val="es-ES"/>
        </w:rPr>
        <w:t>Eiropas</w:t>
      </w:r>
      <w:proofErr w:type="spellEnd"/>
      <w:r w:rsidRPr="00DF24E5">
        <w:rPr>
          <w:sz w:val="24"/>
          <w:szCs w:val="24"/>
          <w:lang w:val="es-ES"/>
        </w:rPr>
        <w:t xml:space="preserve"> </w:t>
      </w:r>
      <w:proofErr w:type="spellStart"/>
      <w:r w:rsidRPr="00DF24E5">
        <w:rPr>
          <w:sz w:val="24"/>
          <w:szCs w:val="24"/>
          <w:lang w:val="es-ES"/>
        </w:rPr>
        <w:t>Savienības</w:t>
      </w:r>
      <w:proofErr w:type="spellEnd"/>
      <w:r w:rsidRPr="00DF24E5">
        <w:rPr>
          <w:sz w:val="24"/>
          <w:szCs w:val="24"/>
          <w:lang w:val="es-ES"/>
        </w:rPr>
        <w:t xml:space="preserve"> </w:t>
      </w:r>
      <w:proofErr w:type="spellStart"/>
      <w:r w:rsidRPr="00DF24E5">
        <w:rPr>
          <w:sz w:val="24"/>
          <w:szCs w:val="24"/>
          <w:lang w:val="es-ES"/>
        </w:rPr>
        <w:t>Solidaritātes</w:t>
      </w:r>
      <w:proofErr w:type="spellEnd"/>
      <w:r w:rsidRPr="00DF24E5">
        <w:rPr>
          <w:sz w:val="24"/>
          <w:szCs w:val="24"/>
          <w:lang w:val="es-ES"/>
        </w:rPr>
        <w:t xml:space="preserve"> </w:t>
      </w:r>
      <w:proofErr w:type="spellStart"/>
      <w:r w:rsidRPr="00DF24E5">
        <w:rPr>
          <w:sz w:val="24"/>
          <w:szCs w:val="24"/>
          <w:lang w:val="es-ES"/>
        </w:rPr>
        <w:t>fondu</w:t>
      </w:r>
      <w:proofErr w:type="spellEnd"/>
      <w:r w:rsidRPr="00DF24E5">
        <w:rPr>
          <w:sz w:val="24"/>
          <w:szCs w:val="24"/>
          <w:lang w:val="es-ES"/>
        </w:rPr>
        <w:t xml:space="preserve"> (OV L 311, 14.11.2002., 3. </w:t>
      </w:r>
      <w:proofErr w:type="spellStart"/>
      <w:r w:rsidRPr="00DF24E5">
        <w:rPr>
          <w:sz w:val="24"/>
          <w:szCs w:val="24"/>
          <w:lang w:val="es-ES"/>
        </w:rPr>
        <w:t>lpp</w:t>
      </w:r>
      <w:proofErr w:type="spellEnd"/>
      <w:r w:rsidRPr="00DF24E5">
        <w:rPr>
          <w:sz w:val="24"/>
          <w:szCs w:val="24"/>
          <w:lang w:val="es-ES"/>
        </w:rPr>
        <w:t>.).</w:t>
      </w:r>
    </w:p>
  </w:footnote>
  <w:footnote w:id="10">
    <w:p w:rsidR="00947364" w:rsidRPr="00DF24E5" w:rsidRDefault="00947364" w:rsidP="00947364">
      <w:pPr>
        <w:pStyle w:val="FootnoteText"/>
        <w:rPr>
          <w:sz w:val="24"/>
          <w:szCs w:val="24"/>
          <w:lang w:val="es-ES"/>
        </w:rPr>
      </w:pPr>
      <w:r w:rsidRPr="00DF24E5">
        <w:rPr>
          <w:rStyle w:val="FootnoteReference"/>
          <w:sz w:val="24"/>
          <w:szCs w:val="24"/>
          <w:lang w:val="es-ES"/>
        </w:rPr>
        <w:t>+</w:t>
      </w:r>
      <w:r w:rsidRPr="00DF24E5">
        <w:rPr>
          <w:sz w:val="24"/>
          <w:szCs w:val="24"/>
          <w:lang w:val="es-ES"/>
        </w:rPr>
        <w:tab/>
        <w:t xml:space="preserve">OV: </w:t>
      </w:r>
      <w:proofErr w:type="spellStart"/>
      <w:r w:rsidRPr="00DF24E5">
        <w:rPr>
          <w:sz w:val="24"/>
          <w:szCs w:val="24"/>
          <w:lang w:val="es-ES"/>
        </w:rPr>
        <w:t>lūgums</w:t>
      </w:r>
      <w:proofErr w:type="spellEnd"/>
      <w:r w:rsidRPr="00DF24E5">
        <w:rPr>
          <w:sz w:val="24"/>
          <w:szCs w:val="24"/>
          <w:lang w:val="es-ES"/>
        </w:rPr>
        <w:t xml:space="preserve"> </w:t>
      </w:r>
      <w:proofErr w:type="spellStart"/>
      <w:r w:rsidRPr="00DF24E5">
        <w:rPr>
          <w:sz w:val="24"/>
          <w:szCs w:val="24"/>
          <w:lang w:val="es-ES"/>
        </w:rPr>
        <w:t>tekstā</w:t>
      </w:r>
      <w:proofErr w:type="spellEnd"/>
      <w:r w:rsidRPr="00DF24E5">
        <w:rPr>
          <w:sz w:val="24"/>
          <w:szCs w:val="24"/>
          <w:lang w:val="es-ES"/>
        </w:rPr>
        <w:t xml:space="preserve"> </w:t>
      </w:r>
      <w:proofErr w:type="spellStart"/>
      <w:r w:rsidRPr="00DF24E5">
        <w:rPr>
          <w:sz w:val="24"/>
          <w:szCs w:val="24"/>
          <w:lang w:val="es-ES"/>
        </w:rPr>
        <w:t>ievietot</w:t>
      </w:r>
      <w:proofErr w:type="spellEnd"/>
      <w:r w:rsidRPr="00DF24E5">
        <w:rPr>
          <w:sz w:val="24"/>
          <w:szCs w:val="24"/>
          <w:lang w:val="es-ES"/>
        </w:rPr>
        <w:t xml:space="preserve"> </w:t>
      </w:r>
      <w:proofErr w:type="spellStart"/>
      <w:r w:rsidRPr="00DF24E5">
        <w:rPr>
          <w:sz w:val="24"/>
          <w:szCs w:val="24"/>
          <w:lang w:val="es-ES"/>
        </w:rPr>
        <w:t>dokumentā</w:t>
      </w:r>
      <w:proofErr w:type="spellEnd"/>
      <w:r w:rsidRPr="00DF24E5">
        <w:rPr>
          <w:sz w:val="24"/>
          <w:szCs w:val="24"/>
          <w:lang w:val="es-ES"/>
        </w:rPr>
        <w:t xml:space="preserve"> PE-CONS 10/24 (2023/0200(COD)) </w:t>
      </w:r>
      <w:proofErr w:type="spellStart"/>
      <w:r w:rsidRPr="00DF24E5">
        <w:rPr>
          <w:sz w:val="24"/>
          <w:szCs w:val="24"/>
          <w:lang w:val="es-ES"/>
        </w:rPr>
        <w:t>ietvertās</w:t>
      </w:r>
      <w:proofErr w:type="spellEnd"/>
      <w:r w:rsidRPr="00DF24E5">
        <w:rPr>
          <w:sz w:val="24"/>
          <w:szCs w:val="24"/>
          <w:lang w:val="es-ES"/>
        </w:rPr>
        <w:t xml:space="preserve"> regulas </w:t>
      </w:r>
      <w:proofErr w:type="spellStart"/>
      <w:r w:rsidRPr="00DF24E5">
        <w:rPr>
          <w:sz w:val="24"/>
          <w:szCs w:val="24"/>
          <w:lang w:val="es-ES"/>
        </w:rPr>
        <w:t>numuru</w:t>
      </w:r>
      <w:proofErr w:type="spellEnd"/>
      <w:r w:rsidRPr="00DF24E5">
        <w:rPr>
          <w:sz w:val="24"/>
          <w:szCs w:val="24"/>
          <w:lang w:val="es-ES"/>
        </w:rPr>
        <w:t xml:space="preserve"> un </w:t>
      </w:r>
      <w:proofErr w:type="spellStart"/>
      <w:r w:rsidRPr="00DF24E5">
        <w:rPr>
          <w:sz w:val="24"/>
          <w:szCs w:val="24"/>
          <w:lang w:val="es-ES"/>
        </w:rPr>
        <w:t>zemsvītras</w:t>
      </w:r>
      <w:proofErr w:type="spellEnd"/>
      <w:r w:rsidRPr="00DF24E5">
        <w:rPr>
          <w:sz w:val="24"/>
          <w:szCs w:val="24"/>
          <w:lang w:val="es-ES"/>
        </w:rPr>
        <w:t xml:space="preserve"> </w:t>
      </w:r>
      <w:proofErr w:type="spellStart"/>
      <w:r w:rsidRPr="00DF24E5">
        <w:rPr>
          <w:sz w:val="24"/>
          <w:szCs w:val="24"/>
          <w:lang w:val="es-ES"/>
        </w:rPr>
        <w:t>piezīmē</w:t>
      </w:r>
      <w:proofErr w:type="spellEnd"/>
      <w:r w:rsidRPr="00DF24E5">
        <w:rPr>
          <w:sz w:val="24"/>
          <w:szCs w:val="24"/>
          <w:lang w:val="es-ES"/>
        </w:rPr>
        <w:t xml:space="preserve"> </w:t>
      </w:r>
      <w:proofErr w:type="spellStart"/>
      <w:r w:rsidRPr="00DF24E5">
        <w:rPr>
          <w:sz w:val="24"/>
          <w:szCs w:val="24"/>
          <w:lang w:val="es-ES"/>
        </w:rPr>
        <w:t>ievietot</w:t>
      </w:r>
      <w:proofErr w:type="spellEnd"/>
      <w:r w:rsidRPr="00DF24E5">
        <w:rPr>
          <w:sz w:val="24"/>
          <w:szCs w:val="24"/>
          <w:lang w:val="es-ES"/>
        </w:rPr>
        <w:t xml:space="preserve"> </w:t>
      </w:r>
      <w:proofErr w:type="spellStart"/>
      <w:r w:rsidRPr="00DF24E5">
        <w:rPr>
          <w:sz w:val="24"/>
          <w:szCs w:val="24"/>
          <w:lang w:val="es-ES"/>
        </w:rPr>
        <w:t>minētās</w:t>
      </w:r>
      <w:proofErr w:type="spellEnd"/>
      <w:r w:rsidRPr="00DF24E5">
        <w:rPr>
          <w:sz w:val="24"/>
          <w:szCs w:val="24"/>
          <w:lang w:val="es-ES"/>
        </w:rPr>
        <w:t xml:space="preserve"> regulas </w:t>
      </w:r>
      <w:proofErr w:type="spellStart"/>
      <w:r w:rsidRPr="00DF24E5">
        <w:rPr>
          <w:sz w:val="24"/>
          <w:szCs w:val="24"/>
          <w:lang w:val="es-ES"/>
        </w:rPr>
        <w:t>numuru</w:t>
      </w:r>
      <w:proofErr w:type="spellEnd"/>
      <w:r w:rsidRPr="00DF24E5">
        <w:rPr>
          <w:sz w:val="24"/>
          <w:szCs w:val="24"/>
          <w:lang w:val="es-ES"/>
        </w:rPr>
        <w:t xml:space="preserve">, </w:t>
      </w:r>
      <w:proofErr w:type="spellStart"/>
      <w:r w:rsidRPr="00DF24E5">
        <w:rPr>
          <w:sz w:val="24"/>
          <w:szCs w:val="24"/>
          <w:lang w:val="es-ES"/>
        </w:rPr>
        <w:t>datumu</w:t>
      </w:r>
      <w:proofErr w:type="spellEnd"/>
      <w:r w:rsidRPr="00DF24E5">
        <w:rPr>
          <w:sz w:val="24"/>
          <w:szCs w:val="24"/>
          <w:lang w:val="es-ES"/>
        </w:rPr>
        <w:t xml:space="preserve"> un OV </w:t>
      </w:r>
      <w:proofErr w:type="spellStart"/>
      <w:r w:rsidRPr="00DF24E5">
        <w:rPr>
          <w:sz w:val="24"/>
          <w:szCs w:val="24"/>
          <w:lang w:val="es-ES"/>
        </w:rPr>
        <w:t>publikācijas</w:t>
      </w:r>
      <w:proofErr w:type="spellEnd"/>
      <w:r w:rsidRPr="00DF24E5">
        <w:rPr>
          <w:sz w:val="24"/>
          <w:szCs w:val="24"/>
          <w:lang w:val="es-ES"/>
        </w:rPr>
        <w:t xml:space="preserve"> </w:t>
      </w:r>
      <w:proofErr w:type="spellStart"/>
      <w:r w:rsidRPr="00DF24E5">
        <w:rPr>
          <w:sz w:val="24"/>
          <w:szCs w:val="24"/>
          <w:lang w:val="es-ES"/>
        </w:rPr>
        <w:t>atsauci</w:t>
      </w:r>
      <w:proofErr w:type="spellEnd"/>
      <w:r w:rsidRPr="00DF24E5">
        <w:rPr>
          <w:sz w:val="24"/>
          <w:szCs w:val="24"/>
          <w:lang w:val="es-ES"/>
        </w:rPr>
        <w:t>.</w:t>
      </w:r>
    </w:p>
  </w:footnote>
  <w:footnote w:id="11">
    <w:p w:rsidR="00947364" w:rsidRPr="00DF24E5" w:rsidRDefault="00947364" w:rsidP="00947364">
      <w:pPr>
        <w:pStyle w:val="FootnoteText"/>
        <w:rPr>
          <w:sz w:val="24"/>
          <w:szCs w:val="24"/>
          <w:lang w:val="es-ES"/>
        </w:rPr>
      </w:pPr>
      <w:r w:rsidRPr="00DF24E5">
        <w:rPr>
          <w:rStyle w:val="FootnoteReference"/>
          <w:sz w:val="24"/>
          <w:szCs w:val="24"/>
          <w:lang w:val="es-ES"/>
        </w:rPr>
        <w:t>+</w:t>
      </w:r>
      <w:r w:rsidRPr="00DF24E5">
        <w:rPr>
          <w:sz w:val="24"/>
          <w:szCs w:val="24"/>
          <w:lang w:val="es-ES"/>
        </w:rPr>
        <w:tab/>
        <w:t xml:space="preserve">OV: </w:t>
      </w:r>
      <w:proofErr w:type="spellStart"/>
      <w:r w:rsidRPr="00DF24E5">
        <w:rPr>
          <w:sz w:val="24"/>
          <w:szCs w:val="24"/>
          <w:lang w:val="es-ES"/>
        </w:rPr>
        <w:t>lūgums</w:t>
      </w:r>
      <w:proofErr w:type="spellEnd"/>
      <w:r w:rsidRPr="00DF24E5">
        <w:rPr>
          <w:sz w:val="24"/>
          <w:szCs w:val="24"/>
          <w:lang w:val="es-ES"/>
        </w:rPr>
        <w:t xml:space="preserve"> </w:t>
      </w:r>
      <w:proofErr w:type="spellStart"/>
      <w:r w:rsidRPr="00DF24E5">
        <w:rPr>
          <w:sz w:val="24"/>
          <w:szCs w:val="24"/>
          <w:lang w:val="es-ES"/>
        </w:rPr>
        <w:t>tekstā</w:t>
      </w:r>
      <w:proofErr w:type="spellEnd"/>
      <w:r w:rsidRPr="00DF24E5">
        <w:rPr>
          <w:sz w:val="24"/>
          <w:szCs w:val="24"/>
          <w:lang w:val="es-ES"/>
        </w:rPr>
        <w:t xml:space="preserve"> </w:t>
      </w:r>
      <w:proofErr w:type="spellStart"/>
      <w:r w:rsidRPr="00DF24E5">
        <w:rPr>
          <w:sz w:val="24"/>
          <w:szCs w:val="24"/>
          <w:lang w:val="es-ES"/>
        </w:rPr>
        <w:t>ievietot</w:t>
      </w:r>
      <w:proofErr w:type="spellEnd"/>
      <w:r w:rsidRPr="00DF24E5">
        <w:rPr>
          <w:sz w:val="24"/>
          <w:szCs w:val="24"/>
          <w:lang w:val="es-ES"/>
        </w:rPr>
        <w:t xml:space="preserve"> </w:t>
      </w:r>
      <w:proofErr w:type="spellStart"/>
      <w:r w:rsidRPr="00DF24E5">
        <w:rPr>
          <w:sz w:val="24"/>
          <w:szCs w:val="24"/>
          <w:lang w:val="es-ES"/>
        </w:rPr>
        <w:t>dokumentā</w:t>
      </w:r>
      <w:proofErr w:type="spellEnd"/>
      <w:r w:rsidRPr="00DF24E5">
        <w:rPr>
          <w:sz w:val="24"/>
          <w:szCs w:val="24"/>
          <w:lang w:val="es-ES"/>
        </w:rPr>
        <w:t xml:space="preserve"> PE-CONS 10/24 (2023/0200(COD)) </w:t>
      </w:r>
      <w:proofErr w:type="spellStart"/>
      <w:r w:rsidRPr="00DF24E5">
        <w:rPr>
          <w:sz w:val="24"/>
          <w:szCs w:val="24"/>
          <w:lang w:val="es-ES"/>
        </w:rPr>
        <w:t>ietvertās</w:t>
      </w:r>
      <w:proofErr w:type="spellEnd"/>
      <w:r w:rsidRPr="00DF24E5">
        <w:rPr>
          <w:sz w:val="24"/>
          <w:szCs w:val="24"/>
          <w:lang w:val="es-ES"/>
        </w:rPr>
        <w:t xml:space="preserve"> regulas </w:t>
      </w:r>
      <w:proofErr w:type="spellStart"/>
      <w:r w:rsidRPr="00DF24E5">
        <w:rPr>
          <w:sz w:val="24"/>
          <w:szCs w:val="24"/>
          <w:lang w:val="es-ES"/>
        </w:rPr>
        <w:t>numuru</w:t>
      </w:r>
      <w:proofErr w:type="spellEnd"/>
      <w:r w:rsidRPr="00DF24E5">
        <w:rPr>
          <w:sz w:val="24"/>
          <w:szCs w:val="24"/>
          <w:lang w:val="es-ES"/>
        </w:rPr>
        <w:t>.”</w:t>
      </w:r>
    </w:p>
  </w:footnote>
  <w:footnote w:id="12">
    <w:p w:rsidR="00947364" w:rsidRPr="00DF24E5" w:rsidRDefault="00947364" w:rsidP="00947364">
      <w:pPr>
        <w:pStyle w:val="FootnoteText"/>
        <w:rPr>
          <w:sz w:val="24"/>
          <w:szCs w:val="24"/>
          <w:lang w:val="es-ES"/>
        </w:rPr>
      </w:pPr>
      <w:r w:rsidRPr="00DF24E5">
        <w:rPr>
          <w:rStyle w:val="FootnoteReference"/>
          <w:sz w:val="24"/>
          <w:szCs w:val="24"/>
        </w:rPr>
        <w:footnoteRef/>
      </w:r>
      <w:r w:rsidRPr="00DF24E5">
        <w:rPr>
          <w:sz w:val="24"/>
          <w:szCs w:val="24"/>
          <w:lang w:val="es-ES"/>
        </w:rPr>
        <w:t xml:space="preserve"> </w:t>
      </w:r>
      <w:r w:rsidR="00215A38" w:rsidRPr="00DF24E5">
        <w:rPr>
          <w:sz w:val="24"/>
          <w:szCs w:val="24"/>
          <w:lang w:val="es-ES"/>
        </w:rPr>
        <w:tab/>
      </w:r>
      <w:proofErr w:type="spellStart"/>
      <w:r w:rsidRPr="00DF24E5">
        <w:rPr>
          <w:sz w:val="24"/>
          <w:szCs w:val="24"/>
          <w:lang w:val="es-ES"/>
        </w:rPr>
        <w:t>Eiropas</w:t>
      </w:r>
      <w:proofErr w:type="spellEnd"/>
      <w:r w:rsidRPr="00DF24E5">
        <w:rPr>
          <w:sz w:val="24"/>
          <w:szCs w:val="24"/>
          <w:lang w:val="es-ES"/>
        </w:rPr>
        <w:t xml:space="preserve"> Parlamenta, </w:t>
      </w:r>
      <w:proofErr w:type="spellStart"/>
      <w:r w:rsidRPr="00DF24E5">
        <w:rPr>
          <w:sz w:val="24"/>
          <w:szCs w:val="24"/>
          <w:lang w:val="es-ES"/>
        </w:rPr>
        <w:t>Padomes</w:t>
      </w:r>
      <w:proofErr w:type="spellEnd"/>
      <w:r w:rsidRPr="00DF24E5">
        <w:rPr>
          <w:sz w:val="24"/>
          <w:szCs w:val="24"/>
          <w:lang w:val="es-ES"/>
        </w:rPr>
        <w:t xml:space="preserve"> un </w:t>
      </w:r>
      <w:proofErr w:type="spellStart"/>
      <w:r w:rsidRPr="00DF24E5">
        <w:rPr>
          <w:sz w:val="24"/>
          <w:szCs w:val="24"/>
          <w:lang w:val="es-ES"/>
        </w:rPr>
        <w:t>Komisijas</w:t>
      </w:r>
      <w:proofErr w:type="spellEnd"/>
      <w:r w:rsidRPr="00DF24E5">
        <w:rPr>
          <w:sz w:val="24"/>
          <w:szCs w:val="24"/>
          <w:lang w:val="es-ES"/>
        </w:rPr>
        <w:t xml:space="preserve"> </w:t>
      </w:r>
      <w:proofErr w:type="spellStart"/>
      <w:r w:rsidRPr="00DF24E5">
        <w:rPr>
          <w:sz w:val="24"/>
          <w:szCs w:val="24"/>
          <w:lang w:val="es-ES"/>
        </w:rPr>
        <w:t>kopīga</w:t>
      </w:r>
      <w:proofErr w:type="spellEnd"/>
      <w:r w:rsidRPr="00DF24E5">
        <w:rPr>
          <w:sz w:val="24"/>
          <w:szCs w:val="24"/>
          <w:lang w:val="es-ES"/>
        </w:rPr>
        <w:t xml:space="preserve"> </w:t>
      </w:r>
      <w:proofErr w:type="spellStart"/>
      <w:r w:rsidRPr="00DF24E5">
        <w:rPr>
          <w:sz w:val="24"/>
          <w:szCs w:val="24"/>
          <w:lang w:val="es-ES"/>
        </w:rPr>
        <w:t>deklarācija</w:t>
      </w:r>
      <w:proofErr w:type="spellEnd"/>
      <w:r w:rsidRPr="00DF24E5">
        <w:rPr>
          <w:sz w:val="24"/>
          <w:szCs w:val="24"/>
          <w:lang w:val="es-ES"/>
        </w:rPr>
        <w:t xml:space="preserve"> par </w:t>
      </w:r>
      <w:proofErr w:type="spellStart"/>
      <w:r w:rsidRPr="00DF24E5">
        <w:rPr>
          <w:sz w:val="24"/>
          <w:szCs w:val="24"/>
          <w:lang w:val="es-ES"/>
        </w:rPr>
        <w:t>atbrīvoto</w:t>
      </w:r>
      <w:proofErr w:type="spellEnd"/>
      <w:r w:rsidRPr="00DF24E5">
        <w:rPr>
          <w:sz w:val="24"/>
          <w:szCs w:val="24"/>
          <w:lang w:val="es-ES"/>
        </w:rPr>
        <w:t xml:space="preserve"> </w:t>
      </w:r>
      <w:proofErr w:type="spellStart"/>
      <w:r w:rsidRPr="00DF24E5">
        <w:rPr>
          <w:sz w:val="24"/>
          <w:szCs w:val="24"/>
          <w:lang w:val="es-ES"/>
        </w:rPr>
        <w:t>līdzekļu</w:t>
      </w:r>
      <w:proofErr w:type="spellEnd"/>
      <w:r w:rsidRPr="00DF24E5">
        <w:rPr>
          <w:sz w:val="24"/>
          <w:szCs w:val="24"/>
          <w:lang w:val="es-ES"/>
        </w:rPr>
        <w:t xml:space="preserve"> </w:t>
      </w:r>
      <w:proofErr w:type="spellStart"/>
      <w:r w:rsidRPr="00DF24E5">
        <w:rPr>
          <w:sz w:val="24"/>
          <w:szCs w:val="24"/>
          <w:lang w:val="es-ES"/>
        </w:rPr>
        <w:t>atkārtotu</w:t>
      </w:r>
      <w:proofErr w:type="spellEnd"/>
      <w:r w:rsidRPr="00DF24E5">
        <w:rPr>
          <w:sz w:val="24"/>
          <w:szCs w:val="24"/>
          <w:lang w:val="es-ES"/>
        </w:rPr>
        <w:t xml:space="preserve"> </w:t>
      </w:r>
      <w:proofErr w:type="spellStart"/>
      <w:r w:rsidRPr="00DF24E5">
        <w:rPr>
          <w:sz w:val="24"/>
          <w:szCs w:val="24"/>
          <w:lang w:val="es-ES"/>
        </w:rPr>
        <w:t>izmantošanu</w:t>
      </w:r>
      <w:proofErr w:type="spellEnd"/>
      <w:r w:rsidRPr="00DF24E5">
        <w:rPr>
          <w:sz w:val="24"/>
          <w:szCs w:val="24"/>
          <w:lang w:val="es-ES"/>
        </w:rPr>
        <w:t xml:space="preserve"> </w:t>
      </w:r>
      <w:proofErr w:type="spellStart"/>
      <w:r w:rsidRPr="00DF24E5">
        <w:rPr>
          <w:sz w:val="24"/>
          <w:szCs w:val="24"/>
          <w:lang w:val="es-ES"/>
        </w:rPr>
        <w:t>saistībā</w:t>
      </w:r>
      <w:proofErr w:type="spellEnd"/>
      <w:r w:rsidRPr="00DF24E5">
        <w:rPr>
          <w:sz w:val="24"/>
          <w:szCs w:val="24"/>
          <w:lang w:val="es-ES"/>
        </w:rPr>
        <w:t xml:space="preserve"> </w:t>
      </w:r>
      <w:proofErr w:type="spellStart"/>
      <w:r w:rsidRPr="00DF24E5">
        <w:rPr>
          <w:sz w:val="24"/>
          <w:szCs w:val="24"/>
          <w:lang w:val="es-ES"/>
        </w:rPr>
        <w:t>ar</w:t>
      </w:r>
      <w:proofErr w:type="spellEnd"/>
      <w:r w:rsidRPr="00DF24E5">
        <w:rPr>
          <w:sz w:val="24"/>
          <w:szCs w:val="24"/>
          <w:lang w:val="es-ES"/>
        </w:rPr>
        <w:t xml:space="preserve"> </w:t>
      </w:r>
      <w:proofErr w:type="spellStart"/>
      <w:r w:rsidRPr="00DF24E5">
        <w:rPr>
          <w:sz w:val="24"/>
          <w:szCs w:val="24"/>
          <w:lang w:val="es-ES"/>
        </w:rPr>
        <w:t>pētniec</w:t>
      </w:r>
      <w:r w:rsidR="00215A38" w:rsidRPr="00DF24E5">
        <w:rPr>
          <w:sz w:val="24"/>
          <w:szCs w:val="24"/>
          <w:lang w:val="es-ES"/>
        </w:rPr>
        <w:t>ības</w:t>
      </w:r>
      <w:proofErr w:type="spellEnd"/>
      <w:r w:rsidR="00215A38" w:rsidRPr="00DF24E5">
        <w:rPr>
          <w:sz w:val="24"/>
          <w:szCs w:val="24"/>
          <w:lang w:val="es-ES"/>
        </w:rPr>
        <w:t xml:space="preserve"> </w:t>
      </w:r>
      <w:proofErr w:type="spellStart"/>
      <w:r w:rsidR="00215A38" w:rsidRPr="00DF24E5">
        <w:rPr>
          <w:sz w:val="24"/>
          <w:szCs w:val="24"/>
          <w:lang w:val="es-ES"/>
        </w:rPr>
        <w:t>programmu</w:t>
      </w:r>
      <w:proofErr w:type="spellEnd"/>
      <w:r w:rsidR="00215A38" w:rsidRPr="00DF24E5">
        <w:rPr>
          <w:sz w:val="24"/>
          <w:szCs w:val="24"/>
          <w:lang w:val="es-ES"/>
        </w:rPr>
        <w:t xml:space="preserve"> 2020/C 444 I/03 (</w:t>
      </w:r>
      <w:r w:rsidRPr="00DF24E5">
        <w:rPr>
          <w:sz w:val="24"/>
          <w:szCs w:val="24"/>
          <w:lang w:val="es-ES"/>
        </w:rPr>
        <w:t>OV C 444 I, 22.12.2020., 3. </w:t>
      </w:r>
      <w:proofErr w:type="spellStart"/>
      <w:r w:rsidRPr="00DF24E5">
        <w:rPr>
          <w:sz w:val="24"/>
          <w:szCs w:val="24"/>
          <w:lang w:val="es-ES"/>
        </w:rPr>
        <w:t>lpp</w:t>
      </w:r>
      <w:proofErr w:type="spellEnd"/>
      <w:r w:rsidRPr="00DF24E5">
        <w:rPr>
          <w:sz w:val="24"/>
          <w:szCs w:val="24"/>
          <w:lang w:val="es-ES"/>
        </w:rPr>
        <w:t>.</w:t>
      </w:r>
      <w:r w:rsidR="00215A38" w:rsidRPr="00DF24E5">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364" w:rsidRDefault="009473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364" w:rsidRDefault="009473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364" w:rsidRDefault="009473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B4"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B4"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57A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LV"/>
    <w:docVar w:name="dvnumam" w:val="0"/>
    <w:docVar w:name="dvpe" w:val="758.992"/>
    <w:docVar w:name="dvrapporteur" w:val="Referenti: "/>
    <w:docVar w:name="dvstar" w:val="***"/>
    <w:docVar w:name="dvtitre" w:val="Eiropas Parlamenta 2024. gada XX. XXX normatīvā rezolūcija par projektu Padomes regulai, ar kuru groza Regulu (ES, Euratom) 2020/2093, ar ko nosaka daudzgadu finanšu shēmu 2021.–2027. gadam(05818/2024 – C9-0030/2024 – 2023/0201))"/>
  </w:docVars>
  <w:rsids>
    <w:rsidRoot w:val="00224185"/>
    <w:rsid w:val="00002272"/>
    <w:rsid w:val="00064002"/>
    <w:rsid w:val="000677B9"/>
    <w:rsid w:val="000831BA"/>
    <w:rsid w:val="000A42CC"/>
    <w:rsid w:val="000E7DD9"/>
    <w:rsid w:val="0010095E"/>
    <w:rsid w:val="00125B37"/>
    <w:rsid w:val="00187494"/>
    <w:rsid w:val="001F32AE"/>
    <w:rsid w:val="00211648"/>
    <w:rsid w:val="00215A38"/>
    <w:rsid w:val="00224185"/>
    <w:rsid w:val="002767FF"/>
    <w:rsid w:val="002B18FE"/>
    <w:rsid w:val="002B5493"/>
    <w:rsid w:val="002C2A5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57AB4"/>
    <w:rsid w:val="00762C74"/>
    <w:rsid w:val="00786EC0"/>
    <w:rsid w:val="007D1690"/>
    <w:rsid w:val="007E22AD"/>
    <w:rsid w:val="00817416"/>
    <w:rsid w:val="00842779"/>
    <w:rsid w:val="00865F67"/>
    <w:rsid w:val="00881A7B"/>
    <w:rsid w:val="008840E5"/>
    <w:rsid w:val="00887B3E"/>
    <w:rsid w:val="008C2AC6"/>
    <w:rsid w:val="00930C23"/>
    <w:rsid w:val="0093193B"/>
    <w:rsid w:val="00947364"/>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24E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EEA38"/>
  <w15:chartTrackingRefBased/>
  <w15:docId w15:val="{5E1A6BE8-56F8-45F5-9193-090E072A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11648"/>
    <w:rPr>
      <w:b/>
    </w:rPr>
  </w:style>
  <w:style w:type="paragraph" w:customStyle="1" w:styleId="NormalBold12a">
    <w:name w:val="NormalBold12a"/>
    <w:basedOn w:val="Normal"/>
    <w:rsid w:val="00211648"/>
    <w:pPr>
      <w:spacing w:after="240"/>
    </w:pPr>
    <w:rPr>
      <w:b/>
    </w:rPr>
  </w:style>
  <w:style w:type="paragraph" w:customStyle="1" w:styleId="NormalHanging12a">
    <w:name w:val="NormalHanging12a"/>
    <w:basedOn w:val="Normal"/>
    <w:rsid w:val="00211648"/>
    <w:pPr>
      <w:spacing w:after="240"/>
      <w:ind w:left="567" w:hanging="567"/>
    </w:pPr>
  </w:style>
  <w:style w:type="paragraph" w:customStyle="1" w:styleId="EPComma">
    <w:name w:val="EPComma"/>
    <w:basedOn w:val="Normal"/>
    <w:rsid w:val="00211648"/>
    <w:pPr>
      <w:spacing w:before="480" w:after="240"/>
    </w:p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qFormat/>
    <w:rsid w:val="00211648"/>
    <w:pPr>
      <w:widowControl/>
      <w:spacing w:after="160" w:line="240" w:lineRule="exact"/>
      <w:jc w:val="both"/>
    </w:pPr>
    <w:rPr>
      <w:sz w:val="20"/>
      <w:vertAlign w:val="superscript"/>
      <w:lang w:val="en-GB"/>
    </w:rPr>
  </w:style>
  <w:style w:type="paragraph" w:styleId="BalloonText">
    <w:name w:val="Balloon Text"/>
    <w:basedOn w:val="Normal"/>
    <w:link w:val="BalloonTextChar"/>
    <w:rsid w:val="00947364"/>
    <w:rPr>
      <w:rFonts w:ascii="Segoe UI" w:hAnsi="Segoe UI" w:cs="Segoe UI"/>
      <w:sz w:val="18"/>
      <w:szCs w:val="18"/>
    </w:rPr>
  </w:style>
  <w:style w:type="character" w:customStyle="1" w:styleId="BalloonTextChar">
    <w:name w:val="Balloon Text Char"/>
    <w:basedOn w:val="DefaultParagraphFont"/>
    <w:link w:val="BalloonText"/>
    <w:rsid w:val="00947364"/>
    <w:rPr>
      <w:rFonts w:ascii="Segoe UI" w:hAnsi="Segoe UI" w:cs="Segoe UI"/>
      <w:sz w:val="18"/>
      <w:szCs w:val="18"/>
      <w:lang w:val="lv-LV"/>
    </w:rPr>
  </w:style>
  <w:style w:type="paragraph" w:customStyle="1" w:styleId="EPFooter2">
    <w:name w:val="EPFooter2"/>
    <w:basedOn w:val="Normal"/>
    <w:next w:val="Normal"/>
    <w:rsid w:val="0094736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947364"/>
    <w:pPr>
      <w:keepNext/>
      <w:spacing w:after="480"/>
      <w:jc w:val="center"/>
    </w:pPr>
    <w:rPr>
      <w:rFonts w:ascii="Arial" w:hAnsi="Arial" w:cs="Arial"/>
      <w:b/>
    </w:rPr>
  </w:style>
  <w:style w:type="paragraph" w:styleId="Header">
    <w:name w:val="header"/>
    <w:basedOn w:val="Normal"/>
    <w:link w:val="HeaderChar"/>
    <w:rsid w:val="00947364"/>
    <w:pPr>
      <w:tabs>
        <w:tab w:val="center" w:pos="4513"/>
        <w:tab w:val="right" w:pos="9026"/>
      </w:tabs>
    </w:pPr>
  </w:style>
  <w:style w:type="character" w:customStyle="1" w:styleId="HeaderChar">
    <w:name w:val="Header Char"/>
    <w:basedOn w:val="DefaultParagraphFont"/>
    <w:link w:val="Header"/>
    <w:rsid w:val="00947364"/>
    <w:rPr>
      <w:sz w:val="24"/>
      <w:lang w:val="lv-LV"/>
    </w:rPr>
  </w:style>
  <w:style w:type="paragraph" w:customStyle="1" w:styleId="EPFooter">
    <w:name w:val="EPFooter"/>
    <w:basedOn w:val="Normal"/>
    <w:rsid w:val="00947364"/>
    <w:pPr>
      <w:tabs>
        <w:tab w:val="center" w:pos="4535"/>
        <w:tab w:val="right" w:pos="9071"/>
      </w:tabs>
      <w:spacing w:before="240" w:after="240"/>
    </w:pPr>
    <w:rPr>
      <w:color w:val="010000"/>
      <w:sz w:val="22"/>
    </w:rPr>
  </w:style>
  <w:style w:type="paragraph" w:styleId="Footer">
    <w:name w:val="footer"/>
    <w:basedOn w:val="Normal"/>
    <w:link w:val="FooterChar"/>
    <w:rsid w:val="00215A38"/>
    <w:pPr>
      <w:tabs>
        <w:tab w:val="center" w:pos="4513"/>
        <w:tab w:val="right" w:pos="9026"/>
      </w:tabs>
    </w:pPr>
  </w:style>
  <w:style w:type="character" w:customStyle="1" w:styleId="FooterChar">
    <w:name w:val="Footer Char"/>
    <w:basedOn w:val="DefaultParagraphFont"/>
    <w:link w:val="Footer"/>
    <w:rsid w:val="00215A38"/>
    <w:rPr>
      <w:sz w:val="24"/>
      <w:lang w:val="lv-LV"/>
    </w:rPr>
  </w:style>
  <w:style w:type="paragraph" w:styleId="Revision">
    <w:name w:val="Revision"/>
    <w:hidden/>
    <w:uiPriority w:val="99"/>
    <w:semiHidden/>
    <w:rsid w:val="00215A38"/>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36F2B-76D6-42C7-9BAF-4D743D8B4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3555</Words>
  <Characters>21883</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Karina Pesa</cp:lastModifiedBy>
  <cp:revision>2</cp:revision>
  <cp:lastPrinted>2004-11-19T15:42:00Z</cp:lastPrinted>
  <dcterms:created xsi:type="dcterms:W3CDTF">2024-06-03T12:40:00Z</dcterms:created>
  <dcterms:modified xsi:type="dcterms:W3CDTF">2024-06-03T12:40:00Z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P9_TA(2024)0081_</vt:lpwstr>
  </property>
  <property fmtid="{D5CDD505-2E9C-101B-9397-08002B2CF9AE}" pid="4" name="&lt;Type&gt;">
    <vt:lpwstr>RR</vt:lpwstr>
  </property>
</Properties>
</file>