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18F8" w:rsidTr="0010095E">
        <w:trPr>
          <w:trHeight w:hRule="exact" w:val="1418"/>
        </w:trPr>
        <w:tc>
          <w:tcPr>
            <w:tcW w:w="6804" w:type="dxa"/>
            <w:shd w:val="clear" w:color="auto" w:fill="auto"/>
            <w:vAlign w:val="center"/>
          </w:tcPr>
          <w:p w:rsidR="00751A4A" w:rsidRPr="00BE18F8" w:rsidRDefault="0073597E" w:rsidP="0010095E">
            <w:pPr>
              <w:pStyle w:val="EPName"/>
            </w:pPr>
            <w:r w:rsidRPr="00BE18F8">
              <w:t>Parlament Europejski</w:t>
            </w:r>
          </w:p>
          <w:p w:rsidR="00751A4A" w:rsidRPr="00BE18F8" w:rsidRDefault="00817416" w:rsidP="00756632">
            <w:pPr>
              <w:pStyle w:val="EPTerm"/>
              <w:rPr>
                <w:rStyle w:val="HideTWBExt"/>
                <w:noProof w:val="0"/>
                <w:vanish w:val="0"/>
                <w:color w:val="auto"/>
              </w:rPr>
            </w:pPr>
            <w:r w:rsidRPr="00BE18F8">
              <w:t>2019-2024</w:t>
            </w:r>
          </w:p>
        </w:tc>
        <w:tc>
          <w:tcPr>
            <w:tcW w:w="2268" w:type="dxa"/>
            <w:shd w:val="clear" w:color="auto" w:fill="auto"/>
          </w:tcPr>
          <w:p w:rsidR="00751A4A" w:rsidRPr="00BE18F8" w:rsidRDefault="00187494" w:rsidP="0010095E">
            <w:pPr>
              <w:pStyle w:val="EPLogo"/>
            </w:pPr>
            <w:r w:rsidRPr="00BE18F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E18F8" w:rsidRDefault="00D058B8" w:rsidP="004C5D52">
      <w:pPr>
        <w:pStyle w:val="LineTop"/>
      </w:pPr>
    </w:p>
    <w:p w:rsidR="00680577" w:rsidRPr="00BE18F8" w:rsidRDefault="0073597E" w:rsidP="00680577">
      <w:pPr>
        <w:pStyle w:val="EPBodyTA1"/>
      </w:pPr>
      <w:r w:rsidRPr="00BE18F8">
        <w:t>TEKSTY PRZYJĘTE</w:t>
      </w:r>
    </w:p>
    <w:p w:rsidR="00D058B8" w:rsidRPr="00BE18F8" w:rsidRDefault="00D058B8" w:rsidP="00D058B8">
      <w:pPr>
        <w:pStyle w:val="LineBottom"/>
      </w:pPr>
    </w:p>
    <w:p w:rsidR="0073597E" w:rsidRPr="00BE18F8" w:rsidRDefault="0073597E" w:rsidP="0073597E">
      <w:pPr>
        <w:pStyle w:val="ATHeading1"/>
      </w:pPr>
      <w:bookmarkStart w:id="0" w:name="TANumber"/>
      <w:r w:rsidRPr="00BE18F8">
        <w:t>P9_TA(2024)00</w:t>
      </w:r>
      <w:bookmarkEnd w:id="0"/>
      <w:r w:rsidR="00E95EC2">
        <w:t>81</w:t>
      </w:r>
    </w:p>
    <w:p w:rsidR="0073597E" w:rsidRPr="00BE18F8" w:rsidRDefault="0073597E" w:rsidP="0073597E">
      <w:pPr>
        <w:pStyle w:val="ATHeading2"/>
      </w:pPr>
      <w:bookmarkStart w:id="1" w:name="title"/>
      <w:r w:rsidRPr="00BE18F8">
        <w:t>Wieloletnie ramy finansowe na lata 2021–2027</w:t>
      </w:r>
      <w:bookmarkEnd w:id="1"/>
    </w:p>
    <w:p w:rsidR="0073597E" w:rsidRPr="00BE18F8" w:rsidRDefault="0073597E" w:rsidP="0073597E">
      <w:pPr>
        <w:rPr>
          <w:i/>
          <w:vanish/>
        </w:rPr>
      </w:pPr>
      <w:r w:rsidRPr="00BE18F8">
        <w:rPr>
          <w:i/>
        </w:rPr>
        <w:fldChar w:fldCharType="begin"/>
      </w:r>
      <w:r w:rsidRPr="00BE18F8">
        <w:rPr>
          <w:i/>
        </w:rPr>
        <w:instrText xml:space="preserve"> TC"(</w:instrText>
      </w:r>
      <w:bookmarkStart w:id="2" w:name="DocNumber"/>
      <w:r w:rsidRPr="00BE18F8">
        <w:rPr>
          <w:i/>
        </w:rPr>
        <w:instrText>A9-0051/2024</w:instrText>
      </w:r>
      <w:bookmarkEnd w:id="2"/>
      <w:r w:rsidR="00863E26">
        <w:rPr>
          <w:i/>
        </w:rPr>
        <w:instrText xml:space="preserve"> - Sprawozdawcy</w:instrText>
      </w:r>
      <w:r w:rsidRPr="00BE18F8">
        <w:rPr>
          <w:i/>
        </w:rPr>
        <w:instrText xml:space="preserve">: Jan Olbrycht, Margarida Marques)"\l3 \n&gt; \* MERGEFORMAT </w:instrText>
      </w:r>
      <w:r w:rsidRPr="00BE18F8">
        <w:rPr>
          <w:i/>
        </w:rPr>
        <w:fldChar w:fldCharType="end"/>
      </w:r>
    </w:p>
    <w:p w:rsidR="0073597E" w:rsidRPr="00BE18F8" w:rsidRDefault="0073597E" w:rsidP="0073597E">
      <w:pPr>
        <w:rPr>
          <w:vanish/>
        </w:rPr>
      </w:pPr>
      <w:bookmarkStart w:id="3" w:name="Commission"/>
      <w:r w:rsidRPr="00BE18F8">
        <w:rPr>
          <w:vanish/>
        </w:rPr>
        <w:t>Komisja Budżetowa</w:t>
      </w:r>
      <w:bookmarkEnd w:id="3"/>
    </w:p>
    <w:p w:rsidR="0073597E" w:rsidRPr="00BE18F8" w:rsidRDefault="0073597E" w:rsidP="0073597E">
      <w:pPr>
        <w:rPr>
          <w:vanish/>
        </w:rPr>
      </w:pPr>
      <w:bookmarkStart w:id="4" w:name="PE"/>
      <w:r w:rsidRPr="00BE18F8">
        <w:rPr>
          <w:vanish/>
        </w:rPr>
        <w:t>PE758.992</w:t>
      </w:r>
      <w:bookmarkEnd w:id="4"/>
    </w:p>
    <w:p w:rsidR="0073597E" w:rsidRPr="00BE18F8" w:rsidRDefault="0073597E" w:rsidP="0073597E">
      <w:pPr>
        <w:pStyle w:val="ATHeading3"/>
      </w:pPr>
      <w:bookmarkStart w:id="5" w:name="Sujet"/>
      <w:r w:rsidRPr="00BE18F8">
        <w:t xml:space="preserve">Rezolucja ustawodawcza Parlamentu Europejskiego z dnia </w:t>
      </w:r>
      <w:r w:rsidR="00863E26">
        <w:t>27 lutego</w:t>
      </w:r>
      <w:r w:rsidRPr="00BE18F8">
        <w:t xml:space="preserve"> 2024 r. w sprawie projektu rozporządzenia Rady w sprawie zmiany rozporządzenia (UE, </w:t>
      </w:r>
      <w:proofErr w:type="spellStart"/>
      <w:r w:rsidRPr="00BE18F8">
        <w:t>Euratom</w:t>
      </w:r>
      <w:proofErr w:type="spellEnd"/>
      <w:r w:rsidRPr="00BE18F8">
        <w:t>) 2020/2093 określającego wieloletnie ramy finansowe na lata 2021–2027</w:t>
      </w:r>
      <w:bookmarkEnd w:id="5"/>
      <w:r w:rsidRPr="00BE18F8">
        <w:t xml:space="preserve"> </w:t>
      </w:r>
      <w:bookmarkStart w:id="6" w:name="References"/>
      <w:r w:rsidRPr="00BE18F8">
        <w:t>(05818/2024 – C9-0030/2024 – 2023/0201(APP))</w:t>
      </w:r>
      <w:bookmarkEnd w:id="6"/>
    </w:p>
    <w:p w:rsidR="0073597E" w:rsidRPr="00BE18F8" w:rsidRDefault="0073597E" w:rsidP="0073597E"/>
    <w:p w:rsidR="00775D30" w:rsidRPr="00BE18F8" w:rsidRDefault="00775D30" w:rsidP="00775D30">
      <w:pPr>
        <w:pStyle w:val="NormalBold"/>
      </w:pPr>
      <w:bookmarkStart w:id="7" w:name="TextBodyBegin"/>
      <w:bookmarkEnd w:id="7"/>
      <w:r w:rsidRPr="00BE18F8">
        <w:t>(Specjalna procedura ustawodawcza – zgoda)</w:t>
      </w:r>
    </w:p>
    <w:p w:rsidR="00775D30" w:rsidRPr="00BE18F8" w:rsidRDefault="00775D30" w:rsidP="00775D30">
      <w:pPr>
        <w:pStyle w:val="EPComma"/>
      </w:pPr>
      <w:r w:rsidRPr="00BE18F8">
        <w:rPr>
          <w:i/>
        </w:rPr>
        <w:t>Parlament Europejski</w:t>
      </w:r>
      <w:r w:rsidRPr="00BE18F8">
        <w:t>,</w:t>
      </w:r>
    </w:p>
    <w:p w:rsidR="00775D30" w:rsidRPr="00BE18F8" w:rsidRDefault="00775D30" w:rsidP="00775D30">
      <w:pPr>
        <w:pStyle w:val="NormalHanging12a"/>
      </w:pPr>
      <w:r w:rsidRPr="00BE18F8">
        <w:t>–</w:t>
      </w:r>
      <w:r w:rsidRPr="00BE18F8">
        <w:tab/>
        <w:t xml:space="preserve">uwzględniając projekt rozporządzenia Rady w sprawie zmiany rozporządzenia (UE, </w:t>
      </w:r>
      <w:proofErr w:type="spellStart"/>
      <w:r w:rsidRPr="00BE18F8">
        <w:t>Euratom</w:t>
      </w:r>
      <w:proofErr w:type="spellEnd"/>
      <w:r w:rsidRPr="00BE18F8">
        <w:t>) 2020/2093 określającego wieloletnie ramy finansowe na lata 2021–2027 (05818/2024),</w:t>
      </w:r>
    </w:p>
    <w:p w:rsidR="00775D30" w:rsidRPr="00BE18F8" w:rsidRDefault="00775D30" w:rsidP="00775D30">
      <w:pPr>
        <w:pStyle w:val="NormalHanging12a"/>
      </w:pPr>
      <w:r w:rsidRPr="00BE18F8">
        <w:t>–</w:t>
      </w:r>
      <w:r w:rsidRPr="00BE18F8">
        <w:tab/>
        <w:t>uwzględniając wniosek o wyrażenie zgody przedstawiony przez Radę na mocy art. 312 ust. 2 Traktatu o funkcjonowaniu Unii Europejskiej (C9-0030/2024),</w:t>
      </w:r>
    </w:p>
    <w:p w:rsidR="00775D30" w:rsidRPr="00BE18F8" w:rsidRDefault="00775D30" w:rsidP="00775D30">
      <w:pPr>
        <w:pStyle w:val="NormalHanging12a"/>
      </w:pPr>
      <w:r w:rsidRPr="00BE18F8">
        <w:t>–</w:t>
      </w:r>
      <w:r w:rsidRPr="00BE18F8">
        <w:tab/>
        <w:t xml:space="preserve">uwzględniając wniosek Komisji z dnia 20 czerwca 2023 r. dotyczący rozporządzenia Rady w sprawie zmiany rozporządzenia (UE, </w:t>
      </w:r>
      <w:proofErr w:type="spellStart"/>
      <w:r w:rsidRPr="00BE18F8">
        <w:t>Euratom</w:t>
      </w:r>
      <w:proofErr w:type="spellEnd"/>
      <w:r w:rsidRPr="00BE18F8">
        <w:t>) 2020/2093 określającego wieloletnie ramy finansowe na lata 2021–2027 (COM(2023)0337),</w:t>
      </w:r>
    </w:p>
    <w:p w:rsidR="00775D30" w:rsidRPr="00BE18F8" w:rsidRDefault="00775D30" w:rsidP="00775D30">
      <w:pPr>
        <w:pStyle w:val="NormalHanging12a"/>
        <w:rPr>
          <w:snapToGrid w:val="0"/>
          <w:szCs w:val="24"/>
        </w:rPr>
      </w:pPr>
      <w:r w:rsidRPr="00BE18F8">
        <w:t>–</w:t>
      </w:r>
      <w:r w:rsidRPr="00BE18F8">
        <w:tab/>
      </w:r>
      <w:r w:rsidRPr="00BE18F8">
        <w:rPr>
          <w:snapToGrid w:val="0"/>
        </w:rPr>
        <w:t>uwzględniając swoją rezolucję z dnia 3 października 2023 r. w sprawie wniosku dotyczącego śródokresowej rewizji wieloletnich ram finansowych na lata 2021–2027</w:t>
      </w:r>
      <w:r w:rsidRPr="00BE18F8">
        <w:rPr>
          <w:snapToGrid w:val="0"/>
          <w:szCs w:val="24"/>
          <w:vertAlign w:val="superscript"/>
        </w:rPr>
        <w:footnoteReference w:id="1"/>
      </w:r>
      <w:r w:rsidRPr="00BE18F8">
        <w:rPr>
          <w:snapToGrid w:val="0"/>
        </w:rPr>
        <w:t>,</w:t>
      </w:r>
    </w:p>
    <w:p w:rsidR="00775D30" w:rsidRPr="00BE18F8" w:rsidRDefault="00775D30" w:rsidP="00775D30">
      <w:pPr>
        <w:pStyle w:val="NormalHanging12a"/>
      </w:pPr>
      <w:r w:rsidRPr="00BE18F8">
        <w:t>–</w:t>
      </w:r>
      <w:r w:rsidRPr="00BE18F8">
        <w:tab/>
        <w:t>uwzględniając art. 92 i art. 105 ust. 1 i 4 Regulaminu,</w:t>
      </w:r>
    </w:p>
    <w:p w:rsidR="00775D30" w:rsidRPr="00BE18F8" w:rsidRDefault="00775D30" w:rsidP="00775D30">
      <w:pPr>
        <w:pStyle w:val="NormalHanging12a"/>
      </w:pPr>
      <w:r w:rsidRPr="00BE18F8">
        <w:t>–</w:t>
      </w:r>
      <w:r w:rsidRPr="00BE18F8">
        <w:tab/>
        <w:t>uwzględniając zalecenie Komisji Budżetowej (A9-0051/2024),</w:t>
      </w:r>
    </w:p>
    <w:p w:rsidR="00775D30" w:rsidRPr="00BE18F8" w:rsidRDefault="00775D30" w:rsidP="00775D30">
      <w:pPr>
        <w:pStyle w:val="NormalHanging12a"/>
      </w:pPr>
      <w:r w:rsidRPr="00BE18F8">
        <w:t>1.</w:t>
      </w:r>
      <w:r w:rsidRPr="00BE18F8">
        <w:tab/>
      </w:r>
      <w:proofErr w:type="gramStart"/>
      <w:r w:rsidRPr="00BE18F8">
        <w:t>wyraża</w:t>
      </w:r>
      <w:proofErr w:type="gramEnd"/>
      <w:r w:rsidRPr="00BE18F8">
        <w:t xml:space="preserve"> zgodę na projekt rozporządzenia Rady w postaci przedstawionej w załączniku do niniejszej rezolucji;</w:t>
      </w:r>
    </w:p>
    <w:p w:rsidR="00775D30" w:rsidRPr="00BE18F8" w:rsidRDefault="00775D30" w:rsidP="00775D30">
      <w:pPr>
        <w:pStyle w:val="NormalHanging12a"/>
      </w:pPr>
      <w:r w:rsidRPr="00BE18F8">
        <w:t>2.</w:t>
      </w:r>
      <w:r w:rsidRPr="00BE18F8">
        <w:tab/>
      </w:r>
      <w:proofErr w:type="gramStart"/>
      <w:r w:rsidRPr="00BE18F8">
        <w:t>zatwierdza</w:t>
      </w:r>
      <w:proofErr w:type="gramEnd"/>
      <w:r w:rsidRPr="00BE18F8">
        <w:t xml:space="preserve"> wspólne oświadczenie Parlamentu, Rady i Komisji, załączone do niniejszej rezolucji;</w:t>
      </w:r>
    </w:p>
    <w:p w:rsidR="00775D30" w:rsidRPr="00BE18F8" w:rsidRDefault="00775D30" w:rsidP="00775D30">
      <w:pPr>
        <w:pStyle w:val="NormalHanging12a"/>
      </w:pPr>
      <w:r w:rsidRPr="00BE18F8">
        <w:t>3.</w:t>
      </w:r>
      <w:r w:rsidRPr="00BE18F8">
        <w:tab/>
      </w:r>
      <w:proofErr w:type="gramStart"/>
      <w:r w:rsidRPr="00BE18F8">
        <w:t>zobowiązuje</w:t>
      </w:r>
      <w:proofErr w:type="gramEnd"/>
      <w:r w:rsidRPr="00BE18F8">
        <w:t xml:space="preserve"> swoją przewodniczącą do przekazania stanowiska Parlamentu Radzie i Komisji </w:t>
      </w:r>
      <w:r w:rsidRPr="00BE18F8">
        <w:lastRenderedPageBreak/>
        <w:t>oraz parlamentom narodowym.</w:t>
      </w:r>
    </w:p>
    <w:p w:rsidR="00775D30" w:rsidRPr="00BE18F8" w:rsidRDefault="00775D30" w:rsidP="00775D30">
      <w:pPr>
        <w:widowControl/>
      </w:pPr>
      <w:r w:rsidRPr="00BE18F8">
        <w:br w:type="page"/>
      </w:r>
    </w:p>
    <w:p w:rsidR="00775D30" w:rsidRPr="00BE18F8" w:rsidRDefault="00775D30" w:rsidP="00775D30">
      <w:pPr>
        <w:pStyle w:val="PageHeading"/>
        <w:rPr>
          <w:caps/>
        </w:rPr>
      </w:pPr>
      <w:bookmarkStart w:id="8" w:name="_Toc159578528"/>
      <w:r w:rsidRPr="00BE18F8">
        <w:rPr>
          <w:caps/>
        </w:rPr>
        <w:lastRenderedPageBreak/>
        <w:t xml:space="preserve">ZAŁĄCZNIK 1: PROJEKT ROZPORZĄDZENIA RADY w sprawie zmiany rozporządzenia </w:t>
      </w:r>
      <w:r w:rsidR="0020322A">
        <w:rPr>
          <w:caps/>
        </w:rPr>
        <w:t xml:space="preserve">(UE, EURATOM) </w:t>
      </w:r>
      <w:r w:rsidRPr="00BE18F8">
        <w:rPr>
          <w:caps/>
        </w:rPr>
        <w:t>2020/2093 określającego wieloletnie ramy finansowe na lata 2021–2027</w:t>
      </w:r>
      <w:bookmarkEnd w:id="8"/>
    </w:p>
    <w:p w:rsidR="00775D30" w:rsidRPr="00BE18F8" w:rsidRDefault="00775D30" w:rsidP="00775D30">
      <w:pPr>
        <w:pStyle w:val="NormalHanging12a"/>
        <w:ind w:left="0" w:firstLine="0"/>
        <w:jc w:val="center"/>
        <w:rPr>
          <w:caps/>
        </w:rPr>
      </w:pPr>
    </w:p>
    <w:p w:rsidR="00775D30" w:rsidRPr="00BE18F8" w:rsidRDefault="00775D30" w:rsidP="00775D30">
      <w:pPr>
        <w:pStyle w:val="Typedudocument"/>
        <w:spacing w:before="0" w:after="240" w:line="240" w:lineRule="auto"/>
      </w:pPr>
      <w:r w:rsidRPr="00BE18F8">
        <w:t xml:space="preserve">ROZPORZĄDZENIE RADY (UE, </w:t>
      </w:r>
      <w:proofErr w:type="spellStart"/>
      <w:r w:rsidRPr="00BE18F8">
        <w:t>Euratom</w:t>
      </w:r>
      <w:proofErr w:type="spellEnd"/>
      <w:r w:rsidRPr="00BE18F8">
        <w:t>) 2024/…</w:t>
      </w:r>
    </w:p>
    <w:p w:rsidR="00775D30" w:rsidRPr="00BE18F8" w:rsidRDefault="00775D30" w:rsidP="00775D30">
      <w:pPr>
        <w:pStyle w:val="Datedadoption"/>
        <w:spacing w:before="0" w:after="240" w:line="240" w:lineRule="auto"/>
      </w:pPr>
      <w:proofErr w:type="gramStart"/>
      <w:r w:rsidRPr="00BE18F8">
        <w:t>z</w:t>
      </w:r>
      <w:proofErr w:type="gramEnd"/>
      <w:r w:rsidRPr="00BE18F8">
        <w:t xml:space="preserve"> dnia ...</w:t>
      </w:r>
    </w:p>
    <w:p w:rsidR="00775D30" w:rsidRPr="00BE18F8" w:rsidRDefault="00775D30" w:rsidP="00775D30">
      <w:pPr>
        <w:pStyle w:val="Titreobjet"/>
        <w:spacing w:before="0" w:after="240" w:line="240" w:lineRule="auto"/>
      </w:pPr>
      <w:proofErr w:type="gramStart"/>
      <w:r w:rsidRPr="00BE18F8">
        <w:t>w</w:t>
      </w:r>
      <w:proofErr w:type="gramEnd"/>
      <w:r w:rsidRPr="00BE18F8">
        <w:t xml:space="preserve"> sprawie zmiany rozporządzenia Rady (UE, </w:t>
      </w:r>
      <w:proofErr w:type="spellStart"/>
      <w:r w:rsidRPr="00BE18F8">
        <w:t>Euratom</w:t>
      </w:r>
      <w:proofErr w:type="spellEnd"/>
      <w:r w:rsidRPr="00BE18F8">
        <w:t>) 2020/2093 określającego wieloletnie ramy finansowe na lata 2021–2027</w:t>
      </w:r>
    </w:p>
    <w:p w:rsidR="00775D30" w:rsidRPr="00BE18F8" w:rsidRDefault="00775D30" w:rsidP="00775D30">
      <w:pPr>
        <w:pStyle w:val="Institutionquiagit"/>
        <w:spacing w:after="240" w:line="240" w:lineRule="auto"/>
      </w:pPr>
      <w:r w:rsidRPr="00BE18F8">
        <w:t>RADA UNII EUROPEJSKIEJ,</w:t>
      </w:r>
    </w:p>
    <w:p w:rsidR="00775D30" w:rsidRPr="00BE18F8" w:rsidRDefault="00775D30" w:rsidP="00775D30">
      <w:pPr>
        <w:spacing w:after="240"/>
      </w:pPr>
      <w:proofErr w:type="gramStart"/>
      <w:r w:rsidRPr="00BE18F8">
        <w:t>uwzględniając</w:t>
      </w:r>
      <w:proofErr w:type="gramEnd"/>
      <w:r w:rsidRPr="00BE18F8">
        <w:t xml:space="preserve"> Traktat o funkcjonowaniu Unii Europejskiej, w szczególności jego art. 312,</w:t>
      </w:r>
    </w:p>
    <w:p w:rsidR="00775D30" w:rsidRPr="00BE18F8" w:rsidRDefault="00775D30" w:rsidP="00775D30">
      <w:pPr>
        <w:spacing w:after="240"/>
      </w:pPr>
      <w:proofErr w:type="gramStart"/>
      <w:r w:rsidRPr="00BE18F8">
        <w:t>uwzględniając</w:t>
      </w:r>
      <w:proofErr w:type="gramEnd"/>
      <w:r w:rsidRPr="00BE18F8">
        <w:t xml:space="preserve"> Traktat ustanawiający Europejską Wspólnotę Energii Atomowej, w szczególności jego art. 106a,</w:t>
      </w:r>
    </w:p>
    <w:p w:rsidR="00775D30" w:rsidRPr="00BE18F8" w:rsidRDefault="00775D30" w:rsidP="00775D30">
      <w:pPr>
        <w:spacing w:after="240"/>
      </w:pPr>
      <w:proofErr w:type="gramStart"/>
      <w:r w:rsidRPr="00BE18F8">
        <w:t>uwzględniając</w:t>
      </w:r>
      <w:proofErr w:type="gramEnd"/>
      <w:r w:rsidRPr="00BE18F8">
        <w:t xml:space="preserve"> wniosek Komisji Europejskiej,</w:t>
      </w:r>
    </w:p>
    <w:p w:rsidR="00775D30" w:rsidRPr="00BE18F8" w:rsidRDefault="00775D30" w:rsidP="00775D30">
      <w:pPr>
        <w:spacing w:after="240"/>
      </w:pPr>
      <w:proofErr w:type="gramStart"/>
      <w:r w:rsidRPr="00BE18F8">
        <w:t>uwzględniając</w:t>
      </w:r>
      <w:proofErr w:type="gramEnd"/>
      <w:r w:rsidRPr="00BE18F8">
        <w:t xml:space="preserve"> zgodę Parlamentu Europejskiego</w:t>
      </w:r>
      <w:r w:rsidRPr="00BE18F8">
        <w:rPr>
          <w:rStyle w:val="FootnoteReference"/>
        </w:rPr>
        <w:footnoteReference w:id="2"/>
      </w:r>
      <w:r w:rsidRPr="00BE18F8">
        <w:t>,</w:t>
      </w:r>
    </w:p>
    <w:p w:rsidR="00775D30" w:rsidRPr="00BE18F8" w:rsidRDefault="00775D30" w:rsidP="00775D30">
      <w:pPr>
        <w:spacing w:after="240"/>
      </w:pPr>
      <w:proofErr w:type="gramStart"/>
      <w:r w:rsidRPr="00BE18F8">
        <w:t>po</w:t>
      </w:r>
      <w:proofErr w:type="gramEnd"/>
      <w:r w:rsidRPr="00BE18F8">
        <w:t xml:space="preserve"> przekazaniu projektu aktu ustawodawczego parlamentom narodowym,</w:t>
      </w:r>
    </w:p>
    <w:p w:rsidR="00775D30" w:rsidRPr="00BE18F8" w:rsidRDefault="00775D30" w:rsidP="00775D30">
      <w:pPr>
        <w:spacing w:after="240"/>
      </w:pPr>
      <w:proofErr w:type="gramStart"/>
      <w:r w:rsidRPr="00BE18F8">
        <w:t>stanowiąc</w:t>
      </w:r>
      <w:proofErr w:type="gramEnd"/>
      <w:r w:rsidRPr="00BE18F8">
        <w:t xml:space="preserve"> zgodnie ze specjalną procedurą ustawodawczą,</w:t>
      </w:r>
    </w:p>
    <w:p w:rsidR="00775D30" w:rsidRPr="00BE18F8" w:rsidRDefault="00775D30" w:rsidP="00775D30">
      <w:r w:rsidRPr="00BE18F8">
        <w:br w:type="page"/>
      </w:r>
      <w:proofErr w:type="gramStart"/>
      <w:r w:rsidRPr="00BE18F8">
        <w:lastRenderedPageBreak/>
        <w:t>a</w:t>
      </w:r>
      <w:proofErr w:type="gramEnd"/>
      <w:r w:rsidRPr="00BE18F8">
        <w:t xml:space="preserve"> także mając na uwadze, co następuje:</w:t>
      </w:r>
    </w:p>
    <w:p w:rsidR="00775D30" w:rsidRPr="00BE18F8" w:rsidRDefault="00775D30" w:rsidP="00775D30">
      <w:pPr>
        <w:pStyle w:val="ManualConsidrant"/>
      </w:pPr>
      <w:proofErr w:type="gramStart"/>
      <w:r w:rsidRPr="00BE18F8">
        <w:t>(1)</w:t>
      </w:r>
      <w:r w:rsidRPr="00BE18F8">
        <w:tab/>
        <w:t>Komisja</w:t>
      </w:r>
      <w:proofErr w:type="gramEnd"/>
      <w:r w:rsidRPr="00BE18F8">
        <w:t xml:space="preserve"> przedstawiła przegląd funkcjonowania wieloletnich ram finansowych (WRF) na lata 2021–2027 określonych w rozporządzeniu Rady (UE, </w:t>
      </w:r>
      <w:proofErr w:type="spellStart"/>
      <w:r w:rsidRPr="00BE18F8">
        <w:t>Euratom</w:t>
      </w:r>
      <w:proofErr w:type="spellEnd"/>
      <w:r w:rsidRPr="00BE18F8">
        <w:t>) 2020/2093</w:t>
      </w:r>
      <w:r w:rsidRPr="00BE18F8">
        <w:rPr>
          <w:rStyle w:val="FootnoteReference"/>
        </w:rPr>
        <w:footnoteReference w:id="3"/>
      </w:r>
      <w:r w:rsidRPr="00BE18F8">
        <w:t>, po pierwszych latach ich wdrażania, w tym ocenę stabilności pułapów wydatków.</w:t>
      </w:r>
    </w:p>
    <w:p w:rsidR="00775D30" w:rsidRPr="00BE18F8" w:rsidRDefault="00775D30" w:rsidP="00775D30">
      <w:pPr>
        <w:pStyle w:val="ManualConsidrant"/>
      </w:pPr>
      <w:proofErr w:type="gramStart"/>
      <w:r w:rsidRPr="00BE18F8">
        <w:t>(2)</w:t>
      </w:r>
      <w:r w:rsidRPr="00BE18F8">
        <w:tab/>
        <w:t>Od</w:t>
      </w:r>
      <w:proofErr w:type="gramEnd"/>
      <w:r w:rsidRPr="00BE18F8">
        <w:t xml:space="preserve"> grudnia 2020 r. Unia kilkakrotnie stawała w obliczu bezprecedensowych i nieoczekiwanych wyzwań. Unia podjęła szybkie działania i wykorzystała wszystkie dostępne jej środki, ale ograniczona elastyczność budżetowa przewidziana w WRF na lata 2021–2027 jest prawie wyczerpana, co ogranicza zdolność budżetu Unii do sprostania nawet najpilniejszym wyzwaniom.</w:t>
      </w:r>
    </w:p>
    <w:p w:rsidR="00775D30" w:rsidRPr="00BE18F8" w:rsidRDefault="00775D30" w:rsidP="00775D30">
      <w:pPr>
        <w:pStyle w:val="ManualConsidrant"/>
      </w:pPr>
      <w:proofErr w:type="gramStart"/>
      <w:r w:rsidRPr="00BE18F8">
        <w:t>(3)</w:t>
      </w:r>
      <w:r w:rsidRPr="00BE18F8">
        <w:tab/>
        <w:t>W</w:t>
      </w:r>
      <w:proofErr w:type="gramEnd"/>
      <w:r w:rsidRPr="00BE18F8">
        <w:t xml:space="preserve"> reakcji na liczne wyzwania w pierwszych latach wdrażania WRF intensywnie korzystano z instrumentów szczególnych. Potrzeba podjęcia dalszych działań nadal istnieje, natomiast dostępność środków budżetowych pozwalających stawić czoła takim sytuacjom do końca okresu obowiązywania WRF jest ograniczona.</w:t>
      </w:r>
    </w:p>
    <w:p w:rsidR="00775D30" w:rsidRPr="00BE18F8" w:rsidRDefault="00775D30" w:rsidP="00775D30">
      <w:pPr>
        <w:pStyle w:val="ManualConsidrant"/>
      </w:pPr>
      <w:r w:rsidRPr="00BE18F8">
        <w:br w:type="page"/>
      </w:r>
      <w:proofErr w:type="gramStart"/>
      <w:r w:rsidRPr="00BE18F8">
        <w:lastRenderedPageBreak/>
        <w:t>(4)</w:t>
      </w:r>
      <w:r w:rsidRPr="00BE18F8">
        <w:tab/>
        <w:t>Budżet</w:t>
      </w:r>
      <w:proofErr w:type="gramEnd"/>
      <w:r w:rsidRPr="00BE18F8">
        <w:t xml:space="preserve"> Unii powinien pozwalać jej na podejmowanie koniecznych działań w ramach polityki w odpowiedzi na pojawiające się wyzwania oraz na wypełnianie zobowiązań prawnych, co nie jest możliwe w ramach obecnie obowiązujących pułapów ani wyczerpanej już elastyczności. Należy zmienić pułapy wydatków w środkach na zobowiązania w działach 1, 2, 3, 4, 5 i 6 na lata 2024, 2025, 2026 i 2027. W związku z tym, chociaż pułapy wydatków w środkach na płatności można utrzymać na ich obecnym poziomie, należy dostosować pułap środków na płatności na potrzeby jednolitego marginesu na 2026 r., aby uniknąć ryzyka nagromadzenia zaległości. Ponadto należy zmienić całkowitą kwotę dodatkowych przydziałów w ramach dostosowania specyficznego dla programu przewidzianego w art. 5, a także powiązaną tabelę w załączniku II do rozporządzenia (UE, </w:t>
      </w:r>
      <w:proofErr w:type="spellStart"/>
      <w:r w:rsidRPr="00BE18F8">
        <w:t>Euratom</w:t>
      </w:r>
      <w:proofErr w:type="spellEnd"/>
      <w:r w:rsidRPr="00BE18F8">
        <w:t>) 2020/2093.</w:t>
      </w:r>
    </w:p>
    <w:p w:rsidR="00775D30" w:rsidRPr="00BE18F8" w:rsidRDefault="00775D30" w:rsidP="00775D30">
      <w:pPr>
        <w:pStyle w:val="ManualConsidrant"/>
      </w:pPr>
      <w:proofErr w:type="gramStart"/>
      <w:r w:rsidRPr="00BE18F8">
        <w:t>(5)</w:t>
      </w:r>
      <w:r w:rsidRPr="00BE18F8">
        <w:tab/>
        <w:t>Należy</w:t>
      </w:r>
      <w:proofErr w:type="gramEnd"/>
      <w:r w:rsidRPr="00BE18F8">
        <w:t xml:space="preserve"> również zmienić kwoty </w:t>
      </w:r>
      <w:proofErr w:type="spellStart"/>
      <w:r w:rsidRPr="00BE18F8">
        <w:t>pobrexitowej</w:t>
      </w:r>
      <w:proofErr w:type="spellEnd"/>
      <w:r w:rsidRPr="00BE18F8">
        <w:t xml:space="preserve"> rezerwy dostosowawczej i Europejskiego Funduszu Dostosowania do Globalizacji.</w:t>
      </w:r>
    </w:p>
    <w:p w:rsidR="00775D30" w:rsidRPr="00BE18F8" w:rsidRDefault="00775D30" w:rsidP="00775D30">
      <w:pPr>
        <w:pStyle w:val="ManualConsidrant"/>
      </w:pPr>
      <w:proofErr w:type="gramStart"/>
      <w:r w:rsidRPr="00BE18F8">
        <w:t>(6)</w:t>
      </w:r>
      <w:r w:rsidRPr="00BE18F8">
        <w:tab/>
        <w:t>Nielegalna</w:t>
      </w:r>
      <w:proofErr w:type="gramEnd"/>
      <w:r w:rsidRPr="00BE18F8">
        <w:t xml:space="preserve"> wojna napastnicza Rosji przeciwko Ukrainie doprowadziła do powrotu wojny na terytorium Europy. Unia będzie nadal wspierać Ukrainę tak długo, jak długo będzie to konieczne, i zdecydowanie pomagać jej na drodze do integracji europejskiej. W tym celu Parlament Europejski i Rada przyjęły rozporządzenie Parlamentu Europejskiego i Rady (UE) 2024/...</w:t>
      </w:r>
      <w:r w:rsidRPr="00BE18F8">
        <w:rPr>
          <w:rStyle w:val="FootnoteReference"/>
        </w:rPr>
        <w:footnoteReference w:id="4"/>
      </w:r>
      <w:r w:rsidRPr="00BE18F8">
        <w:rPr>
          <w:rStyle w:val="FootnoteReference"/>
        </w:rPr>
        <w:footnoteReference w:customMarkFollows="1" w:id="5"/>
        <w:t>+</w:t>
      </w:r>
      <w:r w:rsidRPr="00BE18F8">
        <w:t xml:space="preserve"> </w:t>
      </w:r>
      <w:proofErr w:type="gramStart"/>
      <w:r w:rsidRPr="00BE18F8">
        <w:t>jako</w:t>
      </w:r>
      <w:proofErr w:type="gramEnd"/>
      <w:r w:rsidRPr="00BE18F8">
        <w:t xml:space="preserve"> reakcję Unii służącą wsparciu stabilności </w:t>
      </w:r>
      <w:proofErr w:type="spellStart"/>
      <w:r w:rsidRPr="00BE18F8">
        <w:t>makrofinansowej</w:t>
      </w:r>
      <w:proofErr w:type="spellEnd"/>
      <w:r w:rsidRPr="00BE18F8">
        <w:t>, rekonstrukcji i modernizacji Ukrainy, przy jednoczesnym wspieraniu wysiłków reformatorskich Ukrainy w ramach jej dążenia do przystąpienia do Unii („Instrument na rzecz Ukrainy”).</w:t>
      </w:r>
    </w:p>
    <w:p w:rsidR="00775D30" w:rsidRPr="00BE18F8" w:rsidRDefault="00775D30" w:rsidP="00775D30">
      <w:pPr>
        <w:pStyle w:val="ManualConsidrant"/>
      </w:pPr>
      <w:r w:rsidRPr="00BE18F8">
        <w:br w:type="page"/>
      </w:r>
      <w:proofErr w:type="gramStart"/>
      <w:r w:rsidRPr="00BE18F8">
        <w:lastRenderedPageBreak/>
        <w:t>(7)</w:t>
      </w:r>
      <w:r w:rsidRPr="00BE18F8">
        <w:tab/>
        <w:t>Biorąc</w:t>
      </w:r>
      <w:proofErr w:type="gramEnd"/>
      <w:r w:rsidRPr="00BE18F8">
        <w:t xml:space="preserve"> pod uwagę niepewność związaną z wojną napastniczą prowadzoną przez Rosję, Instrument na rzecz Ukrainy powinien być elastycznym instrumentem zapewniającym do 2027 r. odpowiednią formę wsparcia i jego właściwy poziom. Wsparcie w ramach Instrumentu na rzecz Ukrainy powinno być udzielane w postaci pożyczek, bezzwrotnego wsparcia oraz rezerw na gwarancje budżetowe.</w:t>
      </w:r>
    </w:p>
    <w:p w:rsidR="00775D30" w:rsidRPr="00BE18F8" w:rsidRDefault="00775D30" w:rsidP="00775D30">
      <w:pPr>
        <w:pStyle w:val="ManualConsidrant"/>
      </w:pPr>
      <w:proofErr w:type="gramStart"/>
      <w:r w:rsidRPr="00BE18F8">
        <w:t>(8)</w:t>
      </w:r>
      <w:r w:rsidRPr="00BE18F8">
        <w:tab/>
        <w:t>W</w:t>
      </w:r>
      <w:proofErr w:type="gramEnd"/>
      <w:r w:rsidRPr="00BE18F8">
        <w:t xml:space="preserve"> odniesieniu do wsparcia na mocy Instrumentu na rzecz Ukrainy udzielanego w postaci pożyczek należy przedłużyć do 2027 r. istniejącą gwarancję budżetową Unii, aby pokryć pomoc finansową udostępnianą Ukrainie. W związku z tym możliwe powinno być uruchamianie niezbędnych środków w budżecie Unii poza pułapami WRF na pomoc finansową dla Ukrainy dostępną do końca 2027 r. Oprócz pokrycia krótkoterminowej pomocy finansowej dla Ukrainy, jak już przewiduje rozporządzenie (UE</w:t>
      </w:r>
      <w:proofErr w:type="gramStart"/>
      <w:r w:rsidRPr="00BE18F8">
        <w:t>) 2022/2463, gwarancja</w:t>
      </w:r>
      <w:proofErr w:type="gramEnd"/>
      <w:r w:rsidRPr="00BE18F8">
        <w:t xml:space="preserve"> budżetowa Unii powinna pokrywać pomoc finansową dla Ukrainy w kwocie do 33 mld EUR, jak określono w rozporządzeniu (UE) 2024/ …</w:t>
      </w:r>
      <w:r w:rsidRPr="00BE18F8">
        <w:rPr>
          <w:rStyle w:val="FootnoteReference"/>
        </w:rPr>
        <w:footnoteReference w:customMarkFollows="1" w:id="6"/>
        <w:t>+</w:t>
      </w:r>
      <w:r w:rsidRPr="00BE18F8">
        <w:t>.</w:t>
      </w:r>
    </w:p>
    <w:p w:rsidR="00775D30" w:rsidRPr="00BE18F8" w:rsidRDefault="00775D30" w:rsidP="00775D30">
      <w:pPr>
        <w:pStyle w:val="ManualConsidrant"/>
      </w:pPr>
      <w:r w:rsidRPr="00BE18F8">
        <w:br w:type="page"/>
      </w:r>
      <w:proofErr w:type="gramStart"/>
      <w:r w:rsidRPr="00BE18F8">
        <w:lastRenderedPageBreak/>
        <w:t>(9)</w:t>
      </w:r>
      <w:r w:rsidRPr="00BE18F8">
        <w:tab/>
        <w:t>W</w:t>
      </w:r>
      <w:proofErr w:type="gramEnd"/>
      <w:r w:rsidRPr="00BE18F8">
        <w:t xml:space="preserve"> odniesieniu do części wsparcia na mocy Instrumentu na rzecz Ukrainy udzielanego w postaci bezzwrotnego wsparcia i tworzenia rezerw na gwarancje budżetowe – środki należy zapewnić za pośrednictwem nowego tematycznego instrumentu szczególnego pod nazwą „Rezerwa na rzecz Ukrainy”. Środki na zobowiązania i odpowiadające im środki na płatności powinny być uruchamiane corocznie w ramach procedury budżetowej określonej w art. 314 Traktatu o funkcjonowaniu Unii Europejskiej (TFUE), poza pułapami WRF. Na potrzeby kształtowania w sposób uporządkowany wydatków, które mają być programowane na podstawie odpowiednich przepisów rozporządzenia (UE) 2024/ ....</w:t>
      </w:r>
      <w:r w:rsidRPr="00BE18F8">
        <w:rPr>
          <w:rStyle w:val="FootnoteReference"/>
        </w:rPr>
        <w:footnoteReference w:customMarkFollows="1" w:id="7"/>
        <w:t>+</w:t>
      </w:r>
      <w:r w:rsidRPr="00BE18F8">
        <w:rPr>
          <w:vertAlign w:val="superscript"/>
        </w:rPr>
        <w:t xml:space="preserve"> </w:t>
      </w:r>
      <w:r w:rsidRPr="00BE18F8">
        <w:t xml:space="preserve">, </w:t>
      </w:r>
      <w:proofErr w:type="gramStart"/>
      <w:r w:rsidRPr="00BE18F8">
        <w:t>a</w:t>
      </w:r>
      <w:proofErr w:type="gramEnd"/>
      <w:r w:rsidRPr="00BE18F8">
        <w:t> w szczególności w świetle kwot, które zostaną określone w Planie Ukrainy, należy określić ogólne i roczne kwoty maksymalne, które mogą być udostępniane na potrzeby Rezerwy na rzecz Ukrainy w latach 2024–2027. Aby zapewnić pełne wdrożenie i elastyczność między poszczególnymi latami, zgodnie z ogólną kwotą, powinna istnieć możliwość wykorzystania w kolejnych latach do 2027 r. – oprócz maksymalnej kwoty rocznej na dany rok – nieuruchomionej części rocznej kwoty w danym roku.</w:t>
      </w:r>
    </w:p>
    <w:p w:rsidR="00775D30" w:rsidRPr="00BE18F8" w:rsidRDefault="00775D30" w:rsidP="00775D30">
      <w:pPr>
        <w:pStyle w:val="ManualConsidrant"/>
      </w:pPr>
      <w:r w:rsidRPr="00BE18F8">
        <w:br w:type="page"/>
      </w:r>
      <w:proofErr w:type="gramStart"/>
      <w:r w:rsidRPr="00BE18F8">
        <w:lastRenderedPageBreak/>
        <w:t>(10)</w:t>
      </w:r>
      <w:r w:rsidRPr="00BE18F8">
        <w:tab/>
        <w:t>Od</w:t>
      </w:r>
      <w:proofErr w:type="gramEnd"/>
      <w:r w:rsidRPr="00BE18F8">
        <w:t xml:space="preserve"> 2022 r. w Unii i w większości dużych gospodarek odnotowuje się gwałtowny wzrost stóp procentowych dla wszystkich emitentów obligacji, w tym dla Unii. W związku z tym należy się spodziewać, że koszty finansowania pożyczek zaciągniętych w ramach Instrumentu Unii Europejskiej na rzecz Odbudowy </w:t>
      </w:r>
      <w:proofErr w:type="spellStart"/>
      <w:r w:rsidRPr="00BE18F8">
        <w:t>NextGenerationEU</w:t>
      </w:r>
      <w:proofErr w:type="spellEnd"/>
      <w:r w:rsidRPr="00BE18F8">
        <w:t xml:space="preserve"> („EURI”), pokrywane z budżetu Unii na podstawie art. 5 ust. 2 decyzji Rady (UE</w:t>
      </w:r>
      <w:proofErr w:type="gramStart"/>
      <w:r w:rsidRPr="00BE18F8">
        <w:t>, </w:t>
      </w:r>
      <w:proofErr w:type="spellStart"/>
      <w:r w:rsidRPr="00BE18F8">
        <w:t>Euratom</w:t>
      </w:r>
      <w:proofErr w:type="spellEnd"/>
      <w:proofErr w:type="gramEnd"/>
      <w:r w:rsidRPr="00BE18F8">
        <w:t>) 2020/2053</w:t>
      </w:r>
      <w:r w:rsidRPr="00BE18F8">
        <w:rPr>
          <w:rStyle w:val="FootnoteReference"/>
        </w:rPr>
        <w:footnoteReference w:id="8"/>
      </w:r>
      <w:r w:rsidRPr="00BE18F8">
        <w:t>, przekroczą szacunkowe kwoty pierwotnie zaprogramowane w ramach pułapów WRF w momencie przyjęcia WRF w grudniu 2020 r., które to kwoty wynosiły, odpowiednio, 2 332 mln EUR w 2025 r. (w cenach z 2018 r.), 3 196 mln EUR w 2026 r. (w cenach z 2018 r.) i 4 168 mln EUR w 2027 r. (w cenach z 2018 r.).</w:t>
      </w:r>
    </w:p>
    <w:p w:rsidR="00775D30" w:rsidRPr="00BE18F8" w:rsidRDefault="00775D30" w:rsidP="00775D30">
      <w:pPr>
        <w:pStyle w:val="ManualConsidrant"/>
      </w:pPr>
      <w:proofErr w:type="gramStart"/>
      <w:r w:rsidRPr="00BE18F8">
        <w:t>(11)</w:t>
      </w:r>
      <w:r w:rsidRPr="00BE18F8">
        <w:tab/>
        <w:t>Biorąc</w:t>
      </w:r>
      <w:proofErr w:type="gramEnd"/>
      <w:r w:rsidRPr="00BE18F8">
        <w:t xml:space="preserve"> pod uwagę niepewność co do przyszłych zmian stóp procentowych w zmieniających się warunkach rynkowych, a także ogólne potrzeby pożyczkowe z myślą o finansowaniu bieżących programów Unii finansowanych przez EURI, należy ustanowić – w ramach przepisów, które są konieczne, by roczna procedura budżetowa przebiegała sprawnie i zapewniała udostępnianie środków finansowych pozwalających Unii wypełnić jej zobowiązania prawne – wyjątkowy i tymczasowy instrument, ograniczony czasem obowiązywania obecnych WRF, na pokrycie kosztów finansowania pożyczek zaciąganych w ramach EURI, przekraczających kwoty pierwotnie zaprogramowane. Należy zatem utworzyć nowy tematyczny instrument szczególny – „Instrument EURI” – którego jedynym celem będzie pokrywanie pozostających do spłaty przekroczeń kosztów. Instrument ten powinien mieć charakter wyjątkowy i nie może służyć jako precedens dla przyszłych uzgodnień dotyczących WRF po 2027 r., w szczególności w odniesieniu do pokrywania kosztów płatności odsetek w przypadku środków finansowych pożyczanych na rynkach w celu finansowania EURI.</w:t>
      </w:r>
    </w:p>
    <w:p w:rsidR="00775D30" w:rsidRPr="00BE18F8" w:rsidRDefault="00775D30" w:rsidP="00775D30">
      <w:pPr>
        <w:pStyle w:val="ManualConsidrant"/>
      </w:pPr>
      <w:r w:rsidRPr="00BE18F8">
        <w:br w:type="page"/>
      </w:r>
      <w:proofErr w:type="gramStart"/>
      <w:r w:rsidRPr="00BE18F8">
        <w:lastRenderedPageBreak/>
        <w:t>(12)</w:t>
      </w:r>
      <w:r w:rsidRPr="00BE18F8">
        <w:tab/>
        <w:t>Instrument</w:t>
      </w:r>
      <w:proofErr w:type="gramEnd"/>
      <w:r w:rsidRPr="00BE18F8">
        <w:t xml:space="preserve"> EURI powinien być uruchamiany przez władzę budżetową w trakcie rocznej procedury budżetowej tylko w razie konieczności. Bez uszczerbku dla prerogatyw władzy budżetowej, powinien być uruchamiany po uprzednim poszukiwaniu innych możliwości finansowania, w tym przez wykorzystanie pola manewru stworzonego dzięki wykonaniu budżetów programów oraz zmianie priorytetów, a także wykorzystanie nietematycznych instrumentów szczególnych, w celu pokrycia znacznej części niezbędnych kwot przekraczających kwoty pierwotnie zapisane w istniejącej linii budżetowej EURI w poddziale 2b, w miarę możliwości, z myślą o uruchomieniu kwoty odpowiadającej około 50 % przekroczenia kosztów płatności odsetek w ramach EURI jako punktu odniesienia. Odbywać się to będzie zgodnie z mającymi zastosowanie zasadami sektorowymi i innymi zobowiązaniami prawnymi oraz z uwzględnieniem priorytetów, ostrożnego budżetowania i należytego zarządzania finansami, które wymagają w szczególności odpowiednich marginesów na nieprzewidziane wydatki. Nie będzie to miało wpływu na krajowe pule środków finansowych państw członkowskich, na które zaciągnięto zobowiązania prawne, w szczególności pule w ramach wspólnej polityki rolnej i polityki spójności . Środki na zobowiązania i odpowiadające im środki na płatności w ramach Instrumentu EURI w budżecie Unii powinny być udostępniane poza pułapami WRF. W ramach Instrumentu EURI w pierwszej kolejności należy wykorzystać kwotę odpowiadającą kwocie umorzeń środków, innych niż zewnętrzne dochody przeznaczone na określony cel, dokonanych od początku bieżących WRF. Nie należy uwzględniać kwot umorzeń ponownie udostępnionych zgodnie z obowiązującymi odpowiednimi przepisami. Dostępną kwotę umorzeń w odniesieniu do instrumentu EURI należy obliczać co roku w ramach dostosowania technicznego WRF, przedstawiając wyraźnie ogólne dostępne środki oraz kwoty już uwzględnione w poprzednich uruchomieniach Instrumentu EURI. W nieoczekiwanej sytuacji, w której nie wystarczyłoby to do pokrycia kwoty przekroczenia, należy w ramach Instrumentu EURI uruchomić – jako mechanizm ochronny – niezbędną dodatkową kwotę w celu pełnego sfinansowania kosztów, jako rozwiązanie ostateczne. Jeżeli, wyjątkowo, co najmniej jedno państwo członkowskie uzna, że istnieją poważne obawy co do uruchomienia tego mechanizmu ochronnego, może ono zwrócić się do przewodniczącego Rady Europejskiej o przekazanie sprawy następnej Radzie Europejskiej. Proces ten nie powinien, co do zasady, trwać dłużej niż jeden miesiąc i powinien odbywać się z pełnym poszanowaniem prerogatyw instytucji określonych w Traktatach.</w:t>
      </w:r>
    </w:p>
    <w:p w:rsidR="00775D30" w:rsidRPr="00BE18F8" w:rsidRDefault="00775D30" w:rsidP="00775D30">
      <w:pPr>
        <w:pStyle w:val="ManualConsidrant"/>
      </w:pPr>
      <w:r w:rsidRPr="00BE18F8">
        <w:br w:type="page"/>
      </w:r>
      <w:proofErr w:type="gramStart"/>
      <w:r w:rsidRPr="00BE18F8">
        <w:lastRenderedPageBreak/>
        <w:t>(13)</w:t>
      </w:r>
      <w:r w:rsidRPr="00BE18F8">
        <w:tab/>
        <w:t>W</w:t>
      </w:r>
      <w:proofErr w:type="gramEnd"/>
      <w:r w:rsidRPr="00BE18F8">
        <w:t xml:space="preserve"> świetle klęsk żywiołowych, które miały miejsce w państwach członkowskich i krajach prowadzących z Unią negocjacje w sprawie przystąpienia, oraz klęsk żywiołowych i kryzysów humanitarnych w państwach trzecich, a także w celu zapewnienia odpowiedniego finansowania w obu przypadkach, należy wzmocnić istniejącą rezerwę na rzecz solidarności i pomocy nadzwyczajnej i podzielić ją na dwa odrębne instrumenty: „europejską rezerwę solidarnościową” w celu zapewnienia krajom i regionom, które zostały dotknięte klęską lub kryzysem, wsparcia w ramach Funduszu Solidarności Unii Europejskiej ustanowionego rozporządzeniem Rady (WE) nr 2012/2002</w:t>
      </w:r>
      <w:r w:rsidRPr="00BE18F8">
        <w:rPr>
          <w:rStyle w:val="FootnoteReference"/>
        </w:rPr>
        <w:footnoteReference w:id="9"/>
      </w:r>
      <w:r w:rsidRPr="00BE18F8">
        <w:t xml:space="preserve"> oraz „rezerwę na pomoc nadzwyczajną” w celu zwiększenia środków budżetowych na odpowiednie programy Unii w odpowiedzi na </w:t>
      </w:r>
      <w:proofErr w:type="gramStart"/>
      <w:r w:rsidRPr="00BE18F8">
        <w:t>kryzysy</w:t>
      </w:r>
      <w:proofErr w:type="gramEnd"/>
      <w:r w:rsidRPr="00BE18F8">
        <w:t xml:space="preserve"> i sytuacje nadzwyczajne w Unii i poza nią.</w:t>
      </w:r>
    </w:p>
    <w:p w:rsidR="00775D30" w:rsidRPr="00BE18F8" w:rsidRDefault="00775D30" w:rsidP="00775D30">
      <w:pPr>
        <w:pStyle w:val="ManualConsidrant"/>
      </w:pPr>
      <w:proofErr w:type="gramStart"/>
      <w:r w:rsidRPr="00BE18F8">
        <w:t>(14)</w:t>
      </w:r>
      <w:r w:rsidRPr="00BE18F8">
        <w:tab/>
        <w:t>Należy</w:t>
      </w:r>
      <w:proofErr w:type="gramEnd"/>
      <w:r w:rsidRPr="00BE18F8">
        <w:t xml:space="preserve"> wzmocnić instrument elastyczności, aby utrzymać wystarczającą zdolność Unii do reagowania na nieprzewidziane okoliczności do 2027 r. Niewykorzystane kwoty z europejskiej rezerwy solidarnościowej i rezerwy na pomoc nadzwyczajną powinny być udostępniane instrumentowi elastyczności od 2024 r.</w:t>
      </w:r>
    </w:p>
    <w:p w:rsidR="00775D30" w:rsidRPr="00BE18F8" w:rsidRDefault="00775D30" w:rsidP="00775D30">
      <w:pPr>
        <w:pStyle w:val="ManualConsidrant"/>
      </w:pPr>
      <w:proofErr w:type="gramStart"/>
      <w:r w:rsidRPr="00BE18F8">
        <w:t>(15)</w:t>
      </w:r>
      <w:r w:rsidRPr="00BE18F8">
        <w:tab/>
        <w:t>W</w:t>
      </w:r>
      <w:proofErr w:type="gramEnd"/>
      <w:r w:rsidRPr="00BE18F8">
        <w:t xml:space="preserve"> świetle tych nieoczekiwanych zdarzeń i nowych wyzwań konieczna jest rewizja WRF, w związku z czym należy odpowiednio zmienić rozporządzenie (UE, </w:t>
      </w:r>
      <w:proofErr w:type="spellStart"/>
      <w:r w:rsidRPr="00BE18F8">
        <w:t>Euratom</w:t>
      </w:r>
      <w:proofErr w:type="spellEnd"/>
      <w:r w:rsidRPr="00BE18F8">
        <w:t>) 2020/2093.</w:t>
      </w:r>
    </w:p>
    <w:p w:rsidR="00775D30" w:rsidRPr="00BE18F8" w:rsidRDefault="00775D30" w:rsidP="00775D30">
      <w:pPr>
        <w:pStyle w:val="ManualConsidrant"/>
      </w:pPr>
      <w:r w:rsidRPr="00BE18F8">
        <w:br w:type="page"/>
      </w:r>
      <w:proofErr w:type="gramStart"/>
      <w:r w:rsidRPr="00BE18F8">
        <w:lastRenderedPageBreak/>
        <w:t>(16)</w:t>
      </w:r>
      <w:r w:rsidRPr="00BE18F8">
        <w:tab/>
        <w:t>Zmiany</w:t>
      </w:r>
      <w:proofErr w:type="gramEnd"/>
      <w:r w:rsidRPr="00BE18F8">
        <w:t xml:space="preserve"> w rozporządzeniu (UE, </w:t>
      </w:r>
      <w:proofErr w:type="spellStart"/>
      <w:r w:rsidRPr="00BE18F8">
        <w:t>Euratom</w:t>
      </w:r>
      <w:proofErr w:type="spellEnd"/>
      <w:r w:rsidRPr="00BE18F8">
        <w:t xml:space="preserve">) 2020/2093 pozostają bez uszczerbku dla obowiązku przestrzegania pułapów zasobów własnych określonych w art. 3 ust. 1 i art. 6 decyzji Rady (UE, </w:t>
      </w:r>
      <w:proofErr w:type="spellStart"/>
      <w:r w:rsidRPr="00BE18F8">
        <w:t>Euratom</w:t>
      </w:r>
      <w:proofErr w:type="spellEnd"/>
      <w:r w:rsidRPr="00BE18F8">
        <w:t>) 2020/2053.</w:t>
      </w:r>
    </w:p>
    <w:p w:rsidR="00775D30" w:rsidRPr="00BE18F8" w:rsidRDefault="00775D30" w:rsidP="00775D30">
      <w:pPr>
        <w:pStyle w:val="ManualConsidrant"/>
      </w:pPr>
      <w:proofErr w:type="gramStart"/>
      <w:r w:rsidRPr="00BE18F8">
        <w:t>(17)</w:t>
      </w:r>
      <w:r w:rsidRPr="00BE18F8">
        <w:tab/>
        <w:t>W</w:t>
      </w:r>
      <w:proofErr w:type="gramEnd"/>
      <w:r w:rsidRPr="00BE18F8">
        <w:t xml:space="preserve"> świetle sytuacji na Ukrainie niniejsze rozporządzenie powinno wejść w życie w trybie pilnym z dniem jego opublikowania w </w:t>
      </w:r>
      <w:r w:rsidRPr="00BE18F8">
        <w:rPr>
          <w:i/>
        </w:rPr>
        <w:t>Dzienniku Urzędowym Unii Europejskiej</w:t>
      </w:r>
      <w:r w:rsidRPr="00BE18F8">
        <w:t xml:space="preserve"> i powinno być stosowane z mocą wsteczną od dnia 1 stycznia 2024 r.,</w:t>
      </w:r>
    </w:p>
    <w:p w:rsidR="00775D30" w:rsidRPr="00BE18F8" w:rsidRDefault="00775D30" w:rsidP="00775D30">
      <w:pPr>
        <w:pStyle w:val="Formuledadoption"/>
      </w:pPr>
      <w:r w:rsidRPr="00BE18F8">
        <w:t>PRZYJMUJE NINIEJSZE ROZPORZĄDZENIE:</w:t>
      </w:r>
    </w:p>
    <w:p w:rsidR="00775D30" w:rsidRPr="00BE18F8" w:rsidRDefault="00775D30" w:rsidP="00775D30">
      <w:pPr>
        <w:pStyle w:val="Titrearticle"/>
      </w:pPr>
      <w:r w:rsidRPr="00BE18F8">
        <w:br w:type="page"/>
      </w:r>
      <w:r w:rsidRPr="00BE18F8">
        <w:lastRenderedPageBreak/>
        <w:t>Artykuł 1</w:t>
      </w:r>
    </w:p>
    <w:p w:rsidR="00775D30" w:rsidRPr="00BE18F8" w:rsidRDefault="00775D30" w:rsidP="00775D30">
      <w:r w:rsidRPr="00BE18F8">
        <w:t xml:space="preserve">W rozporządzeniu (UE, </w:t>
      </w:r>
      <w:proofErr w:type="spellStart"/>
      <w:r w:rsidRPr="00BE18F8">
        <w:t>Euratom</w:t>
      </w:r>
      <w:proofErr w:type="spellEnd"/>
      <w:proofErr w:type="gramStart"/>
      <w:r w:rsidRPr="00BE18F8">
        <w:t>) 2020/2093 wprowadza</w:t>
      </w:r>
      <w:proofErr w:type="gramEnd"/>
      <w:r w:rsidRPr="00BE18F8">
        <w:t xml:space="preserve"> się następujące zmiany:</w:t>
      </w:r>
    </w:p>
    <w:p w:rsidR="00775D30" w:rsidRPr="00BE18F8" w:rsidRDefault="00775D30" w:rsidP="00775D30">
      <w:pPr>
        <w:pStyle w:val="Point0"/>
      </w:pPr>
      <w:proofErr w:type="gramStart"/>
      <w:r w:rsidRPr="00BE18F8">
        <w:t>1)</w:t>
      </w:r>
      <w:r w:rsidRPr="00BE18F8">
        <w:tab/>
        <w:t>w</w:t>
      </w:r>
      <w:proofErr w:type="gramEnd"/>
      <w:r w:rsidRPr="00BE18F8">
        <w:t xml:space="preserve"> art. 2 wprowadza się następujące zmiany:</w:t>
      </w:r>
    </w:p>
    <w:p w:rsidR="00775D30" w:rsidRPr="00BE18F8" w:rsidRDefault="00775D30" w:rsidP="00775D30">
      <w:pPr>
        <w:pStyle w:val="Point1"/>
      </w:pPr>
      <w:r w:rsidRPr="00BE18F8">
        <w:t>a</w:t>
      </w:r>
      <w:proofErr w:type="gramStart"/>
      <w:r w:rsidRPr="00BE18F8">
        <w:t>)</w:t>
      </w:r>
      <w:r w:rsidRPr="00BE18F8">
        <w:tab/>
        <w:t>ust</w:t>
      </w:r>
      <w:proofErr w:type="gramEnd"/>
      <w:r w:rsidRPr="00BE18F8">
        <w:t>. 2 akapit pierwszy otrzymuje brzmienie:</w:t>
      </w:r>
    </w:p>
    <w:p w:rsidR="00775D30" w:rsidRPr="00BE18F8" w:rsidRDefault="00775D30" w:rsidP="00775D30">
      <w:pPr>
        <w:pStyle w:val="Point2"/>
      </w:pPr>
      <w:r w:rsidRPr="00BE18F8">
        <w:t>„2.</w:t>
      </w:r>
      <w:r w:rsidRPr="00BE18F8">
        <w:tab/>
        <w:t>W przypadku gdy konieczne jest wykorzystanie zasobów instrumentów szczególnych przewidzianych w art. 8, 9, 10, 10a, 10b i 12, środki na zobowiązania i odpowiadające im środki na płatności zapisuje się w budżecie poza odpowiednimi pułapami WRF.”;</w:t>
      </w:r>
    </w:p>
    <w:p w:rsidR="00775D30" w:rsidRPr="00BE18F8" w:rsidRDefault="00775D30" w:rsidP="00775D30">
      <w:pPr>
        <w:pStyle w:val="Point1"/>
      </w:pPr>
      <w:r w:rsidRPr="00BE18F8">
        <w:t>b</w:t>
      </w:r>
      <w:proofErr w:type="gramStart"/>
      <w:r w:rsidRPr="00BE18F8">
        <w:t>)</w:t>
      </w:r>
      <w:r w:rsidRPr="00BE18F8">
        <w:tab/>
        <w:t>w</w:t>
      </w:r>
      <w:proofErr w:type="gramEnd"/>
      <w:r w:rsidRPr="00BE18F8">
        <w:t xml:space="preserve"> ust. 3 dodaje się akapit w brzmieniu:</w:t>
      </w:r>
    </w:p>
    <w:p w:rsidR="00775D30" w:rsidRPr="00BE18F8" w:rsidRDefault="00775D30" w:rsidP="00775D30">
      <w:pPr>
        <w:pStyle w:val="Text2"/>
      </w:pPr>
      <w:r w:rsidRPr="00BE18F8">
        <w:t>„W przypadku gdy konieczne jest uruchomienie gwarancji w odniesieniu do pomocy finansowej na rzecz Ukrainy, dostępnej na lata 2024–2027 na ogólną kwotę pożyczek do wysokości 33 000 mln EUR w cenach bieżących, jak określono w rozporządzeniu (UE) Parlamentu Europejskiego i Rady 2024/...</w:t>
      </w:r>
      <w:r w:rsidRPr="00BE18F8">
        <w:rPr>
          <w:vertAlign w:val="superscript"/>
        </w:rPr>
        <w:t>*</w:t>
      </w:r>
      <w:r w:rsidRPr="00BE18F8">
        <w:rPr>
          <w:rStyle w:val="FootnoteReference"/>
        </w:rPr>
        <w:footnoteReference w:customMarkFollows="1" w:id="10"/>
        <w:t>+</w:t>
      </w:r>
      <w:r w:rsidRPr="00BE18F8">
        <w:t xml:space="preserve">, </w:t>
      </w:r>
      <w:proofErr w:type="gramStart"/>
      <w:r w:rsidRPr="00BE18F8">
        <w:t>i</w:t>
      </w:r>
      <w:proofErr w:type="gramEnd"/>
      <w:r w:rsidRPr="00BE18F8">
        <w:t> zatwierdzonej zgodnie z art. 220 ust. 1 rozporządzenia finansowego, niezbędną kwotę uruchamia się poza pułapami WRF.</w:t>
      </w:r>
    </w:p>
    <w:p w:rsidR="00775D30" w:rsidRPr="00BE18F8" w:rsidRDefault="00775D30" w:rsidP="00775D30">
      <w:pPr>
        <w:pStyle w:val="Text2"/>
      </w:pPr>
      <w:r w:rsidRPr="00BE18F8">
        <w:t>________________</w:t>
      </w:r>
    </w:p>
    <w:p w:rsidR="00775D30" w:rsidRPr="00BE18F8" w:rsidRDefault="00775D30" w:rsidP="00775D30">
      <w:pPr>
        <w:pStyle w:val="Point2"/>
        <w:spacing w:before="0" w:line="240" w:lineRule="auto"/>
        <w:ind w:left="1985"/>
      </w:pPr>
      <w:r w:rsidRPr="00BE18F8">
        <w:rPr>
          <w:vertAlign w:val="superscript"/>
        </w:rPr>
        <w:t>*</w:t>
      </w:r>
      <w:r w:rsidRPr="00BE18F8">
        <w:tab/>
        <w:t xml:space="preserve">Rozporządzenie Parlamentu Europejskiego i Rady (UE) 2024/... </w:t>
      </w:r>
      <w:proofErr w:type="gramStart"/>
      <w:r w:rsidRPr="00BE18F8">
        <w:t>w</w:t>
      </w:r>
      <w:proofErr w:type="gramEnd"/>
      <w:r w:rsidRPr="00BE18F8">
        <w:t> sprawie ustanowienia Instrumentu na rzecz Ukrainy (Dz. U. L … z ..., ELI ...).”;</w:t>
      </w:r>
    </w:p>
    <w:p w:rsidR="00775D30" w:rsidRPr="00BE18F8" w:rsidRDefault="00775D30" w:rsidP="00775D30">
      <w:pPr>
        <w:pStyle w:val="Point0"/>
      </w:pPr>
      <w:r w:rsidRPr="00BE18F8">
        <w:br w:type="page"/>
      </w:r>
      <w:proofErr w:type="gramStart"/>
      <w:r w:rsidRPr="00BE18F8">
        <w:lastRenderedPageBreak/>
        <w:t>2)</w:t>
      </w:r>
      <w:r w:rsidRPr="00BE18F8">
        <w:tab/>
        <w:t>w</w:t>
      </w:r>
      <w:proofErr w:type="gramEnd"/>
      <w:r w:rsidRPr="00BE18F8">
        <w:t xml:space="preserve"> art. 4 ust. 1 dodaje się litery w brzmieniu:</w:t>
      </w:r>
    </w:p>
    <w:p w:rsidR="00775D30" w:rsidRPr="00BE18F8" w:rsidRDefault="00775D30" w:rsidP="00775D30">
      <w:pPr>
        <w:pStyle w:val="Point1"/>
      </w:pPr>
      <w:r w:rsidRPr="00BE18F8">
        <w:t>„f</w:t>
      </w:r>
      <w:proofErr w:type="gramStart"/>
      <w:r w:rsidRPr="00BE18F8">
        <w:t>)</w:t>
      </w:r>
      <w:r w:rsidRPr="00BE18F8">
        <w:tab/>
        <w:t>obliczenia</w:t>
      </w:r>
      <w:proofErr w:type="gramEnd"/>
      <w:r w:rsidRPr="00BE18F8">
        <w:t xml:space="preserve"> kwoty dostępnej na Instrument EURI zgodnie z art. 10a ust. 3 lit. a);</w:t>
      </w:r>
    </w:p>
    <w:p w:rsidR="00775D30" w:rsidRPr="00BE18F8" w:rsidRDefault="00775D30" w:rsidP="00775D30">
      <w:pPr>
        <w:pStyle w:val="Point1"/>
      </w:pPr>
      <w:r w:rsidRPr="00BE18F8">
        <w:t>g</w:t>
      </w:r>
      <w:proofErr w:type="gramStart"/>
      <w:r w:rsidRPr="00BE18F8">
        <w:t>)</w:t>
      </w:r>
      <w:r w:rsidRPr="00BE18F8">
        <w:tab/>
        <w:t>obliczenia</w:t>
      </w:r>
      <w:proofErr w:type="gramEnd"/>
      <w:r w:rsidRPr="00BE18F8">
        <w:t xml:space="preserve"> kwot, które mają zostać udostępnione na rzecz instrumentu elastyczności na podstawie art. 12 ust. 1 akapit drugi.”;</w:t>
      </w:r>
    </w:p>
    <w:p w:rsidR="00775D30" w:rsidRPr="00BE18F8" w:rsidRDefault="00775D30" w:rsidP="00775D30">
      <w:pPr>
        <w:pStyle w:val="Point0"/>
      </w:pPr>
      <w:proofErr w:type="gramStart"/>
      <w:r w:rsidRPr="00BE18F8">
        <w:t>3)</w:t>
      </w:r>
      <w:r w:rsidRPr="00BE18F8">
        <w:tab/>
        <w:t>w</w:t>
      </w:r>
      <w:proofErr w:type="gramEnd"/>
      <w:r w:rsidRPr="00BE18F8">
        <w:t xml:space="preserve"> art. 5 ust. 1 akapit drugi otrzymuje brzmienie:</w:t>
      </w:r>
    </w:p>
    <w:p w:rsidR="00775D30" w:rsidRPr="00BE18F8" w:rsidRDefault="00775D30" w:rsidP="00775D30">
      <w:pPr>
        <w:pStyle w:val="Text2"/>
      </w:pPr>
      <w:r w:rsidRPr="00BE18F8">
        <w:t>„Łączna kwota dodatkowych alokacji na okres 2022–2027 w odniesieniu do środków na zobowiązania i środków na płatności wynosi, odpowiednio, 10 155 mln EUR (w cenach z 2018 r</w:t>
      </w:r>
      <w:proofErr w:type="gramStart"/>
      <w:r w:rsidRPr="00BE18F8">
        <w:t>.). Dla</w:t>
      </w:r>
      <w:proofErr w:type="gramEnd"/>
      <w:r w:rsidRPr="00BE18F8">
        <w:t xml:space="preserve"> poszczególnych lat w okresie 2022–2026 roczna kwota dodatkowych alokacji w odniesieniu do środków na zobowiązania i środków na płatności wynosi, odpowiednio, co najmniej 1 500 mln EUR (w cenach z 2018 r.) i nie może przekroczyć 2 000 mln EUR (w cenach z 2018 r.).ˮ.</w:t>
      </w:r>
    </w:p>
    <w:p w:rsidR="00775D30" w:rsidRPr="00BE18F8" w:rsidRDefault="00775D30" w:rsidP="00775D30">
      <w:pPr>
        <w:pStyle w:val="Point0"/>
      </w:pPr>
      <w:r w:rsidRPr="00BE18F8">
        <w:br w:type="page"/>
      </w:r>
      <w:proofErr w:type="gramStart"/>
      <w:r w:rsidRPr="00BE18F8">
        <w:lastRenderedPageBreak/>
        <w:t>4)</w:t>
      </w:r>
      <w:r w:rsidRPr="00BE18F8">
        <w:tab/>
        <w:t>art</w:t>
      </w:r>
      <w:proofErr w:type="gramEnd"/>
      <w:r w:rsidRPr="00BE18F8">
        <w:t>. 8 i 9 otrzymują brzmienie:</w:t>
      </w:r>
    </w:p>
    <w:p w:rsidR="00775D30" w:rsidRPr="00BE18F8" w:rsidRDefault="00775D30" w:rsidP="00775D30">
      <w:pPr>
        <w:pStyle w:val="Text1"/>
        <w:rPr>
          <w:i/>
          <w:iCs/>
        </w:rPr>
      </w:pPr>
      <w:r w:rsidRPr="00BE18F8">
        <w:t>„</w:t>
      </w:r>
      <w:r w:rsidRPr="00BE18F8">
        <w:rPr>
          <w:i/>
        </w:rPr>
        <w:t>Artykuł 8</w:t>
      </w:r>
      <w:r w:rsidRPr="00BE18F8">
        <w:rPr>
          <w:i/>
        </w:rPr>
        <w:br/>
        <w:t>Europejski Fundusz Dostosowania do Globalizacji</w:t>
      </w:r>
    </w:p>
    <w:p w:rsidR="00775D30" w:rsidRPr="00BE18F8" w:rsidRDefault="00775D30" w:rsidP="00775D30">
      <w:pPr>
        <w:pStyle w:val="Point1"/>
      </w:pPr>
      <w:r w:rsidRPr="00BE18F8">
        <w:t>1.</w:t>
      </w:r>
      <w:r w:rsidRPr="00BE18F8">
        <w:tab/>
        <w:t>Europejski Fundusz Dostosowania do Globalizacji, którego cele i zakres zostały określone w rozporządzeniu Parlamentu Europejskiego i Rady (UE) 2021/691</w:t>
      </w:r>
      <w:r w:rsidRPr="00BE18F8">
        <w:rPr>
          <w:b/>
          <w:bCs/>
          <w:vertAlign w:val="superscript"/>
        </w:rPr>
        <w:t>*</w:t>
      </w:r>
      <w:r w:rsidRPr="00BE18F8">
        <w:rPr>
          <w:b/>
          <w:u w:val="single"/>
        </w:rPr>
        <w:t>,</w:t>
      </w:r>
      <w:r w:rsidRPr="00BE18F8">
        <w:t xml:space="preserve"> nie może przekroczyć maksymalnej rocznej kwoty </w:t>
      </w:r>
      <w:r w:rsidRPr="00BE18F8">
        <w:rPr>
          <w:bCs/>
        </w:rPr>
        <w:t xml:space="preserve">30 </w:t>
      </w:r>
      <w:r w:rsidRPr="00BE18F8">
        <w:t>mln EUR (w cenach z 2018 r.).</w:t>
      </w:r>
    </w:p>
    <w:p w:rsidR="00775D30" w:rsidRPr="00BE18F8" w:rsidRDefault="00775D30" w:rsidP="00775D30">
      <w:pPr>
        <w:pStyle w:val="Point1"/>
      </w:pPr>
      <w:r w:rsidRPr="00BE18F8">
        <w:t>2.</w:t>
      </w:r>
      <w:r w:rsidRPr="00BE18F8">
        <w:tab/>
        <w:t>Środki na Europejski Fundusz Dostosowania do Globalizacji zapisuje się w budżecie ogólnym Unii jako środki rezerwowe.</w:t>
      </w:r>
    </w:p>
    <w:p w:rsidR="00775D30" w:rsidRPr="00BE18F8" w:rsidRDefault="00775D30" w:rsidP="00775D30">
      <w:pPr>
        <w:pStyle w:val="Text1"/>
        <w:rPr>
          <w:i/>
          <w:iCs/>
        </w:rPr>
      </w:pPr>
      <w:r w:rsidRPr="00BE18F8">
        <w:rPr>
          <w:i/>
        </w:rPr>
        <w:t>Artykuł 9</w:t>
      </w:r>
      <w:r w:rsidRPr="00BE18F8">
        <w:rPr>
          <w:i/>
        </w:rPr>
        <w:br/>
        <w:t>Rezerwa na rzecz solidarności i pomocy nadzwyczajnej</w:t>
      </w:r>
    </w:p>
    <w:p w:rsidR="00775D30" w:rsidRPr="00BE18F8" w:rsidRDefault="00775D30" w:rsidP="00775D30">
      <w:pPr>
        <w:pStyle w:val="Point1"/>
      </w:pPr>
      <w:r w:rsidRPr="00BE18F8">
        <w:t>1.</w:t>
      </w:r>
      <w:r w:rsidRPr="00BE18F8">
        <w:tab/>
        <w:t>Rezerwa na rzecz solidarności i pomocy nadzwyczajnej składa się z dwóch instrumentów, które mogą być wykorzystane do finansowania, odpowiednio:</w:t>
      </w:r>
    </w:p>
    <w:p w:rsidR="00775D30" w:rsidRPr="00BE18F8" w:rsidRDefault="00775D30" w:rsidP="00775D30">
      <w:pPr>
        <w:pStyle w:val="Point2"/>
      </w:pPr>
      <w:r w:rsidRPr="00BE18F8">
        <w:t>a</w:t>
      </w:r>
      <w:proofErr w:type="gramStart"/>
      <w:r w:rsidRPr="00BE18F8">
        <w:t>)</w:t>
      </w:r>
      <w:r w:rsidRPr="00BE18F8">
        <w:tab/>
        <w:t>pomocy</w:t>
      </w:r>
      <w:proofErr w:type="gramEnd"/>
      <w:r w:rsidRPr="00BE18F8">
        <w:t xml:space="preserve"> w celu reagowania na sytuacje nadzwyczajne wynikające z poważnych katastrof objętych Funduszem Solidarności Unii Europejskiej, którego cele i zakres określone są w rozporządzeniu Rady (WE) nr 2012/2002</w:t>
      </w:r>
      <w:r w:rsidRPr="00BE18F8">
        <w:rPr>
          <w:b/>
          <w:bCs/>
          <w:vertAlign w:val="superscript"/>
        </w:rPr>
        <w:t>**</w:t>
      </w:r>
      <w:r w:rsidRPr="00BE18F8">
        <w:t xml:space="preserve"> (»europejska rezerwa solidarnościowa«); oraz</w:t>
      </w:r>
    </w:p>
    <w:p w:rsidR="00775D30" w:rsidRPr="00BE18F8" w:rsidRDefault="00775D30" w:rsidP="00775D30">
      <w:pPr>
        <w:pStyle w:val="Point2"/>
      </w:pPr>
      <w:r w:rsidRPr="00BE18F8">
        <w:br w:type="page"/>
      </w:r>
      <w:r w:rsidRPr="00BE18F8">
        <w:lastRenderedPageBreak/>
        <w:t>b</w:t>
      </w:r>
      <w:proofErr w:type="gramStart"/>
      <w:r w:rsidRPr="00BE18F8">
        <w:t>)</w:t>
      </w:r>
      <w:r w:rsidRPr="00BE18F8">
        <w:tab/>
        <w:t>szybkiej</w:t>
      </w:r>
      <w:proofErr w:type="gramEnd"/>
      <w:r w:rsidRPr="00BE18F8">
        <w:t xml:space="preserve"> reakcji na określone nadzwyczajne potrzeby w Unii lub w państwach trzecich powstałe w następstwie zdarzeń, których nie można było przewidzieć w momencie uchwalania budżetu, w szczególności na działania w sytuacjach wyjątkowych i operacje w zakresie wsparcia w następstwie klęsk żywiołowych nieobjętych zakresem stosowania lit. a), katastrof spowodowanych przez człowieka, kryzysów humanitarnych w przypadkach zagrożeń na dużą skalę dla zdrowia publicznego, zagrożeń weterynaryjnych lub fitosanitarnych, a także w sytuacjach szczególnej presji na zewnętrznych granicach Unii wynikającej z przepływów migracyjnych, w przypadku gdy okoliczności tego wymagają (»rezerwa na pomoc nadzwyczajną«).</w:t>
      </w:r>
    </w:p>
    <w:p w:rsidR="00775D30" w:rsidRPr="00BE18F8" w:rsidRDefault="00775D30" w:rsidP="00775D30">
      <w:pPr>
        <w:pStyle w:val="Point1"/>
      </w:pPr>
      <w:r w:rsidRPr="00BE18F8">
        <w:t>2.</w:t>
      </w:r>
      <w:r w:rsidRPr="00BE18F8">
        <w:tab/>
        <w:t>Europejska rezerwa solidarnościowa nie może przekroczyć maksymalnej rocznej kwoty 1 016 mln EUR (w cenach z 2018 r</w:t>
      </w:r>
      <w:proofErr w:type="gramStart"/>
      <w:r w:rsidRPr="00BE18F8">
        <w:t>.). Każda</w:t>
      </w:r>
      <w:proofErr w:type="gramEnd"/>
      <w:r w:rsidRPr="00BE18F8">
        <w:t xml:space="preserve"> część rocznej kwoty, która nie została wykorzystana w roku n, może zostać wykorzystana do roku n+1. W pierwszej kolejności wykorzystuje się część rocznej kwoty wynikającą z roku poprzedniego. Każda część rocznej kwoty z roku n, która nie zostanie wykorzystana w roku n+1, wygasa.</w:t>
      </w:r>
    </w:p>
    <w:p w:rsidR="00775D30" w:rsidRPr="00BE18F8" w:rsidRDefault="00775D30" w:rsidP="00775D30">
      <w:pPr>
        <w:pStyle w:val="Text2"/>
      </w:pPr>
      <w:r w:rsidRPr="00BE18F8">
        <w:t>W dniu 1 października każdego roku co najmniej jedna czwarta rocznej kwoty europejskiej rezerwy solidarnościowej pozostaje dostępna na zaspokojenie potrzeb, które mogą powstać do końca tego roku.</w:t>
      </w:r>
    </w:p>
    <w:p w:rsidR="00775D30" w:rsidRPr="00BE18F8" w:rsidRDefault="00775D30" w:rsidP="00775D30">
      <w:pPr>
        <w:pStyle w:val="Text2"/>
      </w:pPr>
      <w:r w:rsidRPr="00BE18F8">
        <w:br w:type="page"/>
      </w:r>
      <w:r w:rsidRPr="00BE18F8">
        <w:lastRenderedPageBreak/>
        <w:t>W wyjątkowych przypadkach i jeżeli pozostałe dostępne zasoby finansowe nie są wystarczające, aby pokryć kwoty uznane za niezbędne w roku wystąpienia katastrofy, o której mowa w ust. 1 lit. a), Komisja może zaproponować, aby różnica została sfinansowana z kwoty rocznej, o której mowa w akapicie pierwszym niniejszego ustępu, dostępnej w roku następnym, do maksymalnej kwoty 400 mln EUR (w cenach z 2018 r.).</w:t>
      </w:r>
    </w:p>
    <w:p w:rsidR="00775D30" w:rsidRPr="00BE18F8" w:rsidRDefault="00775D30" w:rsidP="00775D30">
      <w:pPr>
        <w:pStyle w:val="Point1"/>
      </w:pPr>
      <w:r w:rsidRPr="00BE18F8">
        <w:t>3.</w:t>
      </w:r>
      <w:r w:rsidRPr="00BE18F8">
        <w:tab/>
        <w:t>Rezerwa na pomoc nadzwyczajną nie może przekroczyć maksymalnej rocznej kwoty 508 mln EUR (w cenach z 2018 r</w:t>
      </w:r>
      <w:proofErr w:type="gramStart"/>
      <w:r w:rsidRPr="00BE18F8">
        <w:t>.). Każda</w:t>
      </w:r>
      <w:proofErr w:type="gramEnd"/>
      <w:r w:rsidRPr="00BE18F8">
        <w:t xml:space="preserve"> część rocznej kwoty, która nie została wykorzystana w roku n, może zostać wykorzystana do roku n+1. W pierwszej kolejności wykorzystuje się część rocznej kwoty wynikającą z roku poprzedniego. Każda część rocznej kwoty z roku n, która nie zostanie wykorzystana w roku n+1, wygasa.</w:t>
      </w:r>
    </w:p>
    <w:p w:rsidR="00775D30" w:rsidRPr="00BE18F8" w:rsidRDefault="00775D30" w:rsidP="00775D30">
      <w:pPr>
        <w:pStyle w:val="Point1"/>
      </w:pPr>
      <w:r w:rsidRPr="00BE18F8">
        <w:t>4.</w:t>
      </w:r>
      <w:r w:rsidRPr="00BE18F8">
        <w:tab/>
        <w:t>Środki na europejską rezerwę solidarnościową i rezerwę na pomoc nadzwyczajną zapisuje się w budżecie ogólnym Unii jako środki rezerwowe.</w:t>
      </w:r>
    </w:p>
    <w:p w:rsidR="00775D30" w:rsidRPr="00BE18F8" w:rsidRDefault="00775D30" w:rsidP="00775D30">
      <w:pPr>
        <w:pStyle w:val="Text1"/>
      </w:pPr>
      <w:r w:rsidRPr="00BE18F8">
        <w:t>________________</w:t>
      </w:r>
    </w:p>
    <w:p w:rsidR="00775D30" w:rsidRPr="00BE18F8" w:rsidRDefault="00775D30" w:rsidP="00775D30">
      <w:pPr>
        <w:pStyle w:val="Point1"/>
        <w:spacing w:before="0" w:after="0" w:line="240" w:lineRule="auto"/>
        <w:ind w:left="1418"/>
      </w:pPr>
      <w:r w:rsidRPr="00BE18F8">
        <w:rPr>
          <w:b/>
          <w:bCs/>
          <w:vertAlign w:val="superscript"/>
        </w:rPr>
        <w:t>*</w:t>
      </w:r>
      <w:r w:rsidRPr="00BE18F8">
        <w:tab/>
        <w:t xml:space="preserve">Rozporządzenie Parlamentu Europejskiego i Rady (UE) 2021/691 z dnia 28 kwietnia 2021 r. w sprawie Europejskiego Funduszu Dostosowania do Globalizacji dla Zwalnianych Pracowników (EFG) oraz uchylenia rozporządzenia (UE) nr 1309/2013 (Dz.U. L 153 z 3.5.2021, </w:t>
      </w:r>
      <w:proofErr w:type="gramStart"/>
      <w:r w:rsidRPr="00BE18F8">
        <w:t>s</w:t>
      </w:r>
      <w:proofErr w:type="gramEnd"/>
      <w:r w:rsidRPr="00BE18F8">
        <w:t>. 48).</w:t>
      </w:r>
    </w:p>
    <w:p w:rsidR="00775D30" w:rsidRPr="00BE18F8" w:rsidRDefault="00775D30" w:rsidP="00775D30">
      <w:pPr>
        <w:pStyle w:val="Point1"/>
        <w:spacing w:before="0" w:after="0" w:line="240" w:lineRule="auto"/>
        <w:ind w:left="1418"/>
      </w:pPr>
      <w:r w:rsidRPr="00BE18F8">
        <w:rPr>
          <w:b/>
          <w:bCs/>
          <w:vertAlign w:val="superscript"/>
        </w:rPr>
        <w:t>**</w:t>
      </w:r>
      <w:r w:rsidRPr="00BE18F8">
        <w:tab/>
        <w:t xml:space="preserve">Rozporządzenie Rady (WE) nr 2012/2002 z dnia 11 listopada 2002 r. ustanawiające Fundusz Solidarności Unii Europejskiej (Dz.U. L 311 z 14.11.2002, </w:t>
      </w:r>
      <w:proofErr w:type="gramStart"/>
      <w:r w:rsidRPr="00BE18F8">
        <w:t>s</w:t>
      </w:r>
      <w:proofErr w:type="gramEnd"/>
      <w:r w:rsidRPr="00BE18F8">
        <w:t>. 3).”;</w:t>
      </w:r>
    </w:p>
    <w:p w:rsidR="00775D30" w:rsidRPr="00BE18F8" w:rsidRDefault="00775D30" w:rsidP="00775D30">
      <w:pPr>
        <w:pStyle w:val="Point0"/>
      </w:pPr>
      <w:proofErr w:type="gramStart"/>
      <w:r w:rsidRPr="00BE18F8">
        <w:t>5)</w:t>
      </w:r>
      <w:r w:rsidRPr="00BE18F8">
        <w:tab/>
        <w:t>art</w:t>
      </w:r>
      <w:proofErr w:type="gramEnd"/>
      <w:r w:rsidRPr="00BE18F8">
        <w:t>. 10 ust. 2 otrzymuje brzmienie:</w:t>
      </w:r>
    </w:p>
    <w:p w:rsidR="00775D30" w:rsidRPr="00BE18F8" w:rsidRDefault="00775D30" w:rsidP="00775D30">
      <w:pPr>
        <w:pStyle w:val="Point1"/>
      </w:pPr>
      <w:r w:rsidRPr="00BE18F8">
        <w:t>„2.</w:t>
      </w:r>
      <w:r w:rsidRPr="00BE18F8">
        <w:tab/>
      </w:r>
      <w:proofErr w:type="spellStart"/>
      <w:r w:rsidRPr="00BE18F8">
        <w:t>Pobrexitowa</w:t>
      </w:r>
      <w:proofErr w:type="spellEnd"/>
      <w:r w:rsidRPr="00BE18F8">
        <w:t xml:space="preserve"> rezerwa dostosowawcza nie może przekroczyć kwoty 4 491 mln EUR (w cenach z 2018 r.).”;</w:t>
      </w:r>
    </w:p>
    <w:p w:rsidR="00775D30" w:rsidRPr="00BE18F8" w:rsidRDefault="00775D30" w:rsidP="00775D30">
      <w:pPr>
        <w:pStyle w:val="Point0"/>
      </w:pPr>
      <w:r w:rsidRPr="00BE18F8">
        <w:br w:type="page"/>
      </w:r>
      <w:proofErr w:type="gramStart"/>
      <w:r w:rsidRPr="00BE18F8">
        <w:lastRenderedPageBreak/>
        <w:t>6)</w:t>
      </w:r>
      <w:r w:rsidRPr="00BE18F8">
        <w:tab/>
        <w:t>dodaje</w:t>
      </w:r>
      <w:proofErr w:type="gramEnd"/>
      <w:r w:rsidRPr="00BE18F8">
        <w:t xml:space="preserve"> się artykuły w brzmieniu:</w:t>
      </w:r>
    </w:p>
    <w:p w:rsidR="00775D30" w:rsidRPr="00BE18F8" w:rsidRDefault="00775D30" w:rsidP="00775D30">
      <w:pPr>
        <w:pStyle w:val="Text1"/>
        <w:rPr>
          <w:i/>
          <w:iCs/>
        </w:rPr>
      </w:pPr>
      <w:r w:rsidRPr="00BE18F8">
        <w:t>„</w:t>
      </w:r>
      <w:r w:rsidRPr="00BE18F8">
        <w:rPr>
          <w:i/>
        </w:rPr>
        <w:t>Artykuł 10a</w:t>
      </w:r>
      <w:r w:rsidRPr="00BE18F8">
        <w:rPr>
          <w:i/>
        </w:rPr>
        <w:br/>
        <w:t>Instrument EURI</w:t>
      </w:r>
    </w:p>
    <w:p w:rsidR="00775D30" w:rsidRPr="00BE18F8" w:rsidRDefault="00775D30" w:rsidP="00775D30">
      <w:pPr>
        <w:pStyle w:val="Point1"/>
      </w:pPr>
      <w:r w:rsidRPr="00BE18F8">
        <w:t>1.</w:t>
      </w:r>
      <w:r w:rsidRPr="00BE18F8">
        <w:tab/>
        <w:t xml:space="preserve">Od 2025 r. Instrument EURI może być wykorzystywany do finansowania, w danym roku, części kosztów z tytułu odsetek i płatności kuponowych należnych w odniesieniu do środków finansowych pożyczonych na rynkach kapitałowych zgodnie z art. 5 ust. 2 decyzji Rady (UE, </w:t>
      </w:r>
      <w:proofErr w:type="spellStart"/>
      <w:r w:rsidRPr="00BE18F8">
        <w:t>Euratom</w:t>
      </w:r>
      <w:proofErr w:type="spellEnd"/>
      <w:r w:rsidRPr="00BE18F8">
        <w:t>) 2020/2053</w:t>
      </w:r>
      <w:r w:rsidRPr="00BE18F8">
        <w:rPr>
          <w:vertAlign w:val="superscript"/>
        </w:rPr>
        <w:t>*</w:t>
      </w:r>
      <w:r w:rsidRPr="00BE18F8">
        <w:t>. Instrument EURI może zostać uruchomiony w danym roku wyłącznie w celu pokrycia – w zakresie określonym w kolejnych ustępach – kwoty tych kosztów, które przekraczają następujące kwoty (w cenach z 2018 r.):</w:t>
      </w:r>
    </w:p>
    <w:p w:rsidR="00775D30" w:rsidRPr="00BE18F8" w:rsidRDefault="00775D30" w:rsidP="00775D30">
      <w:pPr>
        <w:pStyle w:val="Tiret2"/>
        <w:numPr>
          <w:ilvl w:val="0"/>
          <w:numId w:val="46"/>
        </w:numPr>
      </w:pPr>
      <w:r w:rsidRPr="00BE18F8">
        <w:t>2025 – 2 332 mln EUR,</w:t>
      </w:r>
    </w:p>
    <w:p w:rsidR="00775D30" w:rsidRPr="00BE18F8" w:rsidRDefault="00775D30" w:rsidP="00775D30">
      <w:pPr>
        <w:pStyle w:val="Tiret2"/>
      </w:pPr>
      <w:r w:rsidRPr="00BE18F8">
        <w:t>2026 – 3 196 mln EUR,</w:t>
      </w:r>
    </w:p>
    <w:p w:rsidR="00775D30" w:rsidRPr="00BE18F8" w:rsidRDefault="00775D30" w:rsidP="00775D30">
      <w:pPr>
        <w:pStyle w:val="Tiret2"/>
      </w:pPr>
      <w:r w:rsidRPr="00BE18F8">
        <w:t>2027 – 4 168 mln EUR.</w:t>
      </w:r>
    </w:p>
    <w:p w:rsidR="00775D30" w:rsidRPr="00BE18F8" w:rsidRDefault="00775D30" w:rsidP="00775D30">
      <w:pPr>
        <w:pStyle w:val="Point1"/>
      </w:pPr>
      <w:r w:rsidRPr="00BE18F8">
        <w:t>2.</w:t>
      </w:r>
      <w:r w:rsidRPr="00BE18F8">
        <w:tab/>
        <w:t>Instrument EURI może zostać uruchomiony przez Parlament Europejski i Radę w ramach procedury budżetowej przewidzianej w art. 314 TFUE, wyłącznie po uprzednim poszukiwaniu innych sposobów finansowania, w celu pokrycia znacznej części kwot przekraczających kwoty, o których mowa w ust. 1 niniejszego artykułu, zgodnie z mającymi zastosowanie zasadami sektorowymi i innymi zobowiązaniami prawnymi, z jednoczesnym uwzględnieniem priorytetów, ostrożnego budżetowania i należytego zarządzania finansami.</w:t>
      </w:r>
    </w:p>
    <w:p w:rsidR="00775D30" w:rsidRPr="00BE18F8" w:rsidRDefault="00775D30" w:rsidP="00775D30">
      <w:pPr>
        <w:pStyle w:val="Text2"/>
      </w:pPr>
      <w:r w:rsidRPr="00BE18F8">
        <w:br w:type="page"/>
      </w:r>
      <w:r w:rsidRPr="00BE18F8">
        <w:lastRenderedPageBreak/>
        <w:t>Środki na Instrument EURI udostępnia się poza pułapami WRF.</w:t>
      </w:r>
    </w:p>
    <w:p w:rsidR="00775D30" w:rsidRPr="00BE18F8" w:rsidRDefault="00775D30" w:rsidP="00775D30">
      <w:pPr>
        <w:pStyle w:val="Point1"/>
      </w:pPr>
      <w:r w:rsidRPr="00BE18F8">
        <w:t>3.</w:t>
      </w:r>
      <w:r w:rsidRPr="00BE18F8">
        <w:tab/>
        <w:t>Instrument EURI obejmuje:</w:t>
      </w:r>
    </w:p>
    <w:p w:rsidR="00775D30" w:rsidRPr="00BE18F8" w:rsidRDefault="00775D30" w:rsidP="00775D30">
      <w:pPr>
        <w:pStyle w:val="Point2"/>
      </w:pPr>
      <w:r w:rsidRPr="00BE18F8">
        <w:t>a</w:t>
      </w:r>
      <w:proofErr w:type="gramStart"/>
      <w:r w:rsidRPr="00BE18F8">
        <w:t>)</w:t>
      </w:r>
      <w:r w:rsidRPr="00BE18F8">
        <w:tab/>
        <w:t>kwotę</w:t>
      </w:r>
      <w:proofErr w:type="gramEnd"/>
      <w:r w:rsidRPr="00BE18F8">
        <w:t xml:space="preserve"> odpowiadającą umorzeniom środków innych niż zewnętrzne dochody przeznaczone na określony cel, dokonanym łącznie od 2021 r., które nie zostały uruchomione w ramach tego instrumentu w poprzednich latach, z wyłączeniem kwot umorzeń ponownie udostępnionych zgodnie z przepisami art. 15 rozporządzenia finansowego i przepisami szczegółowymi dotyczącymi ponownego udostępniania środków, o czym mowa w odpowiednich aktach podstawowych. Kwotę tę wykorzystuje się w pierwszej kolejności;</w:t>
      </w:r>
    </w:p>
    <w:p w:rsidR="00775D30" w:rsidRPr="00BE18F8" w:rsidRDefault="00775D30" w:rsidP="00775D30">
      <w:pPr>
        <w:pStyle w:val="Point2"/>
      </w:pPr>
      <w:r w:rsidRPr="00BE18F8">
        <w:t>b</w:t>
      </w:r>
      <w:proofErr w:type="gramStart"/>
      <w:r w:rsidRPr="00BE18F8">
        <w:t>)</w:t>
      </w:r>
      <w:r w:rsidRPr="00BE18F8">
        <w:tab/>
        <w:t>jedynie</w:t>
      </w:r>
      <w:proofErr w:type="gramEnd"/>
      <w:r w:rsidRPr="00BE18F8">
        <w:t xml:space="preserve"> w przypadku gdy kwota, o której mowa w lit. a) niniejszego ustępu, jest niewystarczająca – dodatkową kwotę niezbędną do pełnego sfinansowania kosztów, o których mowa w ust. 1, w danym roku.</w:t>
      </w:r>
    </w:p>
    <w:p w:rsidR="00775D30" w:rsidRPr="00BE18F8" w:rsidRDefault="00775D30" w:rsidP="00775D30">
      <w:pPr>
        <w:pStyle w:val="Text2"/>
      </w:pPr>
      <w:r w:rsidRPr="00BE18F8">
        <w:t>Każdego roku, w ramach dostosowań technicznych, o których mowa w art. 4, Komisja oblicza dostępną kwotę na podstawie akapitu pierwszego lit. a) niniejszego ustępu, biorąc pod uwagę kwoty uwzględnione w tym celu w poprzednich latach.</w:t>
      </w:r>
    </w:p>
    <w:p w:rsidR="00775D30" w:rsidRPr="00BE18F8" w:rsidRDefault="00775D30" w:rsidP="00775D30">
      <w:pPr>
        <w:pStyle w:val="Text1"/>
        <w:rPr>
          <w:i/>
          <w:iCs/>
        </w:rPr>
      </w:pPr>
      <w:r w:rsidRPr="00BE18F8">
        <w:rPr>
          <w:i/>
        </w:rPr>
        <w:br w:type="page"/>
      </w:r>
      <w:r w:rsidRPr="00BE18F8">
        <w:rPr>
          <w:i/>
        </w:rPr>
        <w:lastRenderedPageBreak/>
        <w:t>Artykuł 10b</w:t>
      </w:r>
      <w:r w:rsidRPr="00BE18F8">
        <w:rPr>
          <w:i/>
        </w:rPr>
        <w:br/>
        <w:t>Rezerwa na rzecz Ukrainy</w:t>
      </w:r>
    </w:p>
    <w:p w:rsidR="00775D30" w:rsidRPr="00BE18F8" w:rsidRDefault="00775D30" w:rsidP="00775D30">
      <w:pPr>
        <w:pStyle w:val="Point1"/>
      </w:pPr>
      <w:r w:rsidRPr="00BE18F8">
        <w:t>1.</w:t>
      </w:r>
      <w:r w:rsidRPr="00BE18F8">
        <w:tab/>
        <w:t>Rezerwa na rzecz Ukrainy może zostać uruchomiona wyłącznie w celu finansowania wydatków na podstawie rozporządzenia (UE) 2024/....</w:t>
      </w:r>
      <w:r w:rsidRPr="00BE18F8">
        <w:rPr>
          <w:rStyle w:val="FootnoteReference"/>
        </w:rPr>
        <w:footnoteReference w:customMarkFollows="1" w:id="11"/>
        <w:t>+</w:t>
      </w:r>
      <w:r w:rsidRPr="00BE18F8">
        <w:t>.</w:t>
      </w:r>
    </w:p>
    <w:p w:rsidR="00775D30" w:rsidRPr="00BE18F8" w:rsidRDefault="00775D30" w:rsidP="00775D30">
      <w:pPr>
        <w:pStyle w:val="Point1"/>
      </w:pPr>
      <w:r w:rsidRPr="00BE18F8">
        <w:t>2.</w:t>
      </w:r>
      <w:r w:rsidRPr="00BE18F8">
        <w:tab/>
        <w:t>Rezerwa na rzecz Ukrainy nie może przekroczyć kwoty 17 000 mln EUR w cenach bieżących na lata 2024–2027.</w:t>
      </w:r>
    </w:p>
    <w:p w:rsidR="00775D30" w:rsidRPr="00BE18F8" w:rsidRDefault="00775D30" w:rsidP="00775D30">
      <w:pPr>
        <w:pStyle w:val="Point1"/>
      </w:pPr>
      <w:r w:rsidRPr="00BE18F8">
        <w:t>3.</w:t>
      </w:r>
      <w:r w:rsidRPr="00BE18F8">
        <w:tab/>
        <w:t>Roczna kwota uruchomiona w ramach Rezerwy na rzecz Ukrainy w danym roku nie może przekroczyć 5 000 mln EUR w cenach bieżących. Bez uszczerbku dla ogólnej kwoty określonej w ust. 2, niewykorzystana część rocznej kwoty w danym roku może zostać wykorzystana w kolejnych latach, do 2027 r.</w:t>
      </w:r>
    </w:p>
    <w:p w:rsidR="00775D30" w:rsidRPr="00BE18F8" w:rsidRDefault="00775D30" w:rsidP="00775D30">
      <w:pPr>
        <w:pStyle w:val="Point1"/>
      </w:pPr>
      <w:r w:rsidRPr="00BE18F8">
        <w:t>4.</w:t>
      </w:r>
      <w:r w:rsidRPr="00BE18F8">
        <w:tab/>
        <w:t>Rezerwa na rzecz Ukrainy może zostać uruchomiona przez Parlament Europejski i Radę w ramach procedury budżetowej przewidzianej w art. 314 TFUE.</w:t>
      </w:r>
    </w:p>
    <w:p w:rsidR="00775D30" w:rsidRPr="00BE18F8" w:rsidRDefault="00775D30" w:rsidP="00775D30">
      <w:pPr>
        <w:pStyle w:val="Text1"/>
      </w:pPr>
      <w:r w:rsidRPr="00BE18F8">
        <w:t>________________</w:t>
      </w:r>
    </w:p>
    <w:p w:rsidR="00775D30" w:rsidRPr="00BE18F8" w:rsidRDefault="00775D30" w:rsidP="00775D30">
      <w:pPr>
        <w:pStyle w:val="Point1"/>
        <w:spacing w:before="0" w:line="240" w:lineRule="auto"/>
        <w:ind w:left="1418"/>
      </w:pPr>
      <w:r w:rsidRPr="00BE18F8">
        <w:rPr>
          <w:b/>
          <w:bCs/>
          <w:vertAlign w:val="superscript"/>
        </w:rPr>
        <w:t>*</w:t>
      </w:r>
      <w:r w:rsidRPr="00BE18F8">
        <w:tab/>
        <w:t xml:space="preserve">Decyzja Rady (UE, </w:t>
      </w:r>
      <w:proofErr w:type="spellStart"/>
      <w:r w:rsidRPr="00BE18F8">
        <w:t>Euratom</w:t>
      </w:r>
      <w:proofErr w:type="spellEnd"/>
      <w:r w:rsidRPr="00BE18F8">
        <w:t xml:space="preserve">) 2020/2053 z dnia 14 grudnia 2020 r. w sprawie systemu zasobów własnych Unii Europejskiej oraz uchylająca decyzję 2014/335/UE, </w:t>
      </w:r>
      <w:proofErr w:type="spellStart"/>
      <w:r w:rsidRPr="00BE18F8">
        <w:t>Euratom</w:t>
      </w:r>
      <w:proofErr w:type="spellEnd"/>
      <w:r w:rsidRPr="00BE18F8">
        <w:t xml:space="preserve"> (Dz.U. L 424 z 15.12.2020, </w:t>
      </w:r>
      <w:proofErr w:type="gramStart"/>
      <w:r w:rsidRPr="00BE18F8">
        <w:t>s</w:t>
      </w:r>
      <w:proofErr w:type="gramEnd"/>
      <w:r w:rsidRPr="00BE18F8">
        <w:t>. 1).”;</w:t>
      </w:r>
    </w:p>
    <w:p w:rsidR="00775D30" w:rsidRPr="00BE18F8" w:rsidRDefault="00775D30" w:rsidP="00775D30">
      <w:pPr>
        <w:pStyle w:val="Point0"/>
      </w:pPr>
      <w:r w:rsidRPr="00BE18F8">
        <w:br w:type="page"/>
      </w:r>
      <w:proofErr w:type="gramStart"/>
      <w:r w:rsidRPr="00BE18F8">
        <w:lastRenderedPageBreak/>
        <w:t>7)</w:t>
      </w:r>
      <w:r w:rsidRPr="00BE18F8">
        <w:tab/>
        <w:t>w</w:t>
      </w:r>
      <w:proofErr w:type="gramEnd"/>
      <w:r w:rsidRPr="00BE18F8">
        <w:t xml:space="preserve"> art. 11 dodaje się ustęp w brzmieniu:</w:t>
      </w:r>
    </w:p>
    <w:p w:rsidR="00775D30" w:rsidRPr="00BE18F8" w:rsidRDefault="00775D30" w:rsidP="00775D30">
      <w:pPr>
        <w:pStyle w:val="Point1"/>
      </w:pPr>
      <w:r w:rsidRPr="00BE18F8">
        <w:t>„3a.</w:t>
      </w:r>
      <w:r w:rsidRPr="00BE18F8">
        <w:tab/>
        <w:t>Maksymalna kwota rocznego dostosowania, o której mowa w ust. 3 niniejszego artykułu, na 2026 r., powiększona o kwotę, o której mowa w art. 5 ust. 2 akapit drugi, dostosowywana jest o kwotę równoważną do niewykorzystanej części maksymalnej kwoty na 2025 r..”;</w:t>
      </w:r>
    </w:p>
    <w:p w:rsidR="00775D30" w:rsidRPr="00BE18F8" w:rsidRDefault="00775D30" w:rsidP="00775D30">
      <w:pPr>
        <w:pStyle w:val="Point0"/>
      </w:pPr>
      <w:proofErr w:type="gramStart"/>
      <w:r w:rsidRPr="00BE18F8">
        <w:t>8)</w:t>
      </w:r>
      <w:r w:rsidRPr="00BE18F8">
        <w:tab/>
        <w:t>art</w:t>
      </w:r>
      <w:proofErr w:type="gramEnd"/>
      <w:r w:rsidRPr="00BE18F8">
        <w:t>. 12 otrzymuje brzmienie:</w:t>
      </w:r>
    </w:p>
    <w:p w:rsidR="00775D30" w:rsidRPr="00BE18F8" w:rsidRDefault="00775D30" w:rsidP="00775D30">
      <w:pPr>
        <w:pStyle w:val="Text1"/>
        <w:rPr>
          <w:i/>
          <w:iCs/>
        </w:rPr>
      </w:pPr>
      <w:r w:rsidRPr="00BE18F8">
        <w:t>„</w:t>
      </w:r>
      <w:r w:rsidRPr="00BE18F8">
        <w:rPr>
          <w:i/>
        </w:rPr>
        <w:t xml:space="preserve">Artykuł 12 </w:t>
      </w:r>
      <w:r w:rsidRPr="00BE18F8">
        <w:rPr>
          <w:i/>
        </w:rPr>
        <w:br/>
        <w:t>Instrument elastyczności</w:t>
      </w:r>
    </w:p>
    <w:p w:rsidR="00775D30" w:rsidRPr="00BE18F8" w:rsidRDefault="00775D30" w:rsidP="00775D30">
      <w:pPr>
        <w:pStyle w:val="Point1"/>
      </w:pPr>
      <w:r w:rsidRPr="00BE18F8">
        <w:t>1.</w:t>
      </w:r>
      <w:r w:rsidRPr="00BE18F8">
        <w:tab/>
        <w:t>Instrument elastyczności może być wykorzystywany na finansowanie, w danym roku budżetowym, określonych nieprzewidzianych wydatków w środkach na zobowiązania i odpowiadających im środkach na płatności, których to wydatków nie można sfinansować w ramach pułapów dostępnych w jednym lub większej liczbie innych działów. Pułap rocznej kwoty dostępnej na rzecz instrumentu elastyczności w latach 2021–2023 wynosi 915 mln EUR (w cenach z 2018 r</w:t>
      </w:r>
      <w:proofErr w:type="gramStart"/>
      <w:r w:rsidRPr="00BE18F8">
        <w:t>.). Pułap</w:t>
      </w:r>
      <w:proofErr w:type="gramEnd"/>
      <w:r w:rsidRPr="00BE18F8">
        <w:t xml:space="preserve"> rocznej kwoty dostępnej na rzecz instrumentu elastyczności w latach 2024–2027 wynosi 1 346 mln EUR (w cenach z 2018 r.).</w:t>
      </w:r>
    </w:p>
    <w:p w:rsidR="00775D30" w:rsidRPr="00BE18F8" w:rsidRDefault="00775D30" w:rsidP="00775D30">
      <w:pPr>
        <w:pStyle w:val="Text2"/>
      </w:pPr>
      <w:r w:rsidRPr="00BE18F8">
        <w:t>Każdego roku roczną kwotę dostępną na instrument elastyczności zwiększa się o kwotę odpowiadającą częściom rocznych kwot przeznaczonych na europejską rezerwę solidarnościową i rezerwę na pomoc nadzwyczajną, które to kwoty wygasły w poprzednim roku zgodnie z art. 9.</w:t>
      </w:r>
    </w:p>
    <w:p w:rsidR="00775D30" w:rsidRPr="00BE18F8" w:rsidRDefault="00775D30" w:rsidP="00775D30">
      <w:pPr>
        <w:pStyle w:val="Point1"/>
      </w:pPr>
      <w:r w:rsidRPr="00BE18F8">
        <w:br w:type="page"/>
      </w:r>
      <w:r w:rsidRPr="00BE18F8">
        <w:lastRenderedPageBreak/>
        <w:t>2.</w:t>
      </w:r>
      <w:r w:rsidRPr="00BE18F8">
        <w:rPr>
          <w:rStyle w:val="Bodytext1"/>
        </w:rPr>
        <w:tab/>
      </w:r>
      <w:r w:rsidRPr="00BE18F8">
        <w:t>Niewykorzystana część rocznej kwoty instrumentu elastyczności może zostać wykorzystana do roku n+2. W pierwszej kolejności, w porządku chronologicznym wykorzystuje się dowolną część rocznej kwoty wynikającą z poprzednich lat. Każda część rocznej kwoty z roku n, która nie zostanie wykorzystana w roku n+2, wygasa.”.</w:t>
      </w:r>
    </w:p>
    <w:p w:rsidR="00775D30" w:rsidRPr="00BE18F8" w:rsidRDefault="00775D30" w:rsidP="00775D30">
      <w:pPr>
        <w:pStyle w:val="Point0"/>
      </w:pPr>
      <w:proofErr w:type="gramStart"/>
      <w:r w:rsidRPr="00BE18F8">
        <w:t>9)</w:t>
      </w:r>
      <w:r w:rsidRPr="00BE18F8">
        <w:tab/>
        <w:t>załączniki</w:t>
      </w:r>
      <w:proofErr w:type="gramEnd"/>
      <w:r w:rsidRPr="00BE18F8">
        <w:t xml:space="preserve"> I </w:t>
      </w:r>
      <w:proofErr w:type="spellStart"/>
      <w:r w:rsidRPr="00BE18F8">
        <w:t>i</w:t>
      </w:r>
      <w:proofErr w:type="spellEnd"/>
      <w:r w:rsidRPr="00BE18F8">
        <w:t xml:space="preserve"> II zastępuje się tekstem znajdującym się w załączniku do niniejszego rozporządzenia.</w:t>
      </w:r>
    </w:p>
    <w:p w:rsidR="00775D30" w:rsidRPr="00BE18F8" w:rsidRDefault="00775D30" w:rsidP="00775D30">
      <w:pPr>
        <w:pStyle w:val="Titrearticle"/>
      </w:pPr>
      <w:r w:rsidRPr="00BE18F8">
        <w:t>Artykuł 2</w:t>
      </w:r>
    </w:p>
    <w:p w:rsidR="00775D30" w:rsidRPr="00BE18F8" w:rsidRDefault="00775D30" w:rsidP="00775D30">
      <w:r w:rsidRPr="00BE18F8">
        <w:t>Niniejsze rozporządzenie wchodzi w życie z dniem jego opublikowania w </w:t>
      </w:r>
      <w:r w:rsidRPr="00BE18F8">
        <w:rPr>
          <w:i/>
        </w:rPr>
        <w:t>Dzienniku Urzędowym Unii Europejskiej</w:t>
      </w:r>
      <w:r w:rsidRPr="00BE18F8">
        <w:t>.</w:t>
      </w:r>
    </w:p>
    <w:p w:rsidR="00775D30" w:rsidRPr="00BE18F8" w:rsidRDefault="00775D30" w:rsidP="00775D30">
      <w:r w:rsidRPr="00BE18F8">
        <w:t>Niniejsze rozporządzenie stosuje się od dnia 1 stycznia 2024 r.</w:t>
      </w:r>
    </w:p>
    <w:p w:rsidR="00775D30" w:rsidRPr="00BE18F8" w:rsidRDefault="00775D30" w:rsidP="00775D30">
      <w:pPr>
        <w:pStyle w:val="Applicationdirecte"/>
      </w:pPr>
      <w:r w:rsidRPr="00BE18F8">
        <w:t>Niniejsze rozporządzenie wiąże w całości i jest bezpośrednio stosowane we wszystkich państwach członkowskich.</w:t>
      </w:r>
    </w:p>
    <w:p w:rsidR="00775D30" w:rsidRPr="00BE18F8" w:rsidRDefault="00775D30" w:rsidP="00775D30">
      <w:pPr>
        <w:pStyle w:val="Fait"/>
      </w:pPr>
      <w:r w:rsidRPr="00BE18F8">
        <w:t>Sporządzono w …</w:t>
      </w:r>
    </w:p>
    <w:p w:rsidR="00775D30" w:rsidRPr="00BE18F8" w:rsidRDefault="00775D30" w:rsidP="00775D30">
      <w:pPr>
        <w:pStyle w:val="Institutionquisigne"/>
      </w:pPr>
      <w:r w:rsidRPr="00BE18F8">
        <w:tab/>
        <w:t>W imieniu Rady</w:t>
      </w:r>
    </w:p>
    <w:p w:rsidR="00775D30" w:rsidRPr="00BE18F8" w:rsidRDefault="00775D30" w:rsidP="00775D30">
      <w:pPr>
        <w:pStyle w:val="Personnequisigne"/>
      </w:pPr>
      <w:r w:rsidRPr="00BE18F8">
        <w:tab/>
        <w:t>Przewodniczący / Przewodnicząca</w:t>
      </w:r>
    </w:p>
    <w:p w:rsidR="00775D30" w:rsidRPr="00BE18F8" w:rsidRDefault="00775D30" w:rsidP="00775D30">
      <w:pPr>
        <w:pStyle w:val="Lignefinal"/>
      </w:pPr>
    </w:p>
    <w:p w:rsidR="00775D30" w:rsidRPr="00BE18F8" w:rsidRDefault="00775D30" w:rsidP="00775D30">
      <w:pPr>
        <w:sectPr w:rsidR="00775D30" w:rsidRPr="00BE18F8" w:rsidSect="00BE18F8">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7" w:h="16839"/>
          <w:pgMar w:top="1134" w:right="1134" w:bottom="1134" w:left="1134" w:header="567" w:footer="567" w:gutter="0"/>
          <w:cols w:space="720"/>
          <w:docGrid w:linePitch="360"/>
        </w:sectPr>
      </w:pPr>
    </w:p>
    <w:p w:rsidR="00775D30" w:rsidRPr="00BE18F8" w:rsidRDefault="00775D30" w:rsidP="00775D30">
      <w:pPr>
        <w:pStyle w:val="Annexetitre"/>
      </w:pPr>
      <w:r w:rsidRPr="00BE18F8">
        <w:lastRenderedPageBreak/>
        <w:t>ZAŁĄCZNIK</w:t>
      </w:r>
    </w:p>
    <w:p w:rsidR="00775D30" w:rsidRPr="00BE18F8" w:rsidRDefault="00775D30" w:rsidP="00775D30">
      <w:pPr>
        <w:pStyle w:val="NormalCentered"/>
      </w:pPr>
      <w:r w:rsidRPr="00BE18F8">
        <w:t>„ZAŁĄCZNIK I</w:t>
      </w:r>
      <w:r w:rsidRPr="00BE18F8">
        <w:br/>
        <w:t>WIELOLETNIE RAMY FINANSOWE (UE-27)</w:t>
      </w:r>
    </w:p>
    <w:tbl>
      <w:tblPr>
        <w:tblW w:w="5073" w:type="pct"/>
        <w:tblLayout w:type="fixed"/>
        <w:tblLook w:val="04A0" w:firstRow="1" w:lastRow="0" w:firstColumn="1" w:lastColumn="0" w:noHBand="0" w:noVBand="1"/>
      </w:tblPr>
      <w:tblGrid>
        <w:gridCol w:w="5585"/>
        <w:gridCol w:w="1006"/>
        <w:gridCol w:w="1015"/>
        <w:gridCol w:w="1015"/>
        <w:gridCol w:w="1015"/>
        <w:gridCol w:w="1012"/>
        <w:gridCol w:w="1009"/>
        <w:gridCol w:w="986"/>
        <w:gridCol w:w="1852"/>
      </w:tblGrid>
      <w:tr w:rsidR="00775D30" w:rsidRPr="00BE18F8" w:rsidTr="00803F72">
        <w:trPr>
          <w:trHeight w:val="315"/>
          <w:tblHeader/>
        </w:trPr>
        <w:tc>
          <w:tcPr>
            <w:tcW w:w="1927" w:type="pct"/>
            <w:tcBorders>
              <w:top w:val="nil"/>
              <w:left w:val="nil"/>
              <w:bottom w:val="nil"/>
              <w:right w:val="nil"/>
            </w:tcBorders>
            <w:shd w:val="clear" w:color="auto" w:fill="auto"/>
            <w:noWrap/>
            <w:vAlign w:val="bottom"/>
            <w:hideMark/>
          </w:tcPr>
          <w:p w:rsidR="00775D30" w:rsidRPr="00BE18F8" w:rsidRDefault="00775D30" w:rsidP="00803F72">
            <w:pPr>
              <w:spacing w:before="60" w:after="60"/>
            </w:pPr>
          </w:p>
        </w:tc>
        <w:tc>
          <w:tcPr>
            <w:tcW w:w="347" w:type="pct"/>
            <w:tcBorders>
              <w:top w:val="nil"/>
              <w:left w:val="nil"/>
              <w:bottom w:val="nil"/>
              <w:right w:val="nil"/>
            </w:tcBorders>
            <w:shd w:val="clear" w:color="auto" w:fill="auto"/>
            <w:noWrap/>
            <w:vAlign w:val="bottom"/>
            <w:hideMark/>
          </w:tcPr>
          <w:p w:rsidR="00775D30" w:rsidRPr="00BE18F8" w:rsidRDefault="00775D30" w:rsidP="00803F72">
            <w:pPr>
              <w:spacing w:before="60" w:after="60"/>
            </w:pPr>
          </w:p>
        </w:tc>
        <w:tc>
          <w:tcPr>
            <w:tcW w:w="350" w:type="pct"/>
            <w:tcBorders>
              <w:top w:val="nil"/>
              <w:left w:val="nil"/>
              <w:bottom w:val="nil"/>
              <w:right w:val="nil"/>
            </w:tcBorders>
            <w:shd w:val="clear" w:color="auto" w:fill="auto"/>
            <w:noWrap/>
            <w:vAlign w:val="bottom"/>
            <w:hideMark/>
          </w:tcPr>
          <w:p w:rsidR="00775D30" w:rsidRPr="00BE18F8" w:rsidRDefault="00775D30" w:rsidP="00803F72">
            <w:pPr>
              <w:spacing w:before="60" w:after="60"/>
            </w:pPr>
          </w:p>
        </w:tc>
        <w:tc>
          <w:tcPr>
            <w:tcW w:w="350" w:type="pct"/>
            <w:tcBorders>
              <w:top w:val="nil"/>
              <w:left w:val="nil"/>
              <w:bottom w:val="nil"/>
              <w:right w:val="nil"/>
            </w:tcBorders>
            <w:shd w:val="clear" w:color="auto" w:fill="auto"/>
            <w:noWrap/>
            <w:vAlign w:val="bottom"/>
            <w:hideMark/>
          </w:tcPr>
          <w:p w:rsidR="00775D30" w:rsidRPr="00BE18F8" w:rsidRDefault="00775D30" w:rsidP="00803F72">
            <w:pPr>
              <w:spacing w:before="60" w:after="60"/>
            </w:pPr>
          </w:p>
        </w:tc>
        <w:tc>
          <w:tcPr>
            <w:tcW w:w="350" w:type="pct"/>
            <w:tcBorders>
              <w:top w:val="nil"/>
              <w:left w:val="nil"/>
              <w:bottom w:val="nil"/>
              <w:right w:val="nil"/>
            </w:tcBorders>
            <w:shd w:val="clear" w:color="auto" w:fill="auto"/>
            <w:noWrap/>
            <w:vAlign w:val="bottom"/>
            <w:hideMark/>
          </w:tcPr>
          <w:p w:rsidR="00775D30" w:rsidRPr="00BE18F8" w:rsidRDefault="00775D30" w:rsidP="00803F72">
            <w:pPr>
              <w:spacing w:before="60" w:after="60"/>
            </w:pPr>
          </w:p>
        </w:tc>
        <w:tc>
          <w:tcPr>
            <w:tcW w:w="349" w:type="pct"/>
            <w:tcBorders>
              <w:top w:val="nil"/>
              <w:left w:val="nil"/>
              <w:bottom w:val="nil"/>
              <w:right w:val="nil"/>
            </w:tcBorders>
            <w:shd w:val="clear" w:color="auto" w:fill="auto"/>
            <w:noWrap/>
            <w:vAlign w:val="bottom"/>
            <w:hideMark/>
          </w:tcPr>
          <w:p w:rsidR="00775D30" w:rsidRPr="00BE18F8" w:rsidRDefault="00775D30" w:rsidP="00803F72">
            <w:pPr>
              <w:spacing w:before="60" w:after="60"/>
            </w:pPr>
          </w:p>
        </w:tc>
        <w:tc>
          <w:tcPr>
            <w:tcW w:w="1327" w:type="pct"/>
            <w:gridSpan w:val="3"/>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pPr>
            <w:r w:rsidRPr="00BE18F8">
              <w:t>(</w:t>
            </w:r>
            <w:r w:rsidRPr="00BE18F8">
              <w:rPr>
                <w:i/>
                <w:iCs/>
              </w:rPr>
              <w:t>w mln EUR – ceny z 2018 r.</w:t>
            </w:r>
            <w:r w:rsidRPr="00BE18F8">
              <w:t>)</w:t>
            </w:r>
          </w:p>
        </w:tc>
      </w:tr>
      <w:tr w:rsidR="00775D30" w:rsidRPr="00BE18F8" w:rsidTr="00803F72">
        <w:trPr>
          <w:trHeight w:val="645"/>
          <w:tblHeader/>
        </w:trPr>
        <w:tc>
          <w:tcPr>
            <w:tcW w:w="1927"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775D30" w:rsidRPr="00BE18F8" w:rsidRDefault="00775D30" w:rsidP="00803F72">
            <w:pPr>
              <w:spacing w:before="60" w:after="60"/>
              <w:jc w:val="center"/>
              <w:rPr>
                <w:b/>
                <w:bCs/>
              </w:rPr>
            </w:pPr>
            <w:r w:rsidRPr="00BE18F8">
              <w:rPr>
                <w:b/>
                <w:bCs/>
              </w:rPr>
              <w:t>ŚRODKI NA ZOBOWIĄZANIA</w:t>
            </w:r>
          </w:p>
        </w:tc>
        <w:tc>
          <w:tcPr>
            <w:tcW w:w="347" w:type="pct"/>
            <w:tcBorders>
              <w:top w:val="single" w:sz="8" w:space="0" w:color="auto"/>
              <w:left w:val="nil"/>
              <w:bottom w:val="single" w:sz="8" w:space="0" w:color="auto"/>
              <w:right w:val="nil"/>
            </w:tcBorders>
            <w:shd w:val="clear" w:color="auto" w:fill="auto"/>
            <w:noWrap/>
            <w:vAlign w:val="center"/>
            <w:hideMark/>
          </w:tcPr>
          <w:p w:rsidR="00775D30" w:rsidRPr="00BE18F8" w:rsidRDefault="00775D30" w:rsidP="00803F72">
            <w:pPr>
              <w:spacing w:before="60" w:after="60"/>
              <w:jc w:val="center"/>
              <w:rPr>
                <w:b/>
                <w:bCs/>
              </w:rPr>
            </w:pPr>
            <w:r w:rsidRPr="00BE18F8">
              <w:rPr>
                <w:b/>
                <w:bCs/>
              </w:rPr>
              <w:t>2021</w:t>
            </w:r>
          </w:p>
        </w:tc>
        <w:tc>
          <w:tcPr>
            <w:tcW w:w="350" w:type="pct"/>
            <w:tcBorders>
              <w:top w:val="single" w:sz="8" w:space="0" w:color="auto"/>
              <w:left w:val="nil"/>
              <w:bottom w:val="single" w:sz="8" w:space="0" w:color="auto"/>
              <w:right w:val="nil"/>
            </w:tcBorders>
            <w:shd w:val="clear" w:color="auto" w:fill="auto"/>
            <w:noWrap/>
            <w:vAlign w:val="center"/>
            <w:hideMark/>
          </w:tcPr>
          <w:p w:rsidR="00775D30" w:rsidRPr="00BE18F8" w:rsidRDefault="00775D30" w:rsidP="00803F72">
            <w:pPr>
              <w:spacing w:before="60" w:after="60"/>
              <w:jc w:val="center"/>
              <w:rPr>
                <w:b/>
                <w:bCs/>
              </w:rPr>
            </w:pPr>
            <w:r w:rsidRPr="00BE18F8">
              <w:rPr>
                <w:b/>
                <w:bCs/>
              </w:rPr>
              <w:t>2022</w:t>
            </w:r>
          </w:p>
        </w:tc>
        <w:tc>
          <w:tcPr>
            <w:tcW w:w="350" w:type="pct"/>
            <w:tcBorders>
              <w:top w:val="single" w:sz="8" w:space="0" w:color="auto"/>
              <w:left w:val="nil"/>
              <w:bottom w:val="single" w:sz="8" w:space="0" w:color="auto"/>
              <w:right w:val="nil"/>
            </w:tcBorders>
            <w:shd w:val="clear" w:color="auto" w:fill="auto"/>
            <w:noWrap/>
            <w:vAlign w:val="center"/>
            <w:hideMark/>
          </w:tcPr>
          <w:p w:rsidR="00775D30" w:rsidRPr="00BE18F8" w:rsidRDefault="00775D30" w:rsidP="00803F72">
            <w:pPr>
              <w:spacing w:before="60" w:after="60"/>
              <w:jc w:val="center"/>
              <w:rPr>
                <w:b/>
                <w:bCs/>
              </w:rPr>
            </w:pPr>
            <w:r w:rsidRPr="00BE18F8">
              <w:rPr>
                <w:b/>
                <w:bCs/>
              </w:rPr>
              <w:t>2023</w:t>
            </w:r>
          </w:p>
        </w:tc>
        <w:tc>
          <w:tcPr>
            <w:tcW w:w="350" w:type="pct"/>
            <w:tcBorders>
              <w:top w:val="single" w:sz="8" w:space="0" w:color="auto"/>
              <w:left w:val="nil"/>
              <w:bottom w:val="single" w:sz="8" w:space="0" w:color="auto"/>
              <w:right w:val="nil"/>
            </w:tcBorders>
            <w:shd w:val="clear" w:color="auto" w:fill="auto"/>
            <w:noWrap/>
            <w:vAlign w:val="center"/>
            <w:hideMark/>
          </w:tcPr>
          <w:p w:rsidR="00775D30" w:rsidRPr="00BE18F8" w:rsidRDefault="00775D30" w:rsidP="00803F72">
            <w:pPr>
              <w:spacing w:before="60" w:after="60"/>
              <w:jc w:val="center"/>
              <w:rPr>
                <w:b/>
                <w:bCs/>
              </w:rPr>
            </w:pPr>
            <w:r w:rsidRPr="00BE18F8">
              <w:rPr>
                <w:b/>
                <w:bCs/>
              </w:rPr>
              <w:t>2024</w:t>
            </w:r>
          </w:p>
        </w:tc>
        <w:tc>
          <w:tcPr>
            <w:tcW w:w="349" w:type="pct"/>
            <w:tcBorders>
              <w:top w:val="single" w:sz="8" w:space="0" w:color="auto"/>
              <w:left w:val="nil"/>
              <w:bottom w:val="single" w:sz="8" w:space="0" w:color="auto"/>
              <w:right w:val="nil"/>
            </w:tcBorders>
            <w:shd w:val="clear" w:color="auto" w:fill="auto"/>
            <w:noWrap/>
            <w:vAlign w:val="center"/>
            <w:hideMark/>
          </w:tcPr>
          <w:p w:rsidR="00775D30" w:rsidRPr="00BE18F8" w:rsidRDefault="00775D30" w:rsidP="00803F72">
            <w:pPr>
              <w:spacing w:before="60" w:after="60"/>
              <w:jc w:val="center"/>
              <w:rPr>
                <w:b/>
                <w:bCs/>
              </w:rPr>
            </w:pPr>
            <w:r w:rsidRPr="00BE18F8">
              <w:rPr>
                <w:b/>
                <w:bCs/>
              </w:rPr>
              <w:t>2025</w:t>
            </w:r>
          </w:p>
        </w:tc>
        <w:tc>
          <w:tcPr>
            <w:tcW w:w="348" w:type="pct"/>
            <w:tcBorders>
              <w:top w:val="single" w:sz="8" w:space="0" w:color="auto"/>
              <w:left w:val="nil"/>
              <w:bottom w:val="single" w:sz="8" w:space="0" w:color="auto"/>
              <w:right w:val="nil"/>
            </w:tcBorders>
            <w:shd w:val="clear" w:color="auto" w:fill="auto"/>
            <w:noWrap/>
            <w:vAlign w:val="center"/>
            <w:hideMark/>
          </w:tcPr>
          <w:p w:rsidR="00775D30" w:rsidRPr="00BE18F8" w:rsidRDefault="00775D30" w:rsidP="00803F72">
            <w:pPr>
              <w:spacing w:before="60" w:after="60"/>
              <w:jc w:val="center"/>
              <w:rPr>
                <w:b/>
                <w:bCs/>
              </w:rPr>
            </w:pPr>
            <w:r w:rsidRPr="00BE18F8">
              <w:rPr>
                <w:b/>
                <w:bCs/>
              </w:rPr>
              <w:t>2026</w:t>
            </w:r>
          </w:p>
        </w:tc>
        <w:tc>
          <w:tcPr>
            <w:tcW w:w="340" w:type="pct"/>
            <w:tcBorders>
              <w:top w:val="single" w:sz="8" w:space="0" w:color="auto"/>
              <w:left w:val="nil"/>
              <w:bottom w:val="single" w:sz="8" w:space="0" w:color="auto"/>
              <w:right w:val="nil"/>
            </w:tcBorders>
            <w:shd w:val="clear" w:color="auto" w:fill="auto"/>
            <w:noWrap/>
            <w:vAlign w:val="center"/>
            <w:hideMark/>
          </w:tcPr>
          <w:p w:rsidR="00775D30" w:rsidRPr="00BE18F8" w:rsidRDefault="00775D30" w:rsidP="00803F72">
            <w:pPr>
              <w:spacing w:before="60" w:after="60"/>
              <w:jc w:val="center"/>
              <w:rPr>
                <w:b/>
                <w:bCs/>
              </w:rPr>
            </w:pPr>
            <w:r w:rsidRPr="00BE18F8">
              <w:rPr>
                <w:b/>
                <w:bCs/>
              </w:rPr>
              <w:t>2027</w:t>
            </w:r>
          </w:p>
        </w:tc>
        <w:tc>
          <w:tcPr>
            <w:tcW w:w="639" w:type="pct"/>
            <w:tcBorders>
              <w:top w:val="single" w:sz="8" w:space="0" w:color="auto"/>
              <w:left w:val="single" w:sz="4" w:space="0" w:color="auto"/>
              <w:bottom w:val="single" w:sz="8" w:space="0" w:color="auto"/>
              <w:right w:val="single" w:sz="8" w:space="0" w:color="auto"/>
            </w:tcBorders>
            <w:shd w:val="clear" w:color="auto" w:fill="auto"/>
            <w:vAlign w:val="center"/>
            <w:hideMark/>
          </w:tcPr>
          <w:p w:rsidR="00775D30" w:rsidRPr="00BE18F8" w:rsidRDefault="00775D30" w:rsidP="00803F72">
            <w:pPr>
              <w:spacing w:before="60" w:after="60"/>
              <w:jc w:val="center"/>
              <w:rPr>
                <w:b/>
                <w:bCs/>
              </w:rPr>
            </w:pPr>
            <w:r w:rsidRPr="00BE18F8">
              <w:rPr>
                <w:b/>
                <w:bCs/>
              </w:rPr>
              <w:t>Łącznie</w:t>
            </w:r>
            <w:r w:rsidRPr="00BE18F8">
              <w:rPr>
                <w:b/>
                <w:bCs/>
              </w:rPr>
              <w:br/>
              <w:t>2021</w:t>
            </w:r>
            <w:r w:rsidRPr="00BE18F8">
              <w:rPr>
                <w:b/>
                <w:bCs/>
              </w:rPr>
              <w:noBreakHyphen/>
              <w:t>2027</w:t>
            </w:r>
          </w:p>
        </w:tc>
      </w:tr>
      <w:tr w:rsidR="00775D30" w:rsidRPr="00BE18F8" w:rsidTr="00803F72">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775D30" w:rsidRPr="00BE18F8" w:rsidRDefault="00775D30" w:rsidP="00803F72">
            <w:pPr>
              <w:spacing w:before="60" w:after="60"/>
              <w:ind w:left="720" w:hanging="720"/>
              <w:rPr>
                <w:b/>
                <w:bCs/>
              </w:rPr>
            </w:pPr>
            <w:r w:rsidRPr="00BE18F8">
              <w:rPr>
                <w:b/>
                <w:bCs/>
              </w:rPr>
              <w:t>1.</w:t>
            </w:r>
            <w:r w:rsidRPr="00BE18F8">
              <w:rPr>
                <w:b/>
                <w:bCs/>
              </w:rPr>
              <w:tab/>
              <w:t>Jednolity rynek, innowacje i gospodarka cyfrowa</w:t>
            </w:r>
          </w:p>
        </w:tc>
        <w:tc>
          <w:tcPr>
            <w:tcW w:w="347"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19 712</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20 211</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19 678</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19 178</w:t>
            </w:r>
          </w:p>
        </w:tc>
        <w:tc>
          <w:tcPr>
            <w:tcW w:w="349"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18 173</w:t>
            </w:r>
          </w:p>
        </w:tc>
        <w:tc>
          <w:tcPr>
            <w:tcW w:w="348"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18 120</w:t>
            </w:r>
          </w:p>
        </w:tc>
        <w:tc>
          <w:tcPr>
            <w:tcW w:w="34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17 565</w:t>
            </w:r>
          </w:p>
        </w:tc>
        <w:tc>
          <w:tcPr>
            <w:tcW w:w="639" w:type="pct"/>
            <w:tcBorders>
              <w:top w:val="nil"/>
              <w:left w:val="single" w:sz="4" w:space="0" w:color="auto"/>
              <w:bottom w:val="nil"/>
              <w:right w:val="single" w:sz="8" w:space="0" w:color="auto"/>
            </w:tcBorders>
            <w:shd w:val="clear" w:color="auto" w:fill="auto"/>
            <w:noWrap/>
            <w:vAlign w:val="center"/>
            <w:hideMark/>
          </w:tcPr>
          <w:p w:rsidR="00775D30" w:rsidRPr="00BE18F8" w:rsidRDefault="00775D30" w:rsidP="00803F72">
            <w:pPr>
              <w:spacing w:before="60" w:after="60"/>
              <w:jc w:val="right"/>
              <w:rPr>
                <w:b/>
                <w:bCs/>
              </w:rPr>
            </w:pPr>
            <w:r w:rsidRPr="00BE18F8">
              <w:rPr>
                <w:b/>
                <w:bCs/>
              </w:rPr>
              <w:t>132 637</w:t>
            </w:r>
          </w:p>
        </w:tc>
      </w:tr>
      <w:tr w:rsidR="00775D30" w:rsidRPr="00BE18F8" w:rsidTr="00803F72">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775D30" w:rsidRPr="00BE18F8" w:rsidRDefault="00775D30" w:rsidP="00803F72">
            <w:pPr>
              <w:spacing w:before="60" w:after="60"/>
              <w:rPr>
                <w:b/>
                <w:bCs/>
              </w:rPr>
            </w:pPr>
            <w:r w:rsidRPr="00BE18F8">
              <w:rPr>
                <w:b/>
                <w:bCs/>
              </w:rPr>
              <w:t>2.</w:t>
            </w:r>
            <w:r w:rsidRPr="00BE18F8">
              <w:rPr>
                <w:b/>
                <w:bCs/>
              </w:rPr>
              <w:tab/>
              <w:t>Spójność, odporność i wartości</w:t>
            </w:r>
          </w:p>
        </w:tc>
        <w:tc>
          <w:tcPr>
            <w:tcW w:w="347"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5 996</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62 642</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63 525</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645 079</w:t>
            </w:r>
          </w:p>
        </w:tc>
        <w:tc>
          <w:tcPr>
            <w:tcW w:w="349"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645 184</w:t>
            </w:r>
          </w:p>
        </w:tc>
        <w:tc>
          <w:tcPr>
            <w:tcW w:w="348"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56 675</w:t>
            </w:r>
          </w:p>
        </w:tc>
        <w:tc>
          <w:tcPr>
            <w:tcW w:w="34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58 680</w:t>
            </w:r>
          </w:p>
        </w:tc>
        <w:tc>
          <w:tcPr>
            <w:tcW w:w="639" w:type="pct"/>
            <w:tcBorders>
              <w:top w:val="nil"/>
              <w:left w:val="single" w:sz="4" w:space="0" w:color="auto"/>
              <w:bottom w:val="nil"/>
              <w:right w:val="single" w:sz="8" w:space="0" w:color="auto"/>
            </w:tcBorders>
            <w:shd w:val="clear" w:color="auto" w:fill="auto"/>
            <w:noWrap/>
            <w:vAlign w:val="center"/>
            <w:hideMark/>
          </w:tcPr>
          <w:p w:rsidR="00775D30" w:rsidRPr="00BE18F8" w:rsidRDefault="00775D30" w:rsidP="00803F72">
            <w:pPr>
              <w:spacing w:before="60" w:after="60"/>
              <w:jc w:val="right"/>
              <w:rPr>
                <w:b/>
                <w:bCs/>
              </w:rPr>
            </w:pPr>
            <w:r w:rsidRPr="00BE18F8">
              <w:rPr>
                <w:b/>
                <w:bCs/>
              </w:rPr>
              <w:t>3767 781</w:t>
            </w:r>
          </w:p>
        </w:tc>
      </w:tr>
      <w:tr w:rsidR="00775D30" w:rsidRPr="00BE18F8" w:rsidTr="00803F72">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775D30" w:rsidRPr="00BE18F8" w:rsidRDefault="00775D30" w:rsidP="00803F72">
            <w:pPr>
              <w:spacing w:before="60" w:after="60"/>
              <w:ind w:left="1440" w:hanging="720"/>
            </w:pPr>
            <w:r w:rsidRPr="00BE18F8">
              <w:t>2a.</w:t>
            </w:r>
            <w:r w:rsidRPr="00BE18F8">
              <w:tab/>
              <w:t>Spójność gospodarcza, społeczna i terytorialna</w:t>
            </w:r>
          </w:p>
        </w:tc>
        <w:tc>
          <w:tcPr>
            <w:tcW w:w="347"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pPr>
            <w:r w:rsidRPr="00BE18F8">
              <w:t>1 666</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pPr>
            <w:r w:rsidRPr="00BE18F8">
              <w:t>56 673</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pPr>
            <w:r w:rsidRPr="00BE18F8">
              <w:t>57 005</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pPr>
            <w:r w:rsidRPr="00BE18F8">
              <w:t>57 436</w:t>
            </w:r>
          </w:p>
        </w:tc>
        <w:tc>
          <w:tcPr>
            <w:tcW w:w="349"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pPr>
            <w:r w:rsidRPr="00BE18F8">
              <w:t>57 772</w:t>
            </w:r>
          </w:p>
        </w:tc>
        <w:tc>
          <w:tcPr>
            <w:tcW w:w="348"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pPr>
            <w:r w:rsidRPr="00BE18F8">
              <w:t>48 302</w:t>
            </w:r>
          </w:p>
        </w:tc>
        <w:tc>
          <w:tcPr>
            <w:tcW w:w="34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pPr>
            <w:r w:rsidRPr="00BE18F8">
              <w:t>48 937</w:t>
            </w:r>
          </w:p>
        </w:tc>
        <w:tc>
          <w:tcPr>
            <w:tcW w:w="639" w:type="pct"/>
            <w:tcBorders>
              <w:top w:val="nil"/>
              <w:left w:val="single" w:sz="4" w:space="0" w:color="auto"/>
              <w:bottom w:val="nil"/>
              <w:right w:val="single" w:sz="8" w:space="0" w:color="auto"/>
            </w:tcBorders>
            <w:shd w:val="clear" w:color="auto" w:fill="auto"/>
            <w:noWrap/>
            <w:vAlign w:val="center"/>
            <w:hideMark/>
          </w:tcPr>
          <w:p w:rsidR="00775D30" w:rsidRPr="00BE18F8" w:rsidRDefault="00775D30" w:rsidP="00803F72">
            <w:pPr>
              <w:spacing w:before="60" w:after="60"/>
              <w:jc w:val="right"/>
            </w:pPr>
            <w:r w:rsidRPr="00BE18F8">
              <w:t>327 791</w:t>
            </w:r>
          </w:p>
        </w:tc>
      </w:tr>
      <w:tr w:rsidR="00775D30" w:rsidRPr="00BE18F8" w:rsidTr="00803F72">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775D30" w:rsidRPr="00BE18F8" w:rsidRDefault="00775D30" w:rsidP="00803F72">
            <w:pPr>
              <w:spacing w:before="60" w:after="60"/>
              <w:ind w:left="720"/>
            </w:pPr>
            <w:r w:rsidRPr="00BE18F8">
              <w:t>2b.</w:t>
            </w:r>
            <w:r w:rsidRPr="00BE18F8">
              <w:tab/>
              <w:t>Odporność i wartości</w:t>
            </w:r>
          </w:p>
        </w:tc>
        <w:tc>
          <w:tcPr>
            <w:tcW w:w="347"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pPr>
            <w:r w:rsidRPr="00BE18F8">
              <w:t>4 330</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pPr>
            <w:r w:rsidRPr="00BE18F8">
              <w:t>5 969</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pPr>
            <w:r w:rsidRPr="00BE18F8">
              <w:t>6 520</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pPr>
            <w:r w:rsidRPr="00BE18F8">
              <w:t>7 643</w:t>
            </w:r>
          </w:p>
        </w:tc>
        <w:tc>
          <w:tcPr>
            <w:tcW w:w="349"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pPr>
            <w:r w:rsidRPr="00BE18F8">
              <w:t>7 412</w:t>
            </w:r>
          </w:p>
        </w:tc>
        <w:tc>
          <w:tcPr>
            <w:tcW w:w="348"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pPr>
            <w:r w:rsidRPr="00BE18F8">
              <w:t>8 373</w:t>
            </w:r>
          </w:p>
        </w:tc>
        <w:tc>
          <w:tcPr>
            <w:tcW w:w="34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pPr>
            <w:r w:rsidRPr="00BE18F8">
              <w:t>9 743</w:t>
            </w:r>
          </w:p>
        </w:tc>
        <w:tc>
          <w:tcPr>
            <w:tcW w:w="639" w:type="pct"/>
            <w:tcBorders>
              <w:top w:val="nil"/>
              <w:left w:val="single" w:sz="4" w:space="0" w:color="auto"/>
              <w:bottom w:val="nil"/>
              <w:right w:val="single" w:sz="8" w:space="0" w:color="auto"/>
            </w:tcBorders>
            <w:shd w:val="clear" w:color="auto" w:fill="auto"/>
            <w:noWrap/>
            <w:vAlign w:val="center"/>
            <w:hideMark/>
          </w:tcPr>
          <w:p w:rsidR="00775D30" w:rsidRPr="00BE18F8" w:rsidRDefault="00775D30" w:rsidP="00803F72">
            <w:pPr>
              <w:spacing w:before="60" w:after="60"/>
              <w:jc w:val="right"/>
            </w:pPr>
            <w:r w:rsidRPr="00BE18F8">
              <w:t>49 990</w:t>
            </w:r>
          </w:p>
        </w:tc>
      </w:tr>
      <w:tr w:rsidR="00775D30" w:rsidRPr="00BE18F8" w:rsidTr="00803F72">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775D30" w:rsidRPr="00BE18F8" w:rsidRDefault="00775D30" w:rsidP="00803F72">
            <w:pPr>
              <w:spacing w:before="60" w:after="60"/>
              <w:rPr>
                <w:b/>
                <w:bCs/>
              </w:rPr>
            </w:pPr>
            <w:r w:rsidRPr="00BE18F8">
              <w:rPr>
                <w:b/>
                <w:bCs/>
              </w:rPr>
              <w:t>3.</w:t>
            </w:r>
            <w:r w:rsidRPr="00BE18F8">
              <w:rPr>
                <w:b/>
                <w:bCs/>
              </w:rPr>
              <w:tab/>
              <w:t>Zasoby naturalne i środowisko</w:t>
            </w:r>
          </w:p>
        </w:tc>
        <w:tc>
          <w:tcPr>
            <w:tcW w:w="347"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53 562</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52 626</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51 893</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51 013</w:t>
            </w:r>
          </w:p>
        </w:tc>
        <w:tc>
          <w:tcPr>
            <w:tcW w:w="349"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49 914</w:t>
            </w:r>
          </w:p>
        </w:tc>
        <w:tc>
          <w:tcPr>
            <w:tcW w:w="348"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48 734</w:t>
            </w:r>
          </w:p>
        </w:tc>
        <w:tc>
          <w:tcPr>
            <w:tcW w:w="34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47 960</w:t>
            </w:r>
          </w:p>
        </w:tc>
        <w:tc>
          <w:tcPr>
            <w:tcW w:w="639" w:type="pct"/>
            <w:tcBorders>
              <w:top w:val="nil"/>
              <w:left w:val="single" w:sz="4" w:space="0" w:color="auto"/>
              <w:bottom w:val="nil"/>
              <w:right w:val="single" w:sz="8" w:space="0" w:color="auto"/>
            </w:tcBorders>
            <w:shd w:val="clear" w:color="auto" w:fill="auto"/>
            <w:noWrap/>
            <w:vAlign w:val="center"/>
            <w:hideMark/>
          </w:tcPr>
          <w:p w:rsidR="00775D30" w:rsidRPr="00BE18F8" w:rsidRDefault="00775D30" w:rsidP="00803F72">
            <w:pPr>
              <w:spacing w:before="60" w:after="60"/>
              <w:jc w:val="right"/>
              <w:rPr>
                <w:b/>
                <w:bCs/>
              </w:rPr>
            </w:pPr>
            <w:r w:rsidRPr="00BE18F8">
              <w:rPr>
                <w:b/>
                <w:bCs/>
              </w:rPr>
              <w:t>355 702</w:t>
            </w:r>
          </w:p>
        </w:tc>
      </w:tr>
      <w:tr w:rsidR="00775D30" w:rsidRPr="00BE18F8" w:rsidTr="00803F72">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775D30" w:rsidRPr="00BE18F8" w:rsidRDefault="00775D30" w:rsidP="00803F72">
            <w:pPr>
              <w:spacing w:before="60" w:after="60"/>
              <w:ind w:left="720"/>
            </w:pPr>
            <w:proofErr w:type="gramStart"/>
            <w:r w:rsidRPr="00BE18F8">
              <w:t>z</w:t>
            </w:r>
            <w:proofErr w:type="gramEnd"/>
            <w:r w:rsidRPr="00BE18F8">
              <w:t xml:space="preserve"> czego: Wydatki związane z rynkiem i płatności bezpośrednie</w:t>
            </w:r>
          </w:p>
        </w:tc>
        <w:tc>
          <w:tcPr>
            <w:tcW w:w="347"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pPr>
            <w:r w:rsidRPr="00BE18F8">
              <w:t>38 040</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pPr>
            <w:r w:rsidRPr="00BE18F8">
              <w:t>37 544</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pPr>
            <w:r w:rsidRPr="00BE18F8">
              <w:t>36 857</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pPr>
            <w:r w:rsidRPr="00BE18F8">
              <w:t>36 054</w:t>
            </w:r>
          </w:p>
        </w:tc>
        <w:tc>
          <w:tcPr>
            <w:tcW w:w="349"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pPr>
            <w:r w:rsidRPr="00BE18F8">
              <w:t>35 283</w:t>
            </w:r>
          </w:p>
        </w:tc>
        <w:tc>
          <w:tcPr>
            <w:tcW w:w="348"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pPr>
            <w:r w:rsidRPr="00BE18F8">
              <w:t>34 602</w:t>
            </w:r>
          </w:p>
        </w:tc>
        <w:tc>
          <w:tcPr>
            <w:tcW w:w="34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pPr>
            <w:r w:rsidRPr="00BE18F8">
              <w:t>33 886</w:t>
            </w:r>
          </w:p>
        </w:tc>
        <w:tc>
          <w:tcPr>
            <w:tcW w:w="639" w:type="pct"/>
            <w:tcBorders>
              <w:top w:val="nil"/>
              <w:left w:val="single" w:sz="4" w:space="0" w:color="auto"/>
              <w:bottom w:val="nil"/>
              <w:right w:val="single" w:sz="8" w:space="0" w:color="auto"/>
            </w:tcBorders>
            <w:shd w:val="clear" w:color="auto" w:fill="auto"/>
            <w:noWrap/>
            <w:vAlign w:val="center"/>
            <w:hideMark/>
          </w:tcPr>
          <w:p w:rsidR="00775D30" w:rsidRPr="00BE18F8" w:rsidRDefault="00775D30" w:rsidP="00803F72">
            <w:pPr>
              <w:spacing w:before="60" w:after="60"/>
              <w:jc w:val="right"/>
            </w:pPr>
            <w:r w:rsidRPr="00BE18F8">
              <w:t>252 266</w:t>
            </w:r>
          </w:p>
        </w:tc>
      </w:tr>
      <w:tr w:rsidR="00775D30" w:rsidRPr="00BE18F8" w:rsidTr="00803F72">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775D30" w:rsidRPr="00BE18F8" w:rsidRDefault="00775D30" w:rsidP="00803F72">
            <w:pPr>
              <w:pageBreakBefore/>
              <w:spacing w:before="60" w:after="60"/>
              <w:rPr>
                <w:b/>
                <w:bCs/>
              </w:rPr>
            </w:pPr>
            <w:r w:rsidRPr="00BE18F8">
              <w:rPr>
                <w:b/>
                <w:bCs/>
              </w:rPr>
              <w:lastRenderedPageBreak/>
              <w:t>4.</w:t>
            </w:r>
            <w:r w:rsidRPr="00BE18F8">
              <w:rPr>
                <w:b/>
                <w:bCs/>
              </w:rPr>
              <w:tab/>
              <w:t>Migracja i zarządzanie granicami</w:t>
            </w:r>
          </w:p>
        </w:tc>
        <w:tc>
          <w:tcPr>
            <w:tcW w:w="347"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1 687</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3 104</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3 454</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3 569</w:t>
            </w:r>
          </w:p>
        </w:tc>
        <w:tc>
          <w:tcPr>
            <w:tcW w:w="349"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4 083</w:t>
            </w:r>
          </w:p>
        </w:tc>
        <w:tc>
          <w:tcPr>
            <w:tcW w:w="348"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4 145</w:t>
            </w:r>
          </w:p>
        </w:tc>
        <w:tc>
          <w:tcPr>
            <w:tcW w:w="34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4 701</w:t>
            </w:r>
          </w:p>
        </w:tc>
        <w:tc>
          <w:tcPr>
            <w:tcW w:w="639" w:type="pct"/>
            <w:tcBorders>
              <w:top w:val="nil"/>
              <w:left w:val="single" w:sz="4" w:space="0" w:color="auto"/>
              <w:bottom w:val="nil"/>
              <w:right w:val="single" w:sz="8" w:space="0" w:color="auto"/>
            </w:tcBorders>
            <w:shd w:val="clear" w:color="auto" w:fill="auto"/>
            <w:noWrap/>
            <w:vAlign w:val="center"/>
            <w:hideMark/>
          </w:tcPr>
          <w:p w:rsidR="00775D30" w:rsidRPr="00BE18F8" w:rsidRDefault="00775D30" w:rsidP="00803F72">
            <w:pPr>
              <w:spacing w:before="60" w:after="60"/>
              <w:jc w:val="right"/>
              <w:rPr>
                <w:b/>
                <w:bCs/>
              </w:rPr>
            </w:pPr>
            <w:r w:rsidRPr="00BE18F8">
              <w:rPr>
                <w:b/>
                <w:bCs/>
              </w:rPr>
              <w:t>24 743</w:t>
            </w:r>
          </w:p>
        </w:tc>
      </w:tr>
      <w:tr w:rsidR="00775D30" w:rsidRPr="00BE18F8" w:rsidTr="00803F72">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775D30" w:rsidRPr="00BE18F8" w:rsidRDefault="00775D30" w:rsidP="00803F72">
            <w:pPr>
              <w:spacing w:before="60" w:after="60"/>
              <w:rPr>
                <w:b/>
                <w:bCs/>
              </w:rPr>
            </w:pPr>
            <w:r w:rsidRPr="00BE18F8">
              <w:rPr>
                <w:b/>
                <w:bCs/>
              </w:rPr>
              <w:t>5.</w:t>
            </w:r>
            <w:r w:rsidRPr="00BE18F8">
              <w:rPr>
                <w:b/>
                <w:bCs/>
              </w:rPr>
              <w:tab/>
              <w:t>Bezpieczeństwo i obrona</w:t>
            </w:r>
          </w:p>
        </w:tc>
        <w:tc>
          <w:tcPr>
            <w:tcW w:w="347"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1 598</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1 750</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1 762</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2 112</w:t>
            </w:r>
          </w:p>
        </w:tc>
        <w:tc>
          <w:tcPr>
            <w:tcW w:w="349"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2 277</w:t>
            </w:r>
          </w:p>
        </w:tc>
        <w:tc>
          <w:tcPr>
            <w:tcW w:w="348"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2 398</w:t>
            </w:r>
          </w:p>
        </w:tc>
        <w:tc>
          <w:tcPr>
            <w:tcW w:w="34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2 576</w:t>
            </w:r>
          </w:p>
        </w:tc>
        <w:tc>
          <w:tcPr>
            <w:tcW w:w="639" w:type="pct"/>
            <w:tcBorders>
              <w:top w:val="nil"/>
              <w:left w:val="single" w:sz="4" w:space="0" w:color="auto"/>
              <w:bottom w:val="nil"/>
              <w:right w:val="single" w:sz="8" w:space="0" w:color="auto"/>
            </w:tcBorders>
            <w:shd w:val="clear" w:color="auto" w:fill="auto"/>
            <w:noWrap/>
            <w:vAlign w:val="center"/>
            <w:hideMark/>
          </w:tcPr>
          <w:p w:rsidR="00775D30" w:rsidRPr="00BE18F8" w:rsidRDefault="00775D30" w:rsidP="00803F72">
            <w:pPr>
              <w:spacing w:before="60" w:after="60"/>
              <w:jc w:val="right"/>
              <w:rPr>
                <w:b/>
                <w:bCs/>
              </w:rPr>
            </w:pPr>
            <w:r w:rsidRPr="00BE18F8">
              <w:rPr>
                <w:b/>
                <w:bCs/>
              </w:rPr>
              <w:t>14 473</w:t>
            </w:r>
          </w:p>
        </w:tc>
      </w:tr>
      <w:tr w:rsidR="00775D30" w:rsidRPr="00BE18F8" w:rsidTr="00803F72">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775D30" w:rsidRPr="00BE18F8" w:rsidRDefault="00775D30" w:rsidP="00803F72">
            <w:pPr>
              <w:spacing w:before="60" w:after="60"/>
              <w:rPr>
                <w:b/>
                <w:bCs/>
              </w:rPr>
            </w:pPr>
            <w:r w:rsidRPr="00BE18F8">
              <w:rPr>
                <w:b/>
                <w:bCs/>
              </w:rPr>
              <w:t>6.</w:t>
            </w:r>
            <w:r w:rsidRPr="00BE18F8">
              <w:rPr>
                <w:b/>
                <w:bCs/>
              </w:rPr>
              <w:tab/>
              <w:t>Sąsiedztwo i świat</w:t>
            </w:r>
          </w:p>
        </w:tc>
        <w:tc>
          <w:tcPr>
            <w:tcW w:w="347"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15 309</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15 522</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14 789</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14 500</w:t>
            </w:r>
          </w:p>
        </w:tc>
        <w:tc>
          <w:tcPr>
            <w:tcW w:w="349"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14 192</w:t>
            </w:r>
          </w:p>
        </w:tc>
        <w:tc>
          <w:tcPr>
            <w:tcW w:w="348"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13 326</w:t>
            </w:r>
          </w:p>
        </w:tc>
        <w:tc>
          <w:tcPr>
            <w:tcW w:w="34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13 447</w:t>
            </w:r>
          </w:p>
        </w:tc>
        <w:tc>
          <w:tcPr>
            <w:tcW w:w="639" w:type="pct"/>
            <w:tcBorders>
              <w:top w:val="nil"/>
              <w:left w:val="single" w:sz="4" w:space="0" w:color="auto"/>
              <w:bottom w:val="nil"/>
              <w:right w:val="single" w:sz="8" w:space="0" w:color="auto"/>
            </w:tcBorders>
            <w:shd w:val="clear" w:color="auto" w:fill="auto"/>
            <w:noWrap/>
            <w:vAlign w:val="center"/>
            <w:hideMark/>
          </w:tcPr>
          <w:p w:rsidR="00775D30" w:rsidRPr="00BE18F8" w:rsidRDefault="00775D30" w:rsidP="00803F72">
            <w:pPr>
              <w:spacing w:before="60" w:after="60"/>
              <w:jc w:val="right"/>
              <w:rPr>
                <w:b/>
                <w:bCs/>
              </w:rPr>
            </w:pPr>
            <w:r w:rsidRPr="00BE18F8">
              <w:rPr>
                <w:b/>
                <w:bCs/>
              </w:rPr>
              <w:t>101 085</w:t>
            </w:r>
          </w:p>
        </w:tc>
      </w:tr>
      <w:tr w:rsidR="00775D30" w:rsidRPr="00BE18F8" w:rsidTr="00803F72">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775D30" w:rsidRPr="00BE18F8" w:rsidRDefault="00775D30" w:rsidP="00803F72">
            <w:pPr>
              <w:spacing w:before="60" w:after="60"/>
              <w:rPr>
                <w:b/>
                <w:bCs/>
              </w:rPr>
            </w:pPr>
            <w:r w:rsidRPr="00BE18F8">
              <w:rPr>
                <w:b/>
                <w:bCs/>
              </w:rPr>
              <w:t>7.</w:t>
            </w:r>
            <w:r w:rsidRPr="00BE18F8">
              <w:rPr>
                <w:b/>
                <w:bCs/>
              </w:rPr>
              <w:tab/>
              <w:t>Europejska administracja publiczna</w:t>
            </w:r>
          </w:p>
        </w:tc>
        <w:tc>
          <w:tcPr>
            <w:tcW w:w="347"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10 021</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10 215</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10 342</w:t>
            </w:r>
          </w:p>
        </w:tc>
        <w:tc>
          <w:tcPr>
            <w:tcW w:w="35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10 454</w:t>
            </w:r>
          </w:p>
        </w:tc>
        <w:tc>
          <w:tcPr>
            <w:tcW w:w="349"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10 554</w:t>
            </w:r>
          </w:p>
        </w:tc>
        <w:tc>
          <w:tcPr>
            <w:tcW w:w="348"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10 673</w:t>
            </w:r>
          </w:p>
        </w:tc>
        <w:tc>
          <w:tcPr>
            <w:tcW w:w="340" w:type="pct"/>
            <w:tcBorders>
              <w:top w:val="nil"/>
              <w:left w:val="nil"/>
              <w:bottom w:val="nil"/>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10 843</w:t>
            </w:r>
          </w:p>
        </w:tc>
        <w:tc>
          <w:tcPr>
            <w:tcW w:w="639" w:type="pct"/>
            <w:tcBorders>
              <w:top w:val="nil"/>
              <w:left w:val="single" w:sz="4" w:space="0" w:color="auto"/>
              <w:bottom w:val="nil"/>
              <w:right w:val="single" w:sz="8" w:space="0" w:color="auto"/>
            </w:tcBorders>
            <w:shd w:val="clear" w:color="auto" w:fill="auto"/>
            <w:noWrap/>
            <w:vAlign w:val="center"/>
            <w:hideMark/>
          </w:tcPr>
          <w:p w:rsidR="00775D30" w:rsidRPr="00BE18F8" w:rsidRDefault="00775D30" w:rsidP="00803F72">
            <w:pPr>
              <w:spacing w:before="60" w:after="60"/>
              <w:jc w:val="right"/>
              <w:rPr>
                <w:b/>
                <w:bCs/>
              </w:rPr>
            </w:pPr>
            <w:r w:rsidRPr="00BE18F8">
              <w:rPr>
                <w:b/>
                <w:bCs/>
              </w:rPr>
              <w:t>73 102</w:t>
            </w:r>
          </w:p>
        </w:tc>
      </w:tr>
      <w:tr w:rsidR="00775D30" w:rsidRPr="00BE18F8" w:rsidTr="00803F72">
        <w:trPr>
          <w:trHeight w:val="315"/>
        </w:trPr>
        <w:tc>
          <w:tcPr>
            <w:tcW w:w="1927" w:type="pct"/>
            <w:tcBorders>
              <w:top w:val="nil"/>
              <w:left w:val="single" w:sz="8" w:space="0" w:color="auto"/>
              <w:bottom w:val="single" w:sz="8" w:space="0" w:color="auto"/>
              <w:right w:val="single" w:sz="4" w:space="0" w:color="auto"/>
            </w:tcBorders>
            <w:shd w:val="clear" w:color="auto" w:fill="auto"/>
            <w:noWrap/>
            <w:vAlign w:val="center"/>
            <w:hideMark/>
          </w:tcPr>
          <w:p w:rsidR="00775D30" w:rsidRPr="00BE18F8" w:rsidRDefault="00775D30" w:rsidP="00803F72">
            <w:pPr>
              <w:spacing w:before="60" w:after="60"/>
              <w:ind w:left="720"/>
            </w:pPr>
            <w:proofErr w:type="gramStart"/>
            <w:r w:rsidRPr="00BE18F8">
              <w:t>z</w:t>
            </w:r>
            <w:proofErr w:type="gramEnd"/>
            <w:r w:rsidRPr="00BE18F8">
              <w:t xml:space="preserve"> czego: Wydatki administracyjne instytucji</w:t>
            </w:r>
          </w:p>
        </w:tc>
        <w:tc>
          <w:tcPr>
            <w:tcW w:w="347" w:type="pct"/>
            <w:tcBorders>
              <w:top w:val="nil"/>
              <w:left w:val="nil"/>
              <w:bottom w:val="single" w:sz="8" w:space="0" w:color="auto"/>
              <w:right w:val="nil"/>
            </w:tcBorders>
            <w:shd w:val="clear" w:color="auto" w:fill="auto"/>
            <w:noWrap/>
            <w:vAlign w:val="center"/>
            <w:hideMark/>
          </w:tcPr>
          <w:p w:rsidR="00775D30" w:rsidRPr="00BE18F8" w:rsidRDefault="00775D30" w:rsidP="00803F72">
            <w:pPr>
              <w:spacing w:before="60" w:after="60"/>
              <w:jc w:val="right"/>
            </w:pPr>
            <w:r w:rsidRPr="00BE18F8">
              <w:t>7 742</w:t>
            </w:r>
          </w:p>
        </w:tc>
        <w:tc>
          <w:tcPr>
            <w:tcW w:w="350" w:type="pct"/>
            <w:tcBorders>
              <w:top w:val="nil"/>
              <w:left w:val="nil"/>
              <w:bottom w:val="single" w:sz="8" w:space="0" w:color="auto"/>
              <w:right w:val="nil"/>
            </w:tcBorders>
            <w:shd w:val="clear" w:color="auto" w:fill="auto"/>
            <w:noWrap/>
            <w:vAlign w:val="center"/>
            <w:hideMark/>
          </w:tcPr>
          <w:p w:rsidR="00775D30" w:rsidRPr="00BE18F8" w:rsidRDefault="00775D30" w:rsidP="00803F72">
            <w:pPr>
              <w:spacing w:before="60" w:after="60"/>
              <w:jc w:val="right"/>
            </w:pPr>
            <w:r w:rsidRPr="00BE18F8">
              <w:t>7 878</w:t>
            </w:r>
          </w:p>
        </w:tc>
        <w:tc>
          <w:tcPr>
            <w:tcW w:w="350" w:type="pct"/>
            <w:tcBorders>
              <w:top w:val="nil"/>
              <w:left w:val="nil"/>
              <w:bottom w:val="single" w:sz="8" w:space="0" w:color="auto"/>
              <w:right w:val="nil"/>
            </w:tcBorders>
            <w:shd w:val="clear" w:color="auto" w:fill="auto"/>
            <w:noWrap/>
            <w:vAlign w:val="center"/>
            <w:hideMark/>
          </w:tcPr>
          <w:p w:rsidR="00775D30" w:rsidRPr="00BE18F8" w:rsidRDefault="00775D30" w:rsidP="00803F72">
            <w:pPr>
              <w:spacing w:before="60" w:after="60"/>
              <w:jc w:val="right"/>
            </w:pPr>
            <w:r w:rsidRPr="00BE18F8">
              <w:t>7 945</w:t>
            </w:r>
          </w:p>
        </w:tc>
        <w:tc>
          <w:tcPr>
            <w:tcW w:w="350" w:type="pct"/>
            <w:tcBorders>
              <w:top w:val="nil"/>
              <w:left w:val="nil"/>
              <w:bottom w:val="single" w:sz="8" w:space="0" w:color="auto"/>
              <w:right w:val="nil"/>
            </w:tcBorders>
            <w:shd w:val="clear" w:color="auto" w:fill="auto"/>
            <w:noWrap/>
            <w:vAlign w:val="center"/>
            <w:hideMark/>
          </w:tcPr>
          <w:p w:rsidR="00775D30" w:rsidRPr="00BE18F8" w:rsidRDefault="00775D30" w:rsidP="00803F72">
            <w:pPr>
              <w:spacing w:before="60" w:after="60"/>
              <w:jc w:val="right"/>
            </w:pPr>
            <w:r w:rsidRPr="00BE18F8">
              <w:t>7 997</w:t>
            </w:r>
          </w:p>
        </w:tc>
        <w:tc>
          <w:tcPr>
            <w:tcW w:w="349" w:type="pct"/>
            <w:tcBorders>
              <w:top w:val="nil"/>
              <w:left w:val="nil"/>
              <w:bottom w:val="single" w:sz="8" w:space="0" w:color="auto"/>
              <w:right w:val="nil"/>
            </w:tcBorders>
            <w:shd w:val="clear" w:color="auto" w:fill="auto"/>
            <w:noWrap/>
            <w:vAlign w:val="center"/>
            <w:hideMark/>
          </w:tcPr>
          <w:p w:rsidR="00775D30" w:rsidRPr="00BE18F8" w:rsidRDefault="00775D30" w:rsidP="00803F72">
            <w:pPr>
              <w:spacing w:before="60" w:after="60"/>
              <w:jc w:val="right"/>
            </w:pPr>
            <w:r w:rsidRPr="00BE18F8">
              <w:t>8 025</w:t>
            </w:r>
          </w:p>
        </w:tc>
        <w:tc>
          <w:tcPr>
            <w:tcW w:w="348" w:type="pct"/>
            <w:tcBorders>
              <w:top w:val="nil"/>
              <w:left w:val="nil"/>
              <w:bottom w:val="single" w:sz="8" w:space="0" w:color="auto"/>
              <w:right w:val="nil"/>
            </w:tcBorders>
            <w:shd w:val="clear" w:color="auto" w:fill="auto"/>
            <w:noWrap/>
            <w:vAlign w:val="center"/>
            <w:hideMark/>
          </w:tcPr>
          <w:p w:rsidR="00775D30" w:rsidRPr="00BE18F8" w:rsidRDefault="00775D30" w:rsidP="00803F72">
            <w:pPr>
              <w:spacing w:before="60" w:after="60"/>
              <w:jc w:val="right"/>
            </w:pPr>
            <w:r w:rsidRPr="00BE18F8">
              <w:t>8 077</w:t>
            </w:r>
          </w:p>
        </w:tc>
        <w:tc>
          <w:tcPr>
            <w:tcW w:w="340" w:type="pct"/>
            <w:tcBorders>
              <w:top w:val="nil"/>
              <w:left w:val="nil"/>
              <w:bottom w:val="single" w:sz="8" w:space="0" w:color="auto"/>
              <w:right w:val="nil"/>
            </w:tcBorders>
            <w:shd w:val="clear" w:color="auto" w:fill="auto"/>
            <w:noWrap/>
            <w:vAlign w:val="center"/>
            <w:hideMark/>
          </w:tcPr>
          <w:p w:rsidR="00775D30" w:rsidRPr="00BE18F8" w:rsidRDefault="00775D30" w:rsidP="00803F72">
            <w:pPr>
              <w:spacing w:before="60" w:after="60"/>
              <w:jc w:val="right"/>
            </w:pPr>
            <w:r w:rsidRPr="00BE18F8">
              <w:t>8 188</w:t>
            </w:r>
          </w:p>
        </w:tc>
        <w:tc>
          <w:tcPr>
            <w:tcW w:w="639" w:type="pct"/>
            <w:tcBorders>
              <w:top w:val="nil"/>
              <w:left w:val="single" w:sz="4" w:space="0" w:color="auto"/>
              <w:bottom w:val="single" w:sz="8" w:space="0" w:color="auto"/>
              <w:right w:val="single" w:sz="8" w:space="0" w:color="auto"/>
            </w:tcBorders>
            <w:shd w:val="clear" w:color="auto" w:fill="auto"/>
            <w:noWrap/>
            <w:vAlign w:val="center"/>
            <w:hideMark/>
          </w:tcPr>
          <w:p w:rsidR="00775D30" w:rsidRPr="00BE18F8" w:rsidRDefault="00775D30" w:rsidP="00803F72">
            <w:pPr>
              <w:spacing w:before="60" w:after="60"/>
              <w:jc w:val="right"/>
            </w:pPr>
            <w:r w:rsidRPr="00BE18F8">
              <w:t>55 852</w:t>
            </w:r>
          </w:p>
        </w:tc>
      </w:tr>
      <w:tr w:rsidR="00775D30" w:rsidRPr="00BE18F8" w:rsidTr="00803F72">
        <w:trPr>
          <w:trHeight w:val="315"/>
        </w:trPr>
        <w:tc>
          <w:tcPr>
            <w:tcW w:w="1927" w:type="pct"/>
            <w:tcBorders>
              <w:top w:val="nil"/>
              <w:left w:val="single" w:sz="8" w:space="0" w:color="auto"/>
              <w:bottom w:val="single" w:sz="8" w:space="0" w:color="auto"/>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ŚRODKI NA ZOBOWIĄZANIA OGÓŁEM</w:t>
            </w:r>
          </w:p>
        </w:tc>
        <w:tc>
          <w:tcPr>
            <w:tcW w:w="347" w:type="pct"/>
            <w:tcBorders>
              <w:top w:val="nil"/>
              <w:left w:val="single" w:sz="4" w:space="0" w:color="auto"/>
              <w:bottom w:val="single" w:sz="8" w:space="0" w:color="auto"/>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107 885</w:t>
            </w:r>
          </w:p>
        </w:tc>
        <w:tc>
          <w:tcPr>
            <w:tcW w:w="350" w:type="pct"/>
            <w:tcBorders>
              <w:top w:val="nil"/>
              <w:left w:val="nil"/>
              <w:bottom w:val="single" w:sz="8" w:space="0" w:color="auto"/>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166 070</w:t>
            </w:r>
          </w:p>
        </w:tc>
        <w:tc>
          <w:tcPr>
            <w:tcW w:w="350" w:type="pct"/>
            <w:tcBorders>
              <w:top w:val="nil"/>
              <w:left w:val="nil"/>
              <w:bottom w:val="single" w:sz="8" w:space="0" w:color="auto"/>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165 905</w:t>
            </w:r>
          </w:p>
        </w:tc>
        <w:tc>
          <w:tcPr>
            <w:tcW w:w="350" w:type="pct"/>
            <w:tcBorders>
              <w:top w:val="nil"/>
              <w:left w:val="nil"/>
              <w:bottom w:val="single" w:sz="8" w:space="0" w:color="auto"/>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165 801</w:t>
            </w:r>
          </w:p>
        </w:tc>
        <w:tc>
          <w:tcPr>
            <w:tcW w:w="349" w:type="pct"/>
            <w:tcBorders>
              <w:top w:val="nil"/>
              <w:left w:val="nil"/>
              <w:bottom w:val="single" w:sz="8" w:space="0" w:color="auto"/>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164 377</w:t>
            </w:r>
          </w:p>
        </w:tc>
        <w:tc>
          <w:tcPr>
            <w:tcW w:w="348" w:type="pct"/>
            <w:tcBorders>
              <w:top w:val="nil"/>
              <w:left w:val="nil"/>
              <w:bottom w:val="single" w:sz="8" w:space="0" w:color="auto"/>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154 071</w:t>
            </w:r>
          </w:p>
        </w:tc>
        <w:tc>
          <w:tcPr>
            <w:tcW w:w="340" w:type="pct"/>
            <w:tcBorders>
              <w:top w:val="nil"/>
              <w:left w:val="nil"/>
              <w:bottom w:val="single" w:sz="8" w:space="0" w:color="auto"/>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155 772</w:t>
            </w:r>
          </w:p>
        </w:tc>
        <w:tc>
          <w:tcPr>
            <w:tcW w:w="639" w:type="pct"/>
            <w:tcBorders>
              <w:top w:val="nil"/>
              <w:left w:val="single" w:sz="4" w:space="0" w:color="auto"/>
              <w:bottom w:val="single" w:sz="8" w:space="0" w:color="auto"/>
              <w:right w:val="single" w:sz="8" w:space="0" w:color="auto"/>
            </w:tcBorders>
            <w:shd w:val="clear" w:color="auto" w:fill="auto"/>
            <w:noWrap/>
            <w:vAlign w:val="center"/>
            <w:hideMark/>
          </w:tcPr>
          <w:p w:rsidR="00775D30" w:rsidRPr="00BE18F8" w:rsidRDefault="00775D30" w:rsidP="00803F72">
            <w:pPr>
              <w:spacing w:before="60" w:after="60"/>
              <w:jc w:val="right"/>
              <w:rPr>
                <w:b/>
                <w:bCs/>
              </w:rPr>
            </w:pPr>
            <w:r w:rsidRPr="00BE18F8">
              <w:rPr>
                <w:b/>
                <w:bCs/>
              </w:rPr>
              <w:t>1 079 523</w:t>
            </w:r>
          </w:p>
        </w:tc>
      </w:tr>
      <w:tr w:rsidR="00775D30" w:rsidRPr="00BE18F8" w:rsidTr="00803F72">
        <w:trPr>
          <w:trHeight w:val="315"/>
        </w:trPr>
        <w:tc>
          <w:tcPr>
            <w:tcW w:w="1927" w:type="pct"/>
            <w:tcBorders>
              <w:top w:val="single" w:sz="8" w:space="0" w:color="auto"/>
              <w:bottom w:val="single" w:sz="8" w:space="0" w:color="auto"/>
            </w:tcBorders>
            <w:shd w:val="clear" w:color="auto" w:fill="auto"/>
            <w:noWrap/>
            <w:vAlign w:val="center"/>
          </w:tcPr>
          <w:p w:rsidR="00775D30" w:rsidRPr="00BE18F8" w:rsidRDefault="00775D30" w:rsidP="00803F72">
            <w:pPr>
              <w:spacing w:before="60" w:after="60"/>
            </w:pPr>
          </w:p>
        </w:tc>
        <w:tc>
          <w:tcPr>
            <w:tcW w:w="347" w:type="pct"/>
            <w:tcBorders>
              <w:top w:val="single" w:sz="8" w:space="0" w:color="auto"/>
              <w:bottom w:val="single" w:sz="8" w:space="0" w:color="auto"/>
            </w:tcBorders>
            <w:shd w:val="clear" w:color="auto" w:fill="auto"/>
            <w:noWrap/>
            <w:vAlign w:val="center"/>
          </w:tcPr>
          <w:p w:rsidR="00775D30" w:rsidRPr="00BE18F8" w:rsidRDefault="00775D30" w:rsidP="00803F72">
            <w:pPr>
              <w:spacing w:before="60" w:after="60"/>
              <w:jc w:val="right"/>
            </w:pPr>
          </w:p>
        </w:tc>
        <w:tc>
          <w:tcPr>
            <w:tcW w:w="350" w:type="pct"/>
            <w:tcBorders>
              <w:top w:val="single" w:sz="8" w:space="0" w:color="auto"/>
              <w:bottom w:val="single" w:sz="8" w:space="0" w:color="auto"/>
            </w:tcBorders>
            <w:shd w:val="clear" w:color="auto" w:fill="auto"/>
            <w:noWrap/>
            <w:vAlign w:val="center"/>
          </w:tcPr>
          <w:p w:rsidR="00775D30" w:rsidRPr="00BE18F8" w:rsidRDefault="00775D30" w:rsidP="00803F72">
            <w:pPr>
              <w:spacing w:before="60" w:after="60"/>
              <w:jc w:val="right"/>
            </w:pPr>
          </w:p>
        </w:tc>
        <w:tc>
          <w:tcPr>
            <w:tcW w:w="350" w:type="pct"/>
            <w:tcBorders>
              <w:top w:val="single" w:sz="8" w:space="0" w:color="auto"/>
              <w:bottom w:val="single" w:sz="8" w:space="0" w:color="auto"/>
            </w:tcBorders>
            <w:shd w:val="clear" w:color="auto" w:fill="auto"/>
            <w:noWrap/>
            <w:vAlign w:val="center"/>
          </w:tcPr>
          <w:p w:rsidR="00775D30" w:rsidRPr="00BE18F8" w:rsidRDefault="00775D30" w:rsidP="00803F72">
            <w:pPr>
              <w:spacing w:before="60" w:after="60"/>
              <w:jc w:val="right"/>
            </w:pPr>
          </w:p>
        </w:tc>
        <w:tc>
          <w:tcPr>
            <w:tcW w:w="350" w:type="pct"/>
            <w:tcBorders>
              <w:top w:val="single" w:sz="8" w:space="0" w:color="auto"/>
              <w:bottom w:val="single" w:sz="8" w:space="0" w:color="auto"/>
            </w:tcBorders>
            <w:shd w:val="clear" w:color="auto" w:fill="auto"/>
            <w:noWrap/>
            <w:vAlign w:val="center"/>
          </w:tcPr>
          <w:p w:rsidR="00775D30" w:rsidRPr="00BE18F8" w:rsidRDefault="00775D30" w:rsidP="00803F72">
            <w:pPr>
              <w:spacing w:before="60" w:after="60"/>
              <w:jc w:val="right"/>
            </w:pPr>
          </w:p>
        </w:tc>
        <w:tc>
          <w:tcPr>
            <w:tcW w:w="349" w:type="pct"/>
            <w:tcBorders>
              <w:top w:val="single" w:sz="8" w:space="0" w:color="auto"/>
              <w:bottom w:val="single" w:sz="8" w:space="0" w:color="auto"/>
            </w:tcBorders>
            <w:shd w:val="clear" w:color="auto" w:fill="auto"/>
            <w:noWrap/>
            <w:vAlign w:val="center"/>
          </w:tcPr>
          <w:p w:rsidR="00775D30" w:rsidRPr="00BE18F8" w:rsidRDefault="00775D30" w:rsidP="00803F72">
            <w:pPr>
              <w:spacing w:before="60" w:after="60"/>
              <w:jc w:val="right"/>
            </w:pPr>
          </w:p>
        </w:tc>
        <w:tc>
          <w:tcPr>
            <w:tcW w:w="348" w:type="pct"/>
            <w:tcBorders>
              <w:top w:val="single" w:sz="8" w:space="0" w:color="auto"/>
              <w:bottom w:val="single" w:sz="8" w:space="0" w:color="auto"/>
            </w:tcBorders>
            <w:shd w:val="clear" w:color="auto" w:fill="auto"/>
            <w:noWrap/>
            <w:vAlign w:val="center"/>
          </w:tcPr>
          <w:p w:rsidR="00775D30" w:rsidRPr="00BE18F8" w:rsidRDefault="00775D30" w:rsidP="00803F72">
            <w:pPr>
              <w:spacing w:before="60" w:after="60"/>
              <w:jc w:val="right"/>
            </w:pPr>
          </w:p>
        </w:tc>
        <w:tc>
          <w:tcPr>
            <w:tcW w:w="340" w:type="pct"/>
            <w:tcBorders>
              <w:top w:val="single" w:sz="8" w:space="0" w:color="auto"/>
              <w:bottom w:val="single" w:sz="8" w:space="0" w:color="auto"/>
            </w:tcBorders>
            <w:shd w:val="clear" w:color="auto" w:fill="auto"/>
            <w:noWrap/>
            <w:vAlign w:val="center"/>
          </w:tcPr>
          <w:p w:rsidR="00775D30" w:rsidRPr="00BE18F8" w:rsidRDefault="00775D30" w:rsidP="00803F72">
            <w:pPr>
              <w:spacing w:before="60" w:after="60"/>
              <w:jc w:val="right"/>
            </w:pPr>
          </w:p>
        </w:tc>
        <w:tc>
          <w:tcPr>
            <w:tcW w:w="639" w:type="pct"/>
            <w:tcBorders>
              <w:top w:val="single" w:sz="8" w:space="0" w:color="auto"/>
              <w:bottom w:val="single" w:sz="8" w:space="0" w:color="auto"/>
            </w:tcBorders>
            <w:shd w:val="clear" w:color="auto" w:fill="auto"/>
            <w:noWrap/>
            <w:vAlign w:val="center"/>
          </w:tcPr>
          <w:p w:rsidR="00775D30" w:rsidRPr="00BE18F8" w:rsidRDefault="00775D30" w:rsidP="00803F72">
            <w:pPr>
              <w:spacing w:before="60" w:after="60"/>
              <w:jc w:val="right"/>
            </w:pPr>
          </w:p>
        </w:tc>
      </w:tr>
      <w:tr w:rsidR="00775D30" w:rsidRPr="00BE18F8" w:rsidTr="00803F72">
        <w:trPr>
          <w:trHeight w:val="315"/>
        </w:trPr>
        <w:tc>
          <w:tcPr>
            <w:tcW w:w="1927" w:type="pct"/>
            <w:tcBorders>
              <w:top w:val="single" w:sz="8" w:space="0" w:color="auto"/>
              <w:left w:val="single" w:sz="8" w:space="0" w:color="auto"/>
              <w:bottom w:val="single" w:sz="8" w:space="0" w:color="auto"/>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ŚRODKI NA PŁATNOŚCI OGÓŁEM</w:t>
            </w:r>
          </w:p>
        </w:tc>
        <w:tc>
          <w:tcPr>
            <w:tcW w:w="347" w:type="pct"/>
            <w:tcBorders>
              <w:top w:val="single" w:sz="8" w:space="0" w:color="auto"/>
              <w:left w:val="single" w:sz="4" w:space="0" w:color="auto"/>
              <w:bottom w:val="single" w:sz="8" w:space="0" w:color="auto"/>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154 065</w:t>
            </w:r>
          </w:p>
        </w:tc>
        <w:tc>
          <w:tcPr>
            <w:tcW w:w="350" w:type="pct"/>
            <w:tcBorders>
              <w:top w:val="single" w:sz="8" w:space="0" w:color="auto"/>
              <w:left w:val="nil"/>
              <w:bottom w:val="single" w:sz="8" w:space="0" w:color="auto"/>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153 850</w:t>
            </w:r>
          </w:p>
        </w:tc>
        <w:tc>
          <w:tcPr>
            <w:tcW w:w="350" w:type="pct"/>
            <w:tcBorders>
              <w:top w:val="single" w:sz="8" w:space="0" w:color="auto"/>
              <w:left w:val="nil"/>
              <w:bottom w:val="single" w:sz="8" w:space="0" w:color="auto"/>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152 682</w:t>
            </w:r>
          </w:p>
        </w:tc>
        <w:tc>
          <w:tcPr>
            <w:tcW w:w="350" w:type="pct"/>
            <w:tcBorders>
              <w:top w:val="single" w:sz="8" w:space="0" w:color="auto"/>
              <w:left w:val="nil"/>
              <w:bottom w:val="single" w:sz="8" w:space="0" w:color="auto"/>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151 436</w:t>
            </w:r>
          </w:p>
        </w:tc>
        <w:tc>
          <w:tcPr>
            <w:tcW w:w="349" w:type="pct"/>
            <w:tcBorders>
              <w:top w:val="single" w:sz="8" w:space="0" w:color="auto"/>
              <w:left w:val="nil"/>
              <w:bottom w:val="single" w:sz="8" w:space="0" w:color="auto"/>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151 175</w:t>
            </w:r>
          </w:p>
        </w:tc>
        <w:tc>
          <w:tcPr>
            <w:tcW w:w="348" w:type="pct"/>
            <w:tcBorders>
              <w:top w:val="single" w:sz="8" w:space="0" w:color="auto"/>
              <w:left w:val="nil"/>
              <w:bottom w:val="single" w:sz="8" w:space="0" w:color="auto"/>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151 175</w:t>
            </w:r>
          </w:p>
        </w:tc>
        <w:tc>
          <w:tcPr>
            <w:tcW w:w="340" w:type="pct"/>
            <w:tcBorders>
              <w:top w:val="single" w:sz="8" w:space="0" w:color="auto"/>
              <w:left w:val="nil"/>
              <w:bottom w:val="single" w:sz="8" w:space="0" w:color="auto"/>
              <w:right w:val="nil"/>
            </w:tcBorders>
            <w:shd w:val="clear" w:color="auto" w:fill="auto"/>
            <w:noWrap/>
            <w:vAlign w:val="center"/>
            <w:hideMark/>
          </w:tcPr>
          <w:p w:rsidR="00775D30" w:rsidRPr="00BE18F8" w:rsidRDefault="00775D30" w:rsidP="00803F72">
            <w:pPr>
              <w:spacing w:before="60" w:after="60"/>
              <w:jc w:val="right"/>
              <w:rPr>
                <w:b/>
                <w:bCs/>
              </w:rPr>
            </w:pPr>
            <w:r w:rsidRPr="00BE18F8">
              <w:rPr>
                <w:b/>
                <w:bCs/>
              </w:rPr>
              <w:t>151 175</w:t>
            </w:r>
          </w:p>
        </w:tc>
        <w:tc>
          <w:tcPr>
            <w:tcW w:w="639" w:type="pct"/>
            <w:tcBorders>
              <w:top w:val="single" w:sz="8" w:space="0" w:color="auto"/>
              <w:left w:val="single" w:sz="4" w:space="0" w:color="auto"/>
              <w:bottom w:val="single" w:sz="8" w:space="0" w:color="auto"/>
              <w:right w:val="single" w:sz="8" w:space="0" w:color="auto"/>
            </w:tcBorders>
            <w:shd w:val="clear" w:color="auto" w:fill="auto"/>
            <w:noWrap/>
            <w:vAlign w:val="center"/>
            <w:hideMark/>
          </w:tcPr>
          <w:p w:rsidR="00775D30" w:rsidRPr="00BE18F8" w:rsidRDefault="00775D30" w:rsidP="00803F72">
            <w:pPr>
              <w:spacing w:before="60" w:after="60"/>
              <w:jc w:val="right"/>
              <w:rPr>
                <w:b/>
                <w:bCs/>
              </w:rPr>
            </w:pPr>
            <w:r w:rsidRPr="00BE18F8">
              <w:rPr>
                <w:b/>
                <w:bCs/>
              </w:rPr>
              <w:t>1 065 558</w:t>
            </w:r>
          </w:p>
        </w:tc>
      </w:tr>
    </w:tbl>
    <w:p w:rsidR="00775D30" w:rsidRPr="00BE18F8" w:rsidRDefault="00775D30" w:rsidP="00775D30">
      <w:pPr>
        <w:jc w:val="right"/>
      </w:pPr>
    </w:p>
    <w:p w:rsidR="00775D30" w:rsidRPr="00BE18F8" w:rsidRDefault="00775D30" w:rsidP="00775D30">
      <w:pPr>
        <w:jc w:val="center"/>
      </w:pPr>
      <w:r w:rsidRPr="00BE18F8">
        <w:br w:type="page"/>
      </w:r>
      <w:r w:rsidRPr="00BE18F8">
        <w:lastRenderedPageBreak/>
        <w:t>ZAŁACZNIK II</w:t>
      </w:r>
      <w:r w:rsidRPr="00BE18F8">
        <w:br/>
        <w:t xml:space="preserve"> DOSTOSOWANIE DOTYCZĄCE POSZCZEGÓLNYCH PROGRAMÓW – WYKAZ PROGRAMÓW, KLUCZ PODZIAŁU I ŁĄCZNA DODATKOWA ALOKACJA ŚRODKÓW NA ZOBOWIĄZANIA</w:t>
      </w:r>
    </w:p>
    <w:tbl>
      <w:tblPr>
        <w:tblW w:w="5000" w:type="pct"/>
        <w:tblLook w:val="04A0" w:firstRow="1" w:lastRow="0" w:firstColumn="1" w:lastColumn="0" w:noHBand="0" w:noVBand="1"/>
      </w:tblPr>
      <w:tblGrid>
        <w:gridCol w:w="6106"/>
        <w:gridCol w:w="2017"/>
        <w:gridCol w:w="2154"/>
        <w:gridCol w:w="4009"/>
      </w:tblGrid>
      <w:tr w:rsidR="00775D30" w:rsidRPr="00BE18F8" w:rsidTr="00803F72">
        <w:trPr>
          <w:trHeight w:val="20"/>
        </w:trPr>
        <w:tc>
          <w:tcPr>
            <w:tcW w:w="2065" w:type="pct"/>
            <w:tcBorders>
              <w:bottom w:val="single" w:sz="8" w:space="0" w:color="auto"/>
            </w:tcBorders>
            <w:noWrap/>
            <w:hideMark/>
          </w:tcPr>
          <w:p w:rsidR="00775D30" w:rsidRPr="00BE18F8" w:rsidRDefault="00775D30" w:rsidP="00803F72">
            <w:pPr>
              <w:spacing w:before="60" w:after="60"/>
            </w:pPr>
          </w:p>
        </w:tc>
        <w:tc>
          <w:tcPr>
            <w:tcW w:w="730" w:type="pct"/>
            <w:tcBorders>
              <w:bottom w:val="single" w:sz="8" w:space="0" w:color="auto"/>
            </w:tcBorders>
            <w:noWrap/>
            <w:hideMark/>
          </w:tcPr>
          <w:p w:rsidR="00775D30" w:rsidRPr="00BE18F8" w:rsidRDefault="00775D30" w:rsidP="00803F72">
            <w:pPr>
              <w:spacing w:before="60" w:after="60"/>
            </w:pPr>
          </w:p>
        </w:tc>
        <w:tc>
          <w:tcPr>
            <w:tcW w:w="778" w:type="pct"/>
            <w:tcBorders>
              <w:bottom w:val="single" w:sz="8" w:space="0" w:color="auto"/>
            </w:tcBorders>
          </w:tcPr>
          <w:p w:rsidR="00775D30" w:rsidRPr="00BE18F8" w:rsidRDefault="00775D30" w:rsidP="00803F72">
            <w:pPr>
              <w:spacing w:before="60" w:after="60"/>
              <w:jc w:val="right"/>
            </w:pPr>
          </w:p>
        </w:tc>
        <w:tc>
          <w:tcPr>
            <w:tcW w:w="1428" w:type="pct"/>
            <w:tcBorders>
              <w:bottom w:val="single" w:sz="8" w:space="0" w:color="auto"/>
            </w:tcBorders>
            <w:noWrap/>
            <w:hideMark/>
          </w:tcPr>
          <w:p w:rsidR="00775D30" w:rsidRPr="00BE18F8" w:rsidRDefault="00775D30" w:rsidP="00803F72">
            <w:pPr>
              <w:spacing w:before="60" w:after="60"/>
              <w:jc w:val="right"/>
            </w:pPr>
            <w:r w:rsidRPr="00BE18F8">
              <w:t>(w mln EUR -ceny z 2018 r.)</w:t>
            </w:r>
          </w:p>
        </w:tc>
      </w:tr>
      <w:tr w:rsidR="00775D30" w:rsidRPr="00BE18F8" w:rsidTr="00803F72">
        <w:trPr>
          <w:trHeight w:val="20"/>
        </w:trPr>
        <w:tc>
          <w:tcPr>
            <w:tcW w:w="2065" w:type="pct"/>
            <w:tcBorders>
              <w:top w:val="single" w:sz="8" w:space="0" w:color="auto"/>
              <w:bottom w:val="single" w:sz="8" w:space="0" w:color="auto"/>
            </w:tcBorders>
            <w:noWrap/>
            <w:hideMark/>
          </w:tcPr>
          <w:p w:rsidR="00775D30" w:rsidRPr="00BE18F8" w:rsidRDefault="00775D30" w:rsidP="00803F72">
            <w:pPr>
              <w:spacing w:before="60" w:after="60"/>
              <w:jc w:val="center"/>
            </w:pPr>
          </w:p>
        </w:tc>
        <w:tc>
          <w:tcPr>
            <w:tcW w:w="1508" w:type="pct"/>
            <w:gridSpan w:val="2"/>
            <w:tcBorders>
              <w:top w:val="single" w:sz="4" w:space="0" w:color="auto"/>
              <w:bottom w:val="single" w:sz="8" w:space="0" w:color="auto"/>
            </w:tcBorders>
            <w:noWrap/>
            <w:hideMark/>
          </w:tcPr>
          <w:p w:rsidR="00775D30" w:rsidRPr="00BE18F8" w:rsidRDefault="00775D30" w:rsidP="00803F72">
            <w:pPr>
              <w:spacing w:before="60" w:after="60"/>
              <w:jc w:val="center"/>
            </w:pPr>
            <w:r w:rsidRPr="00BE18F8">
              <w:t>Klucz podziału</w:t>
            </w:r>
          </w:p>
        </w:tc>
        <w:tc>
          <w:tcPr>
            <w:tcW w:w="1428" w:type="pct"/>
            <w:tcBorders>
              <w:top w:val="single" w:sz="8" w:space="0" w:color="auto"/>
              <w:bottom w:val="single" w:sz="8" w:space="0" w:color="auto"/>
            </w:tcBorders>
            <w:hideMark/>
          </w:tcPr>
          <w:p w:rsidR="00775D30" w:rsidRPr="00BE18F8" w:rsidRDefault="00775D30" w:rsidP="00803F72">
            <w:pPr>
              <w:spacing w:before="60" w:after="60"/>
              <w:jc w:val="center"/>
            </w:pPr>
            <w:r w:rsidRPr="00BE18F8">
              <w:t>Łączna dodatkowa alokacja środków na zobowiązania na podstawie art. 5</w:t>
            </w:r>
          </w:p>
        </w:tc>
      </w:tr>
      <w:tr w:rsidR="00775D30" w:rsidRPr="00BE18F8" w:rsidTr="00803F72">
        <w:trPr>
          <w:trHeight w:val="20"/>
        </w:trPr>
        <w:tc>
          <w:tcPr>
            <w:tcW w:w="2065" w:type="pct"/>
            <w:tcBorders>
              <w:top w:val="single" w:sz="8" w:space="0" w:color="auto"/>
            </w:tcBorders>
            <w:noWrap/>
          </w:tcPr>
          <w:p w:rsidR="00775D30" w:rsidRPr="00BE18F8" w:rsidRDefault="00775D30" w:rsidP="00803F72">
            <w:pPr>
              <w:spacing w:before="60" w:after="60"/>
              <w:jc w:val="center"/>
            </w:pPr>
          </w:p>
        </w:tc>
        <w:tc>
          <w:tcPr>
            <w:tcW w:w="730" w:type="pct"/>
            <w:tcBorders>
              <w:top w:val="single" w:sz="8" w:space="0" w:color="auto"/>
            </w:tcBorders>
            <w:noWrap/>
          </w:tcPr>
          <w:p w:rsidR="00775D30" w:rsidRPr="00BE18F8" w:rsidRDefault="00775D30" w:rsidP="00803F72">
            <w:pPr>
              <w:spacing w:before="60" w:after="60"/>
              <w:jc w:val="center"/>
              <w:rPr>
                <w:b/>
              </w:rPr>
            </w:pPr>
            <w:r w:rsidRPr="00BE18F8">
              <w:rPr>
                <w:b/>
              </w:rPr>
              <w:t>2022-2024</w:t>
            </w:r>
          </w:p>
        </w:tc>
        <w:tc>
          <w:tcPr>
            <w:tcW w:w="778" w:type="pct"/>
            <w:tcBorders>
              <w:top w:val="single" w:sz="8" w:space="0" w:color="auto"/>
            </w:tcBorders>
          </w:tcPr>
          <w:p w:rsidR="00775D30" w:rsidRPr="00BE18F8" w:rsidRDefault="00775D30" w:rsidP="00803F72">
            <w:pPr>
              <w:spacing w:before="60" w:after="60"/>
              <w:jc w:val="center"/>
              <w:rPr>
                <w:b/>
              </w:rPr>
            </w:pPr>
            <w:r w:rsidRPr="00BE18F8">
              <w:rPr>
                <w:b/>
              </w:rPr>
              <w:t>2025-2027</w:t>
            </w:r>
          </w:p>
        </w:tc>
        <w:tc>
          <w:tcPr>
            <w:tcW w:w="1428" w:type="pct"/>
            <w:tcBorders>
              <w:top w:val="single" w:sz="8" w:space="0" w:color="auto"/>
            </w:tcBorders>
          </w:tcPr>
          <w:p w:rsidR="00775D30" w:rsidRPr="00BE18F8" w:rsidRDefault="00775D30" w:rsidP="00803F72">
            <w:pPr>
              <w:spacing w:before="60" w:after="60"/>
              <w:jc w:val="center"/>
            </w:pPr>
          </w:p>
        </w:tc>
      </w:tr>
      <w:tr w:rsidR="00775D30" w:rsidRPr="00BE18F8" w:rsidTr="00803F72">
        <w:trPr>
          <w:trHeight w:val="20"/>
        </w:trPr>
        <w:tc>
          <w:tcPr>
            <w:tcW w:w="2065" w:type="pct"/>
            <w:noWrap/>
            <w:hideMark/>
          </w:tcPr>
          <w:p w:rsidR="00775D30" w:rsidRPr="00BE18F8" w:rsidRDefault="00775D30" w:rsidP="00803F72">
            <w:pPr>
              <w:spacing w:before="60" w:after="60"/>
              <w:ind w:left="850" w:hanging="850"/>
              <w:rPr>
                <w:b/>
                <w:bCs/>
              </w:rPr>
            </w:pPr>
            <w:r w:rsidRPr="00BE18F8">
              <w:rPr>
                <w:b/>
                <w:bCs/>
              </w:rPr>
              <w:t>1.</w:t>
            </w:r>
            <w:r w:rsidRPr="00BE18F8">
              <w:rPr>
                <w:b/>
                <w:bCs/>
              </w:rPr>
              <w:tab/>
              <w:t xml:space="preserve">Jednolity rynek, innowacje i gospodarka cyfrowa </w:t>
            </w:r>
          </w:p>
        </w:tc>
        <w:tc>
          <w:tcPr>
            <w:tcW w:w="730" w:type="pct"/>
            <w:noWrap/>
            <w:hideMark/>
          </w:tcPr>
          <w:p w:rsidR="00775D30" w:rsidRPr="00BE18F8" w:rsidRDefault="00775D30" w:rsidP="00803F72">
            <w:pPr>
              <w:spacing w:before="60" w:after="60"/>
              <w:ind w:right="567"/>
              <w:jc w:val="right"/>
              <w:rPr>
                <w:b/>
              </w:rPr>
            </w:pPr>
            <w:r w:rsidRPr="00BE18F8">
              <w:rPr>
                <w:b/>
              </w:rPr>
              <w:t>36,36 %</w:t>
            </w:r>
          </w:p>
        </w:tc>
        <w:tc>
          <w:tcPr>
            <w:tcW w:w="778" w:type="pct"/>
          </w:tcPr>
          <w:p w:rsidR="00775D30" w:rsidRPr="00BE18F8" w:rsidRDefault="00775D30" w:rsidP="00803F72">
            <w:pPr>
              <w:spacing w:before="60" w:after="60"/>
              <w:ind w:right="567"/>
              <w:jc w:val="right"/>
              <w:rPr>
                <w:b/>
              </w:rPr>
            </w:pPr>
            <w:r w:rsidRPr="00BE18F8">
              <w:rPr>
                <w:b/>
              </w:rPr>
              <w:t>41,79 %</w:t>
            </w:r>
          </w:p>
        </w:tc>
        <w:tc>
          <w:tcPr>
            <w:tcW w:w="1428" w:type="pct"/>
            <w:noWrap/>
            <w:hideMark/>
          </w:tcPr>
          <w:p w:rsidR="00775D30" w:rsidRPr="00BE18F8" w:rsidRDefault="00775D30" w:rsidP="00803F72">
            <w:pPr>
              <w:spacing w:before="60" w:after="60"/>
              <w:ind w:right="1134"/>
              <w:jc w:val="right"/>
              <w:rPr>
                <w:b/>
              </w:rPr>
            </w:pPr>
            <w:r w:rsidRPr="00BE18F8">
              <w:rPr>
                <w:b/>
              </w:rPr>
              <w:t>4 000</w:t>
            </w:r>
          </w:p>
        </w:tc>
      </w:tr>
      <w:tr w:rsidR="00775D30" w:rsidRPr="00BE18F8" w:rsidTr="00803F72">
        <w:trPr>
          <w:trHeight w:val="20"/>
        </w:trPr>
        <w:tc>
          <w:tcPr>
            <w:tcW w:w="2065" w:type="pct"/>
            <w:noWrap/>
            <w:hideMark/>
          </w:tcPr>
          <w:p w:rsidR="00775D30" w:rsidRPr="00BE18F8" w:rsidRDefault="00775D30" w:rsidP="00803F72">
            <w:pPr>
              <w:spacing w:before="60" w:after="60"/>
              <w:ind w:left="850"/>
            </w:pPr>
            <w:r w:rsidRPr="00BE18F8">
              <w:t>Program „Horyzont Europa”</w:t>
            </w:r>
          </w:p>
        </w:tc>
        <w:tc>
          <w:tcPr>
            <w:tcW w:w="730" w:type="pct"/>
            <w:noWrap/>
            <w:hideMark/>
          </w:tcPr>
          <w:p w:rsidR="00775D30" w:rsidRPr="00BE18F8" w:rsidRDefault="00775D30" w:rsidP="00803F72">
            <w:pPr>
              <w:spacing w:before="60" w:after="60"/>
              <w:ind w:left="-156" w:right="567" w:firstLine="156"/>
              <w:jc w:val="right"/>
            </w:pPr>
            <w:r w:rsidRPr="00BE18F8">
              <w:t>27,27 %</w:t>
            </w:r>
          </w:p>
        </w:tc>
        <w:tc>
          <w:tcPr>
            <w:tcW w:w="778" w:type="pct"/>
          </w:tcPr>
          <w:p w:rsidR="00775D30" w:rsidRPr="00BE18F8" w:rsidRDefault="00775D30" w:rsidP="00803F72">
            <w:pPr>
              <w:spacing w:before="60" w:after="60"/>
              <w:ind w:right="567"/>
              <w:jc w:val="right"/>
            </w:pPr>
            <w:r w:rsidRPr="00BE18F8">
              <w:t>31</w:t>
            </w:r>
            <w:r w:rsidRPr="00BE18F8">
              <w:rPr>
                <w:bCs/>
              </w:rPr>
              <w:t>,</w:t>
            </w:r>
            <w:r w:rsidRPr="00BE18F8">
              <w:t>34 %</w:t>
            </w:r>
          </w:p>
        </w:tc>
        <w:tc>
          <w:tcPr>
            <w:tcW w:w="1428" w:type="pct"/>
            <w:noWrap/>
            <w:hideMark/>
          </w:tcPr>
          <w:p w:rsidR="00775D30" w:rsidRPr="00BE18F8" w:rsidRDefault="00775D30" w:rsidP="00803F72">
            <w:pPr>
              <w:spacing w:before="60" w:after="60"/>
              <w:ind w:right="1134"/>
              <w:jc w:val="right"/>
            </w:pPr>
            <w:r w:rsidRPr="00BE18F8">
              <w:t>3 000</w:t>
            </w:r>
          </w:p>
        </w:tc>
      </w:tr>
      <w:tr w:rsidR="00775D30" w:rsidRPr="00BE18F8" w:rsidTr="00803F72">
        <w:trPr>
          <w:trHeight w:val="20"/>
        </w:trPr>
        <w:tc>
          <w:tcPr>
            <w:tcW w:w="2065" w:type="pct"/>
            <w:noWrap/>
            <w:hideMark/>
          </w:tcPr>
          <w:p w:rsidR="00775D30" w:rsidRPr="00BE18F8" w:rsidRDefault="00775D30" w:rsidP="00803F72">
            <w:pPr>
              <w:spacing w:before="60" w:after="60"/>
              <w:ind w:left="850"/>
            </w:pPr>
            <w:r w:rsidRPr="00BE18F8">
              <w:t xml:space="preserve">Fundusz </w:t>
            </w:r>
            <w:proofErr w:type="spellStart"/>
            <w:r w:rsidRPr="00BE18F8">
              <w:t>InvestEU</w:t>
            </w:r>
            <w:proofErr w:type="spellEnd"/>
          </w:p>
        </w:tc>
        <w:tc>
          <w:tcPr>
            <w:tcW w:w="730" w:type="pct"/>
            <w:noWrap/>
            <w:hideMark/>
          </w:tcPr>
          <w:p w:rsidR="00775D30" w:rsidRPr="00BE18F8" w:rsidRDefault="00775D30" w:rsidP="00803F72">
            <w:pPr>
              <w:spacing w:before="60" w:after="60"/>
              <w:ind w:right="567"/>
              <w:jc w:val="right"/>
            </w:pPr>
            <w:r w:rsidRPr="00BE18F8">
              <w:t>9,09 %</w:t>
            </w:r>
          </w:p>
        </w:tc>
        <w:tc>
          <w:tcPr>
            <w:tcW w:w="778" w:type="pct"/>
          </w:tcPr>
          <w:p w:rsidR="00775D30" w:rsidRPr="00BE18F8" w:rsidRDefault="00775D30" w:rsidP="00803F72">
            <w:pPr>
              <w:spacing w:before="60" w:after="60"/>
              <w:ind w:right="567"/>
              <w:jc w:val="right"/>
            </w:pPr>
            <w:r w:rsidRPr="00BE18F8">
              <w:t>10</w:t>
            </w:r>
            <w:r w:rsidRPr="00BE18F8">
              <w:rPr>
                <w:bCs/>
              </w:rPr>
              <w:t>,</w:t>
            </w:r>
            <w:r w:rsidRPr="00BE18F8">
              <w:t>45 %</w:t>
            </w:r>
          </w:p>
        </w:tc>
        <w:tc>
          <w:tcPr>
            <w:tcW w:w="1428" w:type="pct"/>
            <w:noWrap/>
            <w:hideMark/>
          </w:tcPr>
          <w:p w:rsidR="00775D30" w:rsidRPr="00BE18F8" w:rsidRDefault="00775D30" w:rsidP="00803F72">
            <w:pPr>
              <w:spacing w:before="60" w:after="60"/>
              <w:ind w:right="1134"/>
              <w:jc w:val="right"/>
            </w:pPr>
            <w:r w:rsidRPr="00BE18F8">
              <w:t>1 000</w:t>
            </w:r>
          </w:p>
        </w:tc>
      </w:tr>
      <w:tr w:rsidR="00775D30" w:rsidRPr="00BE18F8" w:rsidTr="00803F72">
        <w:trPr>
          <w:trHeight w:val="20"/>
        </w:trPr>
        <w:tc>
          <w:tcPr>
            <w:tcW w:w="2065" w:type="pct"/>
            <w:noWrap/>
            <w:hideMark/>
          </w:tcPr>
          <w:p w:rsidR="00775D30" w:rsidRPr="00BE18F8" w:rsidRDefault="00775D30" w:rsidP="00803F72">
            <w:pPr>
              <w:spacing w:before="60" w:after="60"/>
              <w:ind w:left="850" w:hanging="850"/>
              <w:rPr>
                <w:b/>
                <w:bCs/>
              </w:rPr>
            </w:pPr>
            <w:r w:rsidRPr="00BE18F8">
              <w:rPr>
                <w:b/>
                <w:bCs/>
              </w:rPr>
              <w:t>2b.</w:t>
            </w:r>
            <w:r w:rsidRPr="00BE18F8">
              <w:rPr>
                <w:b/>
                <w:bCs/>
              </w:rPr>
              <w:tab/>
              <w:t>Odporność i wartości</w:t>
            </w:r>
          </w:p>
        </w:tc>
        <w:tc>
          <w:tcPr>
            <w:tcW w:w="730" w:type="pct"/>
            <w:noWrap/>
            <w:hideMark/>
          </w:tcPr>
          <w:p w:rsidR="00775D30" w:rsidRPr="00BE18F8" w:rsidRDefault="00775D30" w:rsidP="00803F72">
            <w:pPr>
              <w:spacing w:before="60" w:after="60"/>
              <w:ind w:right="567"/>
              <w:jc w:val="right"/>
              <w:rPr>
                <w:b/>
              </w:rPr>
            </w:pPr>
            <w:r w:rsidRPr="00BE18F8">
              <w:rPr>
                <w:b/>
              </w:rPr>
              <w:t>54,55 %</w:t>
            </w:r>
          </w:p>
        </w:tc>
        <w:tc>
          <w:tcPr>
            <w:tcW w:w="778" w:type="pct"/>
          </w:tcPr>
          <w:p w:rsidR="00775D30" w:rsidRPr="00BE18F8" w:rsidRDefault="00775D30" w:rsidP="00803F72">
            <w:pPr>
              <w:spacing w:before="60" w:after="60"/>
              <w:ind w:right="567"/>
              <w:jc w:val="right"/>
              <w:rPr>
                <w:b/>
              </w:rPr>
            </w:pPr>
            <w:r w:rsidRPr="00BE18F8">
              <w:rPr>
                <w:b/>
              </w:rPr>
              <w:t>47,76 %</w:t>
            </w:r>
          </w:p>
        </w:tc>
        <w:tc>
          <w:tcPr>
            <w:tcW w:w="1428" w:type="pct"/>
            <w:noWrap/>
            <w:hideMark/>
          </w:tcPr>
          <w:p w:rsidR="00775D30" w:rsidRPr="00BE18F8" w:rsidRDefault="00775D30" w:rsidP="00803F72">
            <w:pPr>
              <w:spacing w:before="60" w:after="60"/>
              <w:ind w:right="1134"/>
              <w:jc w:val="right"/>
              <w:rPr>
                <w:b/>
                <w:strike/>
              </w:rPr>
            </w:pPr>
            <w:r w:rsidRPr="00BE18F8">
              <w:rPr>
                <w:b/>
              </w:rPr>
              <w:t>5 155</w:t>
            </w:r>
          </w:p>
        </w:tc>
      </w:tr>
      <w:tr w:rsidR="00775D30" w:rsidRPr="00BE18F8" w:rsidTr="00803F72">
        <w:trPr>
          <w:trHeight w:val="20"/>
        </w:trPr>
        <w:tc>
          <w:tcPr>
            <w:tcW w:w="2065" w:type="pct"/>
            <w:noWrap/>
            <w:hideMark/>
          </w:tcPr>
          <w:p w:rsidR="00775D30" w:rsidRPr="00BE18F8" w:rsidRDefault="00775D30" w:rsidP="00803F72">
            <w:pPr>
              <w:spacing w:before="60" w:after="60"/>
              <w:ind w:left="850"/>
            </w:pPr>
            <w:r w:rsidRPr="00BE18F8">
              <w:t>Program UE dla zdrowia</w:t>
            </w:r>
          </w:p>
        </w:tc>
        <w:tc>
          <w:tcPr>
            <w:tcW w:w="730" w:type="pct"/>
            <w:noWrap/>
            <w:hideMark/>
          </w:tcPr>
          <w:p w:rsidR="00775D30" w:rsidRPr="00BE18F8" w:rsidRDefault="00775D30" w:rsidP="00803F72">
            <w:pPr>
              <w:spacing w:before="60" w:after="60"/>
              <w:ind w:right="567"/>
              <w:jc w:val="right"/>
            </w:pPr>
            <w:r w:rsidRPr="00BE18F8">
              <w:t>26,37 %</w:t>
            </w:r>
          </w:p>
        </w:tc>
        <w:tc>
          <w:tcPr>
            <w:tcW w:w="778" w:type="pct"/>
          </w:tcPr>
          <w:p w:rsidR="00775D30" w:rsidRPr="00BE18F8" w:rsidRDefault="00775D30" w:rsidP="00803F72">
            <w:pPr>
              <w:spacing w:before="60" w:after="60"/>
              <w:ind w:right="567"/>
              <w:jc w:val="right"/>
            </w:pPr>
            <w:r w:rsidRPr="00BE18F8">
              <w:t>15</w:t>
            </w:r>
            <w:r w:rsidRPr="00BE18F8">
              <w:rPr>
                <w:bCs/>
              </w:rPr>
              <w:t>,</w:t>
            </w:r>
            <w:r w:rsidRPr="00BE18F8">
              <w:t>37 %</w:t>
            </w:r>
          </w:p>
        </w:tc>
        <w:tc>
          <w:tcPr>
            <w:tcW w:w="1428" w:type="pct"/>
            <w:noWrap/>
            <w:hideMark/>
          </w:tcPr>
          <w:p w:rsidR="00775D30" w:rsidRPr="00BE18F8" w:rsidRDefault="00775D30" w:rsidP="00803F72">
            <w:pPr>
              <w:spacing w:before="60" w:after="60"/>
              <w:ind w:right="1134"/>
              <w:jc w:val="right"/>
              <w:rPr>
                <w:bCs/>
                <w:strike/>
              </w:rPr>
            </w:pPr>
            <w:r w:rsidRPr="00BE18F8">
              <w:rPr>
                <w:bCs/>
              </w:rPr>
              <w:t>2 055</w:t>
            </w:r>
          </w:p>
        </w:tc>
      </w:tr>
      <w:tr w:rsidR="00775D30" w:rsidRPr="00BE18F8" w:rsidTr="00803F72">
        <w:trPr>
          <w:trHeight w:val="20"/>
        </w:trPr>
        <w:tc>
          <w:tcPr>
            <w:tcW w:w="2065" w:type="pct"/>
            <w:noWrap/>
            <w:hideMark/>
          </w:tcPr>
          <w:p w:rsidR="00775D30" w:rsidRPr="00BE18F8" w:rsidRDefault="00775D30" w:rsidP="00803F72">
            <w:pPr>
              <w:spacing w:before="60" w:after="60"/>
              <w:ind w:left="850"/>
            </w:pPr>
            <w:r w:rsidRPr="00BE18F8">
              <w:t>Program „Erasmus+</w:t>
            </w:r>
          </w:p>
        </w:tc>
        <w:tc>
          <w:tcPr>
            <w:tcW w:w="730" w:type="pct"/>
            <w:noWrap/>
            <w:hideMark/>
          </w:tcPr>
          <w:p w:rsidR="00775D30" w:rsidRPr="00BE18F8" w:rsidRDefault="00775D30" w:rsidP="00803F72">
            <w:pPr>
              <w:spacing w:before="60" w:after="60"/>
              <w:ind w:right="567"/>
              <w:jc w:val="right"/>
            </w:pPr>
            <w:r w:rsidRPr="00BE18F8">
              <w:t>15,46 %</w:t>
            </w:r>
          </w:p>
        </w:tc>
        <w:tc>
          <w:tcPr>
            <w:tcW w:w="778" w:type="pct"/>
          </w:tcPr>
          <w:p w:rsidR="00775D30" w:rsidRPr="00BE18F8" w:rsidRDefault="00775D30" w:rsidP="00803F72">
            <w:pPr>
              <w:spacing w:before="60" w:after="60"/>
              <w:ind w:right="567"/>
              <w:jc w:val="right"/>
            </w:pPr>
            <w:r w:rsidRPr="00BE18F8">
              <w:t>17</w:t>
            </w:r>
            <w:r w:rsidRPr="00BE18F8">
              <w:rPr>
                <w:bCs/>
              </w:rPr>
              <w:t>,</w:t>
            </w:r>
            <w:r w:rsidRPr="00BE18F8">
              <w:t>77 %</w:t>
            </w:r>
          </w:p>
        </w:tc>
        <w:tc>
          <w:tcPr>
            <w:tcW w:w="1428" w:type="pct"/>
            <w:noWrap/>
            <w:hideMark/>
          </w:tcPr>
          <w:p w:rsidR="00775D30" w:rsidRPr="00BE18F8" w:rsidRDefault="00775D30" w:rsidP="00803F72">
            <w:pPr>
              <w:spacing w:before="60" w:after="60"/>
              <w:ind w:right="1134"/>
              <w:jc w:val="right"/>
            </w:pPr>
            <w:r w:rsidRPr="00BE18F8">
              <w:t>1 700</w:t>
            </w:r>
          </w:p>
        </w:tc>
      </w:tr>
      <w:tr w:rsidR="00775D30" w:rsidRPr="00BE18F8" w:rsidTr="00803F72">
        <w:trPr>
          <w:trHeight w:val="20"/>
        </w:trPr>
        <w:tc>
          <w:tcPr>
            <w:tcW w:w="2065" w:type="pct"/>
            <w:noWrap/>
            <w:hideMark/>
          </w:tcPr>
          <w:p w:rsidR="00775D30" w:rsidRPr="00BE18F8" w:rsidRDefault="00775D30" w:rsidP="00803F72">
            <w:pPr>
              <w:spacing w:before="60" w:after="60"/>
              <w:ind w:left="850"/>
            </w:pPr>
            <w:r w:rsidRPr="00BE18F8">
              <w:t>Kreatywna Europa</w:t>
            </w:r>
          </w:p>
        </w:tc>
        <w:tc>
          <w:tcPr>
            <w:tcW w:w="730" w:type="pct"/>
            <w:noWrap/>
            <w:hideMark/>
          </w:tcPr>
          <w:p w:rsidR="00775D30" w:rsidRPr="00BE18F8" w:rsidRDefault="00775D30" w:rsidP="00803F72">
            <w:pPr>
              <w:spacing w:before="60" w:after="60"/>
              <w:ind w:right="567"/>
              <w:jc w:val="right"/>
            </w:pPr>
            <w:r w:rsidRPr="00BE18F8">
              <w:t>5,45 %</w:t>
            </w:r>
          </w:p>
        </w:tc>
        <w:tc>
          <w:tcPr>
            <w:tcW w:w="778" w:type="pct"/>
          </w:tcPr>
          <w:p w:rsidR="00775D30" w:rsidRPr="00BE18F8" w:rsidRDefault="00775D30" w:rsidP="00803F72">
            <w:pPr>
              <w:spacing w:before="60" w:after="60"/>
              <w:ind w:right="567"/>
              <w:jc w:val="right"/>
            </w:pPr>
            <w:r w:rsidRPr="00BE18F8">
              <w:t>6</w:t>
            </w:r>
            <w:r w:rsidRPr="00BE18F8">
              <w:rPr>
                <w:bCs/>
              </w:rPr>
              <w:t>,</w:t>
            </w:r>
            <w:r w:rsidRPr="00BE18F8">
              <w:t>26 %</w:t>
            </w:r>
          </w:p>
        </w:tc>
        <w:tc>
          <w:tcPr>
            <w:tcW w:w="1428" w:type="pct"/>
            <w:noWrap/>
            <w:hideMark/>
          </w:tcPr>
          <w:p w:rsidR="00775D30" w:rsidRPr="00BE18F8" w:rsidRDefault="00775D30" w:rsidP="00803F72">
            <w:pPr>
              <w:spacing w:before="60" w:after="60"/>
              <w:ind w:right="1134"/>
              <w:jc w:val="right"/>
            </w:pPr>
            <w:r w:rsidRPr="00BE18F8">
              <w:t>600</w:t>
            </w:r>
          </w:p>
        </w:tc>
      </w:tr>
      <w:tr w:rsidR="00775D30" w:rsidRPr="00BE18F8" w:rsidTr="00803F72">
        <w:trPr>
          <w:trHeight w:val="20"/>
        </w:trPr>
        <w:tc>
          <w:tcPr>
            <w:tcW w:w="2065" w:type="pct"/>
            <w:noWrap/>
            <w:hideMark/>
          </w:tcPr>
          <w:p w:rsidR="00775D30" w:rsidRPr="00BE18F8" w:rsidRDefault="00775D30" w:rsidP="00803F72">
            <w:pPr>
              <w:spacing w:before="60" w:after="60"/>
              <w:ind w:left="850"/>
            </w:pPr>
            <w:r w:rsidRPr="00BE18F8">
              <w:t>Prawa i wartości</w:t>
            </w:r>
          </w:p>
        </w:tc>
        <w:tc>
          <w:tcPr>
            <w:tcW w:w="730" w:type="pct"/>
            <w:noWrap/>
            <w:hideMark/>
          </w:tcPr>
          <w:p w:rsidR="00775D30" w:rsidRPr="00BE18F8" w:rsidRDefault="00775D30" w:rsidP="00803F72">
            <w:pPr>
              <w:spacing w:before="60" w:after="60"/>
              <w:ind w:right="567"/>
              <w:jc w:val="right"/>
            </w:pPr>
            <w:r w:rsidRPr="00BE18F8">
              <w:t>7,27 %</w:t>
            </w:r>
          </w:p>
        </w:tc>
        <w:tc>
          <w:tcPr>
            <w:tcW w:w="778" w:type="pct"/>
          </w:tcPr>
          <w:p w:rsidR="00775D30" w:rsidRPr="00BE18F8" w:rsidRDefault="00775D30" w:rsidP="00803F72">
            <w:pPr>
              <w:spacing w:before="60" w:after="60"/>
              <w:ind w:right="567"/>
              <w:jc w:val="right"/>
              <w:rPr>
                <w:b/>
              </w:rPr>
            </w:pPr>
            <w:r w:rsidRPr="00BE18F8">
              <w:rPr>
                <w:b/>
              </w:rPr>
              <w:t>8,36 %</w:t>
            </w:r>
          </w:p>
        </w:tc>
        <w:tc>
          <w:tcPr>
            <w:tcW w:w="1428" w:type="pct"/>
            <w:noWrap/>
            <w:hideMark/>
          </w:tcPr>
          <w:p w:rsidR="00775D30" w:rsidRPr="00BE18F8" w:rsidRDefault="00775D30" w:rsidP="00803F72">
            <w:pPr>
              <w:spacing w:before="60" w:after="60"/>
              <w:ind w:right="1134"/>
              <w:jc w:val="right"/>
            </w:pPr>
            <w:r w:rsidRPr="00BE18F8">
              <w:t>800</w:t>
            </w:r>
          </w:p>
        </w:tc>
      </w:tr>
      <w:tr w:rsidR="00775D30" w:rsidRPr="00BE18F8" w:rsidTr="00803F72">
        <w:trPr>
          <w:trHeight w:val="20"/>
        </w:trPr>
        <w:tc>
          <w:tcPr>
            <w:tcW w:w="2065" w:type="pct"/>
            <w:noWrap/>
            <w:hideMark/>
          </w:tcPr>
          <w:p w:rsidR="00775D30" w:rsidRPr="00BE18F8" w:rsidRDefault="00775D30" w:rsidP="00803F72">
            <w:pPr>
              <w:spacing w:before="60" w:after="60"/>
              <w:ind w:left="850" w:hanging="850"/>
              <w:rPr>
                <w:b/>
                <w:bCs/>
              </w:rPr>
            </w:pPr>
            <w:r w:rsidRPr="00BE18F8">
              <w:rPr>
                <w:b/>
                <w:bCs/>
              </w:rPr>
              <w:t>4.</w:t>
            </w:r>
            <w:r w:rsidRPr="00BE18F8">
              <w:rPr>
                <w:b/>
                <w:bCs/>
              </w:rPr>
              <w:tab/>
              <w:t>Migracja i zarządzanie granicami</w:t>
            </w:r>
          </w:p>
        </w:tc>
        <w:tc>
          <w:tcPr>
            <w:tcW w:w="730" w:type="pct"/>
            <w:noWrap/>
            <w:hideMark/>
          </w:tcPr>
          <w:p w:rsidR="00775D30" w:rsidRPr="00BE18F8" w:rsidRDefault="00775D30" w:rsidP="00803F72">
            <w:pPr>
              <w:spacing w:before="60" w:after="60"/>
              <w:ind w:right="567"/>
              <w:jc w:val="right"/>
              <w:rPr>
                <w:b/>
              </w:rPr>
            </w:pPr>
            <w:r w:rsidRPr="00BE18F8">
              <w:rPr>
                <w:b/>
              </w:rPr>
              <w:t>9,09 %</w:t>
            </w:r>
          </w:p>
        </w:tc>
        <w:tc>
          <w:tcPr>
            <w:tcW w:w="778" w:type="pct"/>
          </w:tcPr>
          <w:p w:rsidR="00775D30" w:rsidRPr="00BE18F8" w:rsidRDefault="00775D30" w:rsidP="00803F72">
            <w:pPr>
              <w:spacing w:before="60" w:after="60"/>
              <w:ind w:right="567"/>
              <w:jc w:val="right"/>
              <w:rPr>
                <w:b/>
              </w:rPr>
            </w:pPr>
            <w:r w:rsidRPr="00BE18F8">
              <w:rPr>
                <w:b/>
              </w:rPr>
              <w:t>10,45 %</w:t>
            </w:r>
          </w:p>
        </w:tc>
        <w:tc>
          <w:tcPr>
            <w:tcW w:w="1428" w:type="pct"/>
            <w:noWrap/>
            <w:hideMark/>
          </w:tcPr>
          <w:p w:rsidR="00775D30" w:rsidRPr="00BE18F8" w:rsidRDefault="00775D30" w:rsidP="00803F72">
            <w:pPr>
              <w:spacing w:before="60" w:after="60"/>
              <w:ind w:right="1134"/>
              <w:jc w:val="right"/>
              <w:rPr>
                <w:b/>
              </w:rPr>
            </w:pPr>
            <w:r w:rsidRPr="00BE18F8">
              <w:rPr>
                <w:b/>
              </w:rPr>
              <w:t>1 000</w:t>
            </w:r>
          </w:p>
        </w:tc>
      </w:tr>
      <w:tr w:rsidR="00775D30" w:rsidRPr="00BE18F8" w:rsidTr="00803F72">
        <w:trPr>
          <w:trHeight w:val="20"/>
        </w:trPr>
        <w:tc>
          <w:tcPr>
            <w:tcW w:w="2065" w:type="pct"/>
            <w:noWrap/>
            <w:hideMark/>
          </w:tcPr>
          <w:p w:rsidR="00775D30" w:rsidRPr="00BE18F8" w:rsidRDefault="00775D30" w:rsidP="00803F72">
            <w:pPr>
              <w:spacing w:before="60" w:after="60"/>
              <w:ind w:left="850"/>
            </w:pPr>
            <w:r w:rsidRPr="00BE18F8">
              <w:t>Fundusz Zintegrowanego Zarządzania Granicami</w:t>
            </w:r>
          </w:p>
        </w:tc>
        <w:tc>
          <w:tcPr>
            <w:tcW w:w="730" w:type="pct"/>
            <w:noWrap/>
            <w:hideMark/>
          </w:tcPr>
          <w:p w:rsidR="00775D30" w:rsidRPr="00BE18F8" w:rsidRDefault="00775D30" w:rsidP="00803F72">
            <w:pPr>
              <w:spacing w:before="60" w:after="60"/>
              <w:ind w:right="567"/>
              <w:jc w:val="right"/>
            </w:pPr>
            <w:r w:rsidRPr="00BE18F8">
              <w:t>9,09 %</w:t>
            </w:r>
          </w:p>
        </w:tc>
        <w:tc>
          <w:tcPr>
            <w:tcW w:w="778" w:type="pct"/>
          </w:tcPr>
          <w:p w:rsidR="00775D30" w:rsidRPr="00BE18F8" w:rsidRDefault="00775D30" w:rsidP="00803F72">
            <w:pPr>
              <w:spacing w:before="60" w:after="60"/>
              <w:ind w:right="567"/>
              <w:jc w:val="right"/>
            </w:pPr>
            <w:r w:rsidRPr="00BE18F8">
              <w:t>10</w:t>
            </w:r>
            <w:r w:rsidRPr="00BE18F8">
              <w:rPr>
                <w:bCs/>
              </w:rPr>
              <w:t>,</w:t>
            </w:r>
            <w:r w:rsidRPr="00BE18F8">
              <w:t>45 %</w:t>
            </w:r>
          </w:p>
        </w:tc>
        <w:tc>
          <w:tcPr>
            <w:tcW w:w="1428" w:type="pct"/>
            <w:noWrap/>
            <w:hideMark/>
          </w:tcPr>
          <w:p w:rsidR="00775D30" w:rsidRPr="00BE18F8" w:rsidRDefault="00775D30" w:rsidP="00803F72">
            <w:pPr>
              <w:spacing w:before="60" w:after="60"/>
              <w:ind w:right="1134"/>
              <w:jc w:val="right"/>
            </w:pPr>
            <w:r w:rsidRPr="00BE18F8">
              <w:t>1 000</w:t>
            </w:r>
          </w:p>
        </w:tc>
      </w:tr>
      <w:tr w:rsidR="00775D30" w:rsidRPr="00BE18F8" w:rsidTr="00803F72">
        <w:trPr>
          <w:trHeight w:val="20"/>
        </w:trPr>
        <w:tc>
          <w:tcPr>
            <w:tcW w:w="2065" w:type="pct"/>
            <w:tcBorders>
              <w:bottom w:val="single" w:sz="4" w:space="0" w:color="auto"/>
            </w:tcBorders>
            <w:noWrap/>
            <w:hideMark/>
          </w:tcPr>
          <w:p w:rsidR="00775D30" w:rsidRPr="00BE18F8" w:rsidRDefault="00775D30" w:rsidP="00803F72">
            <w:pPr>
              <w:spacing w:before="60" w:after="60"/>
              <w:rPr>
                <w:b/>
              </w:rPr>
            </w:pPr>
            <w:r w:rsidRPr="00BE18F8">
              <w:rPr>
                <w:b/>
              </w:rPr>
              <w:t>OGÓŁEM</w:t>
            </w:r>
          </w:p>
        </w:tc>
        <w:tc>
          <w:tcPr>
            <w:tcW w:w="730" w:type="pct"/>
            <w:tcBorders>
              <w:bottom w:val="single" w:sz="4" w:space="0" w:color="auto"/>
            </w:tcBorders>
            <w:noWrap/>
            <w:hideMark/>
          </w:tcPr>
          <w:p w:rsidR="00775D30" w:rsidRPr="00BE18F8" w:rsidRDefault="00775D30" w:rsidP="00803F72">
            <w:pPr>
              <w:spacing w:before="60" w:after="60"/>
              <w:ind w:right="567"/>
              <w:jc w:val="right"/>
              <w:rPr>
                <w:b/>
              </w:rPr>
            </w:pPr>
            <w:r w:rsidRPr="00BE18F8">
              <w:rPr>
                <w:b/>
              </w:rPr>
              <w:t>100,00 %</w:t>
            </w:r>
          </w:p>
        </w:tc>
        <w:tc>
          <w:tcPr>
            <w:tcW w:w="778" w:type="pct"/>
            <w:tcBorders>
              <w:bottom w:val="single" w:sz="4" w:space="0" w:color="auto"/>
            </w:tcBorders>
          </w:tcPr>
          <w:p w:rsidR="00775D30" w:rsidRPr="00BE18F8" w:rsidRDefault="00775D30" w:rsidP="00803F72">
            <w:pPr>
              <w:spacing w:before="60" w:after="60"/>
              <w:ind w:right="567"/>
              <w:jc w:val="right"/>
              <w:rPr>
                <w:b/>
              </w:rPr>
            </w:pPr>
            <w:r w:rsidRPr="00BE18F8">
              <w:rPr>
                <w:b/>
              </w:rPr>
              <w:t>100,00 %</w:t>
            </w:r>
          </w:p>
        </w:tc>
        <w:tc>
          <w:tcPr>
            <w:tcW w:w="1428" w:type="pct"/>
            <w:tcBorders>
              <w:bottom w:val="single" w:sz="4" w:space="0" w:color="auto"/>
            </w:tcBorders>
            <w:noWrap/>
            <w:hideMark/>
          </w:tcPr>
          <w:p w:rsidR="00775D30" w:rsidRPr="00BE18F8" w:rsidRDefault="00775D30" w:rsidP="00803F72">
            <w:pPr>
              <w:spacing w:before="60" w:after="60"/>
              <w:ind w:right="1134"/>
              <w:jc w:val="right"/>
              <w:rPr>
                <w:b/>
                <w:strike/>
              </w:rPr>
            </w:pPr>
            <w:r w:rsidRPr="00BE18F8">
              <w:rPr>
                <w:b/>
              </w:rPr>
              <w:t>10 155</w:t>
            </w:r>
          </w:p>
        </w:tc>
      </w:tr>
    </w:tbl>
    <w:p w:rsidR="00775D30" w:rsidRPr="00BE18F8" w:rsidRDefault="00775D30" w:rsidP="00775D30">
      <w:pPr>
        <w:pStyle w:val="NormalRight"/>
      </w:pPr>
      <w:r w:rsidRPr="00BE18F8">
        <w:t>”.</w:t>
      </w:r>
    </w:p>
    <w:p w:rsidR="00775D30" w:rsidRPr="00BE18F8" w:rsidRDefault="00775D30" w:rsidP="00775D30">
      <w:pPr>
        <w:pStyle w:val="LignefinalLandscape"/>
      </w:pPr>
    </w:p>
    <w:p w:rsidR="00775D30" w:rsidRPr="00BE18F8" w:rsidRDefault="00775D30" w:rsidP="00775D30">
      <w:pPr>
        <w:spacing w:after="240"/>
      </w:pPr>
    </w:p>
    <w:p w:rsidR="00775D30" w:rsidRPr="00BE18F8" w:rsidRDefault="00775D30" w:rsidP="00775D30">
      <w:pPr>
        <w:sectPr w:rsidR="00775D30" w:rsidRPr="00BE18F8" w:rsidSect="00BE18F8">
          <w:headerReference w:type="even" r:id="rId15"/>
          <w:headerReference w:type="default" r:id="rId16"/>
          <w:headerReference w:type="first" r:id="rId17"/>
          <w:footerReference w:type="first" r:id="rId18"/>
          <w:footnotePr>
            <w:numRestart w:val="eachPage"/>
          </w:footnotePr>
          <w:endnotePr>
            <w:numFmt w:val="decimal"/>
          </w:endnotePr>
          <w:pgSz w:w="16838" w:h="11906" w:orient="landscape" w:code="9"/>
          <w:pgMar w:top="1418" w:right="1134" w:bottom="1418" w:left="1418" w:header="1134" w:footer="567" w:gutter="0"/>
          <w:cols w:space="720"/>
          <w:noEndnote/>
          <w:docGrid w:linePitch="326"/>
        </w:sectPr>
      </w:pPr>
    </w:p>
    <w:p w:rsidR="00775D30" w:rsidRPr="00BE18F8" w:rsidRDefault="00775D30" w:rsidP="00775D30">
      <w:pPr>
        <w:pStyle w:val="PageHeading"/>
        <w:rPr>
          <w:caps/>
        </w:rPr>
      </w:pPr>
      <w:bookmarkStart w:id="10" w:name="_Toc159578529"/>
      <w:r w:rsidRPr="00BE18F8">
        <w:lastRenderedPageBreak/>
        <w:t xml:space="preserve">ZAŁĄCZNIK 2: </w:t>
      </w:r>
      <w:r w:rsidRPr="00BE18F8">
        <w:rPr>
          <w:caps/>
        </w:rPr>
        <w:t>Wspólne oświadczenie Parlamentu Europejskiego, Rady i Komisji w sprawie ponownego wykorzystania umorzonych środków finansowych w związku z programem badawczym</w:t>
      </w:r>
      <w:bookmarkEnd w:id="10"/>
    </w:p>
    <w:p w:rsidR="00775D30" w:rsidRPr="00BE18F8" w:rsidRDefault="00775D30" w:rsidP="00775D30">
      <w:pPr>
        <w:pStyle w:val="NormalWeb"/>
        <w:shd w:val="clear" w:color="auto" w:fill="FFFFFF" w:themeFill="background1"/>
        <w:spacing w:before="0" w:beforeAutospacing="0" w:after="240" w:afterAutospacing="0"/>
        <w:jc w:val="both"/>
      </w:pPr>
      <w:r w:rsidRPr="00BE18F8">
        <w:t>We wspólnym oświadczeniu z dnia 22 grudnia 2020 r. w sprawie ponownego wykorzystania umorzonych środków finansowych w związku z programem badawczym</w:t>
      </w:r>
      <w:r w:rsidRPr="00BE18F8">
        <w:rPr>
          <w:rStyle w:val="FootnoteReference"/>
        </w:rPr>
        <w:footnoteReference w:id="12"/>
      </w:r>
      <w:r w:rsidRPr="00BE18F8">
        <w:t xml:space="preserve"> Parlament Europejski, Rada i Komisja uzgodniły ponowne udostępnienie na rzecz programu badawczego środków na zobowiązania odpowiadających kwocie umorzeń w wysokości do 0,5 mld EUR (w cenach z 2018 r.) w latach 2021–2027, wynikających z całkowitego lub częściowego niezrealizowania projektów objętych tym lub poprzednim programem, jak przewidziano w art. 15 ust. 3 rozporządzenia finansowego.</w:t>
      </w:r>
    </w:p>
    <w:p w:rsidR="00775D30" w:rsidRPr="00BE18F8" w:rsidRDefault="00775D30" w:rsidP="00775D30">
      <w:pPr>
        <w:pStyle w:val="NormalWeb"/>
        <w:shd w:val="clear" w:color="auto" w:fill="FFFFFF" w:themeFill="background1"/>
        <w:spacing w:before="0" w:beforeAutospacing="0" w:after="240" w:afterAutospacing="0"/>
        <w:jc w:val="both"/>
      </w:pPr>
      <w:r w:rsidRPr="00BE18F8">
        <w:t xml:space="preserve">Bez uszczerbku dla uprawnień władzy budżetowej w ramach rocznej procedury budżetowej oraz dla uprawnień Komisji w zakresie wykonania budżetu, Parlament Europejski, Rada i Komisja uzgadniają, że dodatkowe środki w wysokości 100 mln EUR (w cenach z 2018 r.) zostaną ponownie udostępnione na rzecz programu badawczego w latach 2025–2027; środki te odpowiadają kwocie umorzeń dokonanych w latach 2019–2020, które wynikają z całkowitego lub częściowego niezrealizowania projektów objętych tym lub poprzednim programem i których ponownie nie udostępniono na mocy art. 15 ust. 3 rozporządzenia finansowego w następstwie wspólnego oświadczenia z dnia 22 grudnia 2020 r. Nie ma to wpływu na dostępne kwoty umorzeń w odniesieniu do instrumentu EURI, o którym </w:t>
      </w:r>
      <w:proofErr w:type="gramStart"/>
      <w:r w:rsidRPr="00BE18F8">
        <w:t>mowa</w:t>
      </w:r>
      <w:proofErr w:type="gramEnd"/>
      <w:r w:rsidRPr="00BE18F8">
        <w:t xml:space="preserve"> w art. 10a rozporządzenia (UE, </w:t>
      </w:r>
      <w:proofErr w:type="spellStart"/>
      <w:r w:rsidRPr="00BE18F8">
        <w:t>Euratom</w:t>
      </w:r>
      <w:proofErr w:type="spellEnd"/>
      <w:r w:rsidRPr="00BE18F8">
        <w:t>) 2020/2093.</w:t>
      </w:r>
    </w:p>
    <w:p w:rsidR="00E365E1" w:rsidRPr="00BE18F8" w:rsidRDefault="00E365E1" w:rsidP="0073597E"/>
    <w:sectPr w:rsidR="00E365E1" w:rsidRPr="00BE18F8" w:rsidSect="00BE18F8">
      <w:headerReference w:type="even" r:id="rId19"/>
      <w:headerReference w:type="default" r:id="rId20"/>
      <w:footerReference w:type="even" r:id="rId21"/>
      <w:footerReference w:type="default" r:id="rId22"/>
      <w:headerReference w:type="first" r:id="rId23"/>
      <w:footerReference w:type="first" r:id="rId2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97E" w:rsidRPr="00BE18F8" w:rsidRDefault="0073597E">
      <w:r w:rsidRPr="00BE18F8">
        <w:separator/>
      </w:r>
    </w:p>
  </w:endnote>
  <w:endnote w:type="continuationSeparator" w:id="0">
    <w:p w:rsidR="0073597E" w:rsidRPr="00BE18F8" w:rsidRDefault="0073597E">
      <w:r w:rsidRPr="00BE18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D30" w:rsidRPr="00BE18F8" w:rsidRDefault="00775D30" w:rsidP="00C713F6">
    <w:pPr>
      <w:pStyle w:val="EPFooter"/>
    </w:pPr>
    <w:r w:rsidRPr="00BE18F8">
      <w:t>PE</w:t>
    </w:r>
    <w:r w:rsidRPr="00BE18F8">
      <w:rPr>
        <w:rStyle w:val="HideTWBExt"/>
      </w:rPr>
      <w:t>&lt;NoPE&gt;</w:t>
    </w:r>
    <w:r w:rsidRPr="00BE18F8">
      <w:t>758.992</w:t>
    </w:r>
    <w:r w:rsidRPr="00BE18F8">
      <w:rPr>
        <w:rStyle w:val="HideTWBExt"/>
      </w:rPr>
      <w:t>&lt;/NoPE&gt;&lt;Version&gt;</w:t>
    </w:r>
    <w:r w:rsidRPr="00BE18F8">
      <w:t>v02-00</w:t>
    </w:r>
    <w:r w:rsidRPr="00BE18F8">
      <w:rPr>
        <w:rStyle w:val="HideTWBExt"/>
      </w:rPr>
      <w:t>&lt;/Version&gt;</w:t>
    </w:r>
    <w:r w:rsidRPr="00BE18F8">
      <w:tab/>
    </w:r>
    <w:r w:rsidRPr="00BE18F8">
      <w:fldChar w:fldCharType="begin"/>
    </w:r>
    <w:r w:rsidRPr="00BE18F8">
      <w:instrText xml:space="preserve"> PAGE  \* MERGEFORMAT </w:instrText>
    </w:r>
    <w:r w:rsidRPr="00BE18F8">
      <w:fldChar w:fldCharType="separate"/>
    </w:r>
    <w:r w:rsidRPr="00BE18F8">
      <w:rPr>
        <w:noProof/>
      </w:rPr>
      <w:t>24</w:t>
    </w:r>
    <w:r w:rsidRPr="00BE18F8">
      <w:fldChar w:fldCharType="end"/>
    </w:r>
    <w:r w:rsidRPr="00BE18F8">
      <w:t>/</w:t>
    </w:r>
    <w:fldSimple w:instr=" NUMPAGES  \* MERGEFORMAT ">
      <w:r w:rsidRPr="00BE18F8">
        <w:rPr>
          <w:noProof/>
        </w:rPr>
        <w:t>24</w:t>
      </w:r>
    </w:fldSimple>
    <w:r w:rsidRPr="00BE18F8">
      <w:tab/>
    </w:r>
    <w:r w:rsidRPr="00BE18F8">
      <w:rPr>
        <w:rStyle w:val="HideTWBExt"/>
      </w:rPr>
      <w:t>&lt;PathFdR&gt;</w:t>
    </w:r>
    <w:r w:rsidRPr="00BE18F8">
      <w:t>RR\1297557PL.docx</w:t>
    </w:r>
    <w:r w:rsidRPr="00BE18F8">
      <w:rPr>
        <w:rStyle w:val="HideTWBExt"/>
      </w:rPr>
      <w:t>&lt;/PathFdR&gt;</w:t>
    </w:r>
  </w:p>
  <w:p w:rsidR="00775D30" w:rsidRPr="00BE18F8" w:rsidRDefault="00775D30" w:rsidP="00C713F6">
    <w:pPr>
      <w:pStyle w:val="EPFooter2"/>
    </w:pPr>
    <w:r w:rsidRPr="00BE18F8">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D30" w:rsidRPr="00BE18F8" w:rsidRDefault="00775D30" w:rsidP="00C713F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D30" w:rsidRPr="00BE18F8" w:rsidRDefault="00775D30" w:rsidP="00C713F6">
    <w:pPr>
      <w:pStyle w:val="EPFooter"/>
    </w:pPr>
    <w:r w:rsidRPr="00BE18F8">
      <w:rPr>
        <w:rStyle w:val="HideTWBExt"/>
      </w:rPr>
      <w:t>&lt;PathFdR&gt;</w:t>
    </w:r>
    <w:r w:rsidRPr="00BE18F8">
      <w:t>RR\1297557PL.docx</w:t>
    </w:r>
    <w:r w:rsidRPr="00BE18F8">
      <w:rPr>
        <w:rStyle w:val="HideTWBExt"/>
      </w:rPr>
      <w:t>&lt;/PathFdR&gt;</w:t>
    </w:r>
    <w:r w:rsidRPr="00BE18F8">
      <w:tab/>
    </w:r>
    <w:r w:rsidRPr="00BE18F8">
      <w:tab/>
      <w:t>PE</w:t>
    </w:r>
    <w:r w:rsidRPr="00BE18F8">
      <w:rPr>
        <w:rStyle w:val="HideTWBExt"/>
      </w:rPr>
      <w:t>&lt;NoPE&gt;</w:t>
    </w:r>
    <w:r w:rsidRPr="00BE18F8">
      <w:t>758.992</w:t>
    </w:r>
    <w:r w:rsidRPr="00BE18F8">
      <w:rPr>
        <w:rStyle w:val="HideTWBExt"/>
      </w:rPr>
      <w:t>&lt;/NoPE&gt;&lt;Version&gt;</w:t>
    </w:r>
    <w:r w:rsidRPr="00BE18F8">
      <w:t>v02-00</w:t>
    </w:r>
    <w:r w:rsidRPr="00BE18F8">
      <w:rPr>
        <w:rStyle w:val="HideTWBExt"/>
      </w:rPr>
      <w:t>&lt;/Version&gt;</w:t>
    </w:r>
  </w:p>
  <w:p w:rsidR="00775D30" w:rsidRPr="00BE18F8" w:rsidRDefault="00775D30" w:rsidP="00C713F6">
    <w:pPr>
      <w:pStyle w:val="EPFooter2"/>
    </w:pPr>
    <w:r w:rsidRPr="00BE18F8">
      <w:t>PL</w:t>
    </w:r>
    <w:r w:rsidRPr="00BE18F8">
      <w:tab/>
    </w:r>
    <w:r w:rsidRPr="00BE18F8">
      <w:rPr>
        <w:b w:val="0"/>
        <w:i/>
        <w:color w:val="C0C0C0"/>
        <w:sz w:val="22"/>
      </w:rPr>
      <w:t>Zjednoczona w różnorodności</w:t>
    </w:r>
    <w:r w:rsidRPr="00BE18F8">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D30" w:rsidRPr="00BE18F8" w:rsidRDefault="00775D30" w:rsidP="00FA76F5">
    <w:pPr>
      <w:pStyle w:val="EPFooter"/>
    </w:pPr>
    <w:r w:rsidRPr="00BE18F8">
      <w:rPr>
        <w:rStyle w:val="HideTWBExt"/>
      </w:rPr>
      <w:t>&lt;PathFdR&gt;</w:t>
    </w:r>
    <w:r w:rsidRPr="00BE18F8">
      <w:t>RR\1297557PL.docx</w:t>
    </w:r>
    <w:r w:rsidRPr="00BE18F8">
      <w:rPr>
        <w:rStyle w:val="HideTWBExt"/>
      </w:rPr>
      <w:t>&lt;/PathFdR&gt;</w:t>
    </w:r>
    <w:r w:rsidRPr="00BE18F8">
      <w:tab/>
    </w:r>
    <w:r w:rsidRPr="00BE18F8">
      <w:tab/>
      <w:t>PE</w:t>
    </w:r>
    <w:r w:rsidRPr="00BE18F8">
      <w:rPr>
        <w:rStyle w:val="HideTWBExt"/>
      </w:rPr>
      <w:t>&lt;NoPE&gt;</w:t>
    </w:r>
    <w:r w:rsidRPr="00BE18F8">
      <w:t>758.992</w:t>
    </w:r>
    <w:r w:rsidRPr="00BE18F8">
      <w:rPr>
        <w:rStyle w:val="HideTWBExt"/>
      </w:rPr>
      <w:t>&lt;/NoPE&gt;&lt;Version&gt;</w:t>
    </w:r>
    <w:r w:rsidRPr="00BE18F8">
      <w:t>v02-00</w:t>
    </w:r>
    <w:r w:rsidRPr="00BE18F8">
      <w:rPr>
        <w:rStyle w:val="HideTWBExt"/>
      </w:rPr>
      <w:t>&lt;/Version&gt;</w:t>
    </w:r>
  </w:p>
  <w:p w:rsidR="00775D30" w:rsidRPr="00BE18F8" w:rsidRDefault="00775D30" w:rsidP="00FA76F5">
    <w:pPr>
      <w:pStyle w:val="EPFooter2"/>
    </w:pPr>
    <w:r w:rsidRPr="00BE18F8">
      <w:t>XT</w:t>
    </w:r>
    <w:r w:rsidRPr="00BE18F8">
      <w:tab/>
    </w:r>
    <w:r w:rsidRPr="00BE18F8">
      <w:rPr>
        <w:b w:val="0"/>
        <w:i/>
        <w:color w:val="C0C0C0"/>
        <w:sz w:val="22"/>
      </w:rPr>
      <w:t xml:space="preserve">United in </w:t>
    </w:r>
    <w:proofErr w:type="spellStart"/>
    <w:r w:rsidRPr="00BE18F8">
      <w:rPr>
        <w:b w:val="0"/>
        <w:i/>
        <w:color w:val="C0C0C0"/>
        <w:sz w:val="22"/>
      </w:rPr>
      <w:t>diversity</w:t>
    </w:r>
    <w:proofErr w:type="spellEnd"/>
    <w:r w:rsidRPr="00BE18F8">
      <w:tab/>
      <w:t>XT</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18F8"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18F8" w:rsidRDefault="00064002"/>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18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97E" w:rsidRPr="00BE18F8" w:rsidRDefault="0073597E">
      <w:r w:rsidRPr="00BE18F8">
        <w:separator/>
      </w:r>
    </w:p>
  </w:footnote>
  <w:footnote w:type="continuationSeparator" w:id="0">
    <w:p w:rsidR="0073597E" w:rsidRPr="00BE18F8" w:rsidRDefault="0073597E">
      <w:r w:rsidRPr="00BE18F8">
        <w:continuationSeparator/>
      </w:r>
    </w:p>
  </w:footnote>
  <w:footnote w:id="1">
    <w:p w:rsidR="00775D30" w:rsidRPr="00BE18F8" w:rsidRDefault="00775D30" w:rsidP="00BE18F8">
      <w:pPr>
        <w:pStyle w:val="FootnoteText"/>
        <w:ind w:left="567" w:hanging="567"/>
        <w:rPr>
          <w:sz w:val="24"/>
          <w:lang w:val="pl-PL"/>
        </w:rPr>
      </w:pPr>
      <w:r w:rsidRPr="00BE18F8">
        <w:rPr>
          <w:rStyle w:val="FootnoteReference"/>
          <w:sz w:val="24"/>
          <w:lang w:val="pl-PL"/>
        </w:rPr>
        <w:footnoteRef/>
      </w:r>
      <w:r w:rsidR="00BE18F8" w:rsidRPr="00BE18F8">
        <w:rPr>
          <w:sz w:val="24"/>
          <w:lang w:val="pl-PL"/>
        </w:rPr>
        <w:t xml:space="preserve"> </w:t>
      </w:r>
      <w:r w:rsidR="00BE18F8" w:rsidRPr="00BE18F8">
        <w:rPr>
          <w:sz w:val="24"/>
          <w:lang w:val="pl-PL"/>
        </w:rPr>
        <w:tab/>
      </w:r>
      <w:r w:rsidRPr="00BE18F8">
        <w:rPr>
          <w:sz w:val="24"/>
          <w:lang w:val="pl-PL"/>
        </w:rPr>
        <w:t>Teksty przyjęte, P9_TA(2023)0335.</w:t>
      </w:r>
    </w:p>
  </w:footnote>
  <w:footnote w:id="2">
    <w:p w:rsidR="00775D30" w:rsidRPr="00BE18F8" w:rsidRDefault="00775D30" w:rsidP="00BE18F8">
      <w:pPr>
        <w:pStyle w:val="FootnoteText"/>
        <w:ind w:left="567" w:hanging="567"/>
        <w:rPr>
          <w:sz w:val="24"/>
          <w:lang w:val="pl-PL"/>
        </w:rPr>
      </w:pPr>
      <w:r w:rsidRPr="00BE18F8">
        <w:rPr>
          <w:rStyle w:val="FootnoteReference"/>
          <w:sz w:val="24"/>
          <w:lang w:val="pl-PL"/>
        </w:rPr>
        <w:footnoteRef/>
      </w:r>
      <w:r w:rsidR="00BE18F8" w:rsidRPr="00BE18F8">
        <w:rPr>
          <w:sz w:val="24"/>
          <w:lang w:val="pl-PL"/>
        </w:rPr>
        <w:t xml:space="preserve"> </w:t>
      </w:r>
      <w:r w:rsidR="00BE18F8" w:rsidRPr="00BE18F8">
        <w:rPr>
          <w:sz w:val="24"/>
          <w:lang w:val="pl-PL"/>
        </w:rPr>
        <w:tab/>
      </w:r>
      <w:r w:rsidRPr="00BE18F8">
        <w:rPr>
          <w:sz w:val="24"/>
          <w:lang w:val="pl-PL"/>
        </w:rPr>
        <w:t>Zgoda z dnia 27 lutego 2024 r. (dotychczas nieopublikowana w Dzienniku Urzędowym).</w:t>
      </w:r>
    </w:p>
  </w:footnote>
  <w:footnote w:id="3">
    <w:p w:rsidR="00775D30" w:rsidRPr="00BE18F8" w:rsidRDefault="00775D30" w:rsidP="00BE18F8">
      <w:pPr>
        <w:pStyle w:val="FootnoteText"/>
        <w:ind w:left="567" w:hanging="567"/>
        <w:rPr>
          <w:sz w:val="24"/>
          <w:lang w:val="pl-PL"/>
        </w:rPr>
      </w:pPr>
      <w:r w:rsidRPr="00BE18F8">
        <w:rPr>
          <w:rStyle w:val="FootnoteReference"/>
          <w:sz w:val="24"/>
          <w:lang w:val="pl-PL"/>
        </w:rPr>
        <w:footnoteRef/>
      </w:r>
      <w:r w:rsidR="00BE18F8" w:rsidRPr="00BE18F8">
        <w:rPr>
          <w:sz w:val="24"/>
          <w:lang w:val="pl-PL"/>
        </w:rPr>
        <w:t xml:space="preserve"> </w:t>
      </w:r>
      <w:r w:rsidR="00BE18F8" w:rsidRPr="00BE18F8">
        <w:rPr>
          <w:sz w:val="24"/>
          <w:lang w:val="pl-PL"/>
        </w:rPr>
        <w:tab/>
      </w:r>
      <w:r w:rsidRPr="00BE18F8">
        <w:rPr>
          <w:sz w:val="24"/>
          <w:lang w:val="pl-PL"/>
        </w:rPr>
        <w:t xml:space="preserve">Rozporządzenie Rady (UE, </w:t>
      </w:r>
      <w:proofErr w:type="spellStart"/>
      <w:r w:rsidRPr="00BE18F8">
        <w:rPr>
          <w:sz w:val="24"/>
          <w:lang w:val="pl-PL"/>
        </w:rPr>
        <w:t>Euratom</w:t>
      </w:r>
      <w:proofErr w:type="spellEnd"/>
      <w:r w:rsidRPr="00BE18F8">
        <w:rPr>
          <w:sz w:val="24"/>
          <w:lang w:val="pl-PL"/>
        </w:rPr>
        <w:t xml:space="preserve">) 2020/2093 z dnia 17 grudnia 2020 r. określające wieloletnie ramy finansowe na lata 2021–2027 (Dz.U. </w:t>
      </w:r>
      <w:r w:rsidRPr="00BE18F8">
        <w:rPr>
          <w:sz w:val="24"/>
          <w:lang w:val="pl-PL"/>
        </w:rPr>
        <w:t>L 433</w:t>
      </w:r>
      <w:r w:rsidR="0020322A">
        <w:rPr>
          <w:sz w:val="24"/>
          <w:lang w:val="pl-PL"/>
        </w:rPr>
        <w:t xml:space="preserve"> </w:t>
      </w:r>
      <w:bookmarkStart w:id="9" w:name="_GoBack"/>
      <w:bookmarkEnd w:id="9"/>
      <w:r w:rsidRPr="00BE18F8">
        <w:rPr>
          <w:sz w:val="24"/>
          <w:lang w:val="pl-PL"/>
        </w:rPr>
        <w:t>I z 22.12.2020, s. 11).</w:t>
      </w:r>
    </w:p>
  </w:footnote>
  <w:footnote w:id="4">
    <w:p w:rsidR="00775D30" w:rsidRPr="00BE18F8" w:rsidRDefault="00775D30" w:rsidP="00BE18F8">
      <w:pPr>
        <w:pStyle w:val="FootnoteText"/>
        <w:ind w:left="567" w:hanging="567"/>
        <w:rPr>
          <w:sz w:val="24"/>
          <w:lang w:val="pl-PL"/>
        </w:rPr>
      </w:pPr>
      <w:r w:rsidRPr="00BE18F8">
        <w:rPr>
          <w:rStyle w:val="FootnoteReference"/>
          <w:sz w:val="24"/>
          <w:lang w:val="pl-PL"/>
        </w:rPr>
        <w:footnoteRef/>
      </w:r>
      <w:r w:rsidR="00BE18F8" w:rsidRPr="00BE18F8">
        <w:rPr>
          <w:sz w:val="24"/>
          <w:lang w:val="pl-PL"/>
        </w:rPr>
        <w:t xml:space="preserve"> </w:t>
      </w:r>
      <w:r w:rsidR="00BE18F8" w:rsidRPr="00BE18F8">
        <w:rPr>
          <w:sz w:val="24"/>
          <w:lang w:val="pl-PL"/>
        </w:rPr>
        <w:tab/>
      </w:r>
      <w:r w:rsidRPr="00BE18F8">
        <w:rPr>
          <w:sz w:val="24"/>
          <w:lang w:val="pl-PL"/>
        </w:rPr>
        <w:t xml:space="preserve">Rozporządzenie Parlamentu Europejskiego i Rady (UE) 2024/... </w:t>
      </w:r>
      <w:proofErr w:type="gramStart"/>
      <w:r w:rsidRPr="00BE18F8">
        <w:rPr>
          <w:sz w:val="24"/>
          <w:lang w:val="pl-PL"/>
        </w:rPr>
        <w:t>w</w:t>
      </w:r>
      <w:proofErr w:type="gramEnd"/>
      <w:r w:rsidRPr="00BE18F8">
        <w:rPr>
          <w:sz w:val="24"/>
          <w:lang w:val="pl-PL"/>
        </w:rPr>
        <w:t> sprawie ustanowienia Instrumentu na rzecz Ukrainy (Dz. U. L … z ..., ELI ...).</w:t>
      </w:r>
    </w:p>
  </w:footnote>
  <w:footnote w:id="5">
    <w:p w:rsidR="00775D30" w:rsidRPr="00BE18F8" w:rsidRDefault="00775D30" w:rsidP="00BE18F8">
      <w:pPr>
        <w:pStyle w:val="FootnoteText"/>
        <w:ind w:left="567" w:hanging="567"/>
        <w:rPr>
          <w:spacing w:val="2"/>
          <w:sz w:val="24"/>
          <w:lang w:val="pl-PL"/>
        </w:rPr>
      </w:pPr>
      <w:r w:rsidRPr="00BE18F8">
        <w:rPr>
          <w:rStyle w:val="FootnoteReference"/>
          <w:sz w:val="24"/>
          <w:lang w:val="pl-PL"/>
        </w:rPr>
        <w:t>+</w:t>
      </w:r>
      <w:r w:rsidR="00BE18F8" w:rsidRPr="00BE18F8">
        <w:rPr>
          <w:sz w:val="24"/>
          <w:lang w:val="pl-PL"/>
        </w:rPr>
        <w:t xml:space="preserve"> </w:t>
      </w:r>
      <w:r w:rsidR="00BE18F8" w:rsidRPr="00BE18F8">
        <w:rPr>
          <w:sz w:val="24"/>
          <w:lang w:val="pl-PL"/>
        </w:rPr>
        <w:tab/>
      </w:r>
      <w:r w:rsidRPr="00BE18F8">
        <w:rPr>
          <w:spacing w:val="10"/>
          <w:sz w:val="24"/>
          <w:lang w:val="pl-PL"/>
        </w:rPr>
        <w:t xml:space="preserve">Dz.U. </w:t>
      </w:r>
      <w:proofErr w:type="gramStart"/>
      <w:r w:rsidRPr="00BE18F8">
        <w:rPr>
          <w:spacing w:val="10"/>
          <w:sz w:val="24"/>
          <w:lang w:val="pl-PL"/>
        </w:rPr>
        <w:t>proszę</w:t>
      </w:r>
      <w:proofErr w:type="gramEnd"/>
      <w:r w:rsidRPr="00BE18F8">
        <w:rPr>
          <w:spacing w:val="10"/>
          <w:sz w:val="24"/>
          <w:lang w:val="pl-PL"/>
        </w:rPr>
        <w:t xml:space="preserve"> wstawić w tekście numer rozporządzenia zawartego w dokumencie </w:t>
      </w:r>
      <w:r w:rsidRPr="00BE18F8">
        <w:rPr>
          <w:spacing w:val="2"/>
          <w:sz w:val="24"/>
          <w:lang w:val="pl-PL"/>
        </w:rPr>
        <w:t>PE-CONS 10</w:t>
      </w:r>
      <w:r w:rsidRPr="00BE18F8" w:rsidDel="00E64F2C">
        <w:rPr>
          <w:spacing w:val="2"/>
          <w:sz w:val="24"/>
          <w:lang w:val="pl-PL"/>
        </w:rPr>
        <w:t xml:space="preserve"> </w:t>
      </w:r>
      <w:r w:rsidRPr="00BE18F8">
        <w:rPr>
          <w:spacing w:val="2"/>
          <w:sz w:val="24"/>
          <w:lang w:val="pl-PL"/>
        </w:rPr>
        <w:t>/24 (2023/0200(COD)) oraz podać w przypisie numer, datę i odniesienie do publikacji tego rozporządzenia w Dz.U.</w:t>
      </w:r>
    </w:p>
  </w:footnote>
  <w:footnote w:id="6">
    <w:p w:rsidR="00775D30" w:rsidRPr="00BE18F8" w:rsidRDefault="00775D30" w:rsidP="00BE18F8">
      <w:pPr>
        <w:pStyle w:val="FootnoteText"/>
        <w:ind w:left="567" w:hanging="567"/>
        <w:rPr>
          <w:spacing w:val="2"/>
          <w:sz w:val="24"/>
          <w:lang w:val="pl-PL"/>
        </w:rPr>
      </w:pPr>
      <w:r w:rsidRPr="00BE18F8">
        <w:rPr>
          <w:rStyle w:val="FootnoteReference"/>
          <w:sz w:val="24"/>
          <w:lang w:val="pl-PL"/>
        </w:rPr>
        <w:t>+</w:t>
      </w:r>
      <w:r w:rsidR="00BE18F8" w:rsidRPr="00BE18F8">
        <w:rPr>
          <w:sz w:val="24"/>
          <w:lang w:val="pl-PL"/>
        </w:rPr>
        <w:t xml:space="preserve"> </w:t>
      </w:r>
      <w:r w:rsidR="00BE18F8" w:rsidRPr="00BE18F8">
        <w:rPr>
          <w:sz w:val="24"/>
          <w:lang w:val="pl-PL"/>
        </w:rPr>
        <w:tab/>
      </w:r>
      <w:r w:rsidRPr="00BE18F8">
        <w:rPr>
          <w:spacing w:val="10"/>
          <w:sz w:val="24"/>
          <w:lang w:val="pl-PL"/>
        </w:rPr>
        <w:t xml:space="preserve">Dz.U. </w:t>
      </w:r>
      <w:proofErr w:type="gramStart"/>
      <w:r w:rsidRPr="00BE18F8">
        <w:rPr>
          <w:spacing w:val="10"/>
          <w:sz w:val="24"/>
          <w:lang w:val="pl-PL"/>
        </w:rPr>
        <w:t>proszę</w:t>
      </w:r>
      <w:proofErr w:type="gramEnd"/>
      <w:r w:rsidRPr="00BE18F8">
        <w:rPr>
          <w:spacing w:val="10"/>
          <w:sz w:val="24"/>
          <w:lang w:val="pl-PL"/>
        </w:rPr>
        <w:t xml:space="preserve"> wstawić w tekście numer rozporządzenia zawartego w dokumencie </w:t>
      </w:r>
      <w:r w:rsidRPr="00BE18F8">
        <w:rPr>
          <w:spacing w:val="2"/>
          <w:sz w:val="24"/>
          <w:lang w:val="pl-PL"/>
        </w:rPr>
        <w:t>PE-CONS 10/24 (2023/0200(COD)).</w:t>
      </w:r>
    </w:p>
  </w:footnote>
  <w:footnote w:id="7">
    <w:p w:rsidR="00775D30" w:rsidRPr="00BE18F8" w:rsidRDefault="00775D30" w:rsidP="00BE18F8">
      <w:pPr>
        <w:pStyle w:val="FootnoteText"/>
        <w:ind w:left="567" w:hanging="567"/>
        <w:rPr>
          <w:spacing w:val="2"/>
          <w:sz w:val="24"/>
          <w:lang w:val="pl-PL"/>
        </w:rPr>
      </w:pPr>
      <w:r w:rsidRPr="00BE18F8">
        <w:rPr>
          <w:rStyle w:val="FootnoteReference"/>
          <w:sz w:val="24"/>
          <w:lang w:val="pl-PL"/>
        </w:rPr>
        <w:t>+</w:t>
      </w:r>
      <w:r w:rsidR="00BE18F8" w:rsidRPr="00BE18F8">
        <w:rPr>
          <w:sz w:val="24"/>
          <w:lang w:val="pl-PL"/>
        </w:rPr>
        <w:t xml:space="preserve"> </w:t>
      </w:r>
      <w:r w:rsidR="00BE18F8" w:rsidRPr="00BE18F8">
        <w:rPr>
          <w:sz w:val="24"/>
          <w:lang w:val="pl-PL"/>
        </w:rPr>
        <w:tab/>
      </w:r>
      <w:r w:rsidRPr="00BE18F8">
        <w:rPr>
          <w:spacing w:val="10"/>
          <w:sz w:val="24"/>
          <w:lang w:val="pl-PL"/>
        </w:rPr>
        <w:t xml:space="preserve">Dz.U. </w:t>
      </w:r>
      <w:proofErr w:type="gramStart"/>
      <w:r w:rsidRPr="00BE18F8">
        <w:rPr>
          <w:spacing w:val="10"/>
          <w:sz w:val="24"/>
          <w:lang w:val="pl-PL"/>
        </w:rPr>
        <w:t>proszę</w:t>
      </w:r>
      <w:proofErr w:type="gramEnd"/>
      <w:r w:rsidRPr="00BE18F8">
        <w:rPr>
          <w:spacing w:val="10"/>
          <w:sz w:val="24"/>
          <w:lang w:val="pl-PL"/>
        </w:rPr>
        <w:t xml:space="preserve"> wstawić w tekście numer rozporządzenia zawartego w dokumencie </w:t>
      </w:r>
      <w:r w:rsidRPr="00BE18F8">
        <w:rPr>
          <w:spacing w:val="2"/>
          <w:sz w:val="24"/>
          <w:lang w:val="pl-PL"/>
        </w:rPr>
        <w:t>PE-CONS 10/24 (2023/0200(COD)).</w:t>
      </w:r>
    </w:p>
  </w:footnote>
  <w:footnote w:id="8">
    <w:p w:rsidR="00775D30" w:rsidRPr="00BE18F8" w:rsidRDefault="00775D30" w:rsidP="00BE18F8">
      <w:pPr>
        <w:pStyle w:val="FootnoteText"/>
        <w:ind w:left="567" w:hanging="567"/>
        <w:rPr>
          <w:sz w:val="24"/>
          <w:lang w:val="pl-PL"/>
        </w:rPr>
      </w:pPr>
      <w:r w:rsidRPr="00BE18F8">
        <w:rPr>
          <w:rStyle w:val="FootnoteReference"/>
          <w:sz w:val="24"/>
          <w:lang w:val="pl-PL"/>
        </w:rPr>
        <w:footnoteRef/>
      </w:r>
      <w:r w:rsidR="00BE18F8" w:rsidRPr="00BE18F8">
        <w:rPr>
          <w:sz w:val="24"/>
          <w:lang w:val="pl-PL"/>
        </w:rPr>
        <w:t xml:space="preserve"> </w:t>
      </w:r>
      <w:r w:rsidR="00BE18F8" w:rsidRPr="00BE18F8">
        <w:rPr>
          <w:sz w:val="24"/>
          <w:lang w:val="pl-PL"/>
        </w:rPr>
        <w:tab/>
      </w:r>
      <w:r w:rsidRPr="00BE18F8">
        <w:rPr>
          <w:sz w:val="24"/>
          <w:lang w:val="pl-PL"/>
        </w:rPr>
        <w:t xml:space="preserve">Decyzja Rady (UE, </w:t>
      </w:r>
      <w:proofErr w:type="spellStart"/>
      <w:r w:rsidRPr="00BE18F8">
        <w:rPr>
          <w:sz w:val="24"/>
          <w:lang w:val="pl-PL"/>
        </w:rPr>
        <w:t>Euratom</w:t>
      </w:r>
      <w:proofErr w:type="spellEnd"/>
      <w:r w:rsidRPr="00BE18F8">
        <w:rPr>
          <w:sz w:val="24"/>
          <w:lang w:val="pl-PL"/>
        </w:rPr>
        <w:t xml:space="preserve">) 2020/2053 z dnia 14 grudnia 2020 r. w sprawie systemu zasobów własnych Unii Europejskiej oraz uchylająca decyzję 2014/335/UE, </w:t>
      </w:r>
      <w:proofErr w:type="spellStart"/>
      <w:r w:rsidRPr="00BE18F8">
        <w:rPr>
          <w:sz w:val="24"/>
          <w:lang w:val="pl-PL"/>
        </w:rPr>
        <w:t>Euratom</w:t>
      </w:r>
      <w:proofErr w:type="spellEnd"/>
      <w:r w:rsidRPr="00BE18F8">
        <w:rPr>
          <w:sz w:val="24"/>
          <w:lang w:val="pl-PL"/>
        </w:rPr>
        <w:t xml:space="preserve"> (Dz.U. L 424 z 15.12.2020, </w:t>
      </w:r>
      <w:proofErr w:type="gramStart"/>
      <w:r w:rsidRPr="00BE18F8">
        <w:rPr>
          <w:sz w:val="24"/>
          <w:lang w:val="pl-PL"/>
        </w:rPr>
        <w:t>s</w:t>
      </w:r>
      <w:proofErr w:type="gramEnd"/>
      <w:r w:rsidRPr="00BE18F8">
        <w:rPr>
          <w:sz w:val="24"/>
          <w:lang w:val="pl-PL"/>
        </w:rPr>
        <w:t>. 1).</w:t>
      </w:r>
    </w:p>
  </w:footnote>
  <w:footnote w:id="9">
    <w:p w:rsidR="00775D30" w:rsidRPr="00BE18F8" w:rsidRDefault="00775D30" w:rsidP="00BE18F8">
      <w:pPr>
        <w:pStyle w:val="FootnoteText"/>
        <w:ind w:left="567" w:hanging="567"/>
        <w:rPr>
          <w:sz w:val="24"/>
          <w:lang w:val="pl-PL"/>
        </w:rPr>
      </w:pPr>
      <w:r w:rsidRPr="00BE18F8">
        <w:rPr>
          <w:rStyle w:val="FootnoteReference"/>
          <w:sz w:val="24"/>
          <w:lang w:val="pl-PL"/>
        </w:rPr>
        <w:footnoteRef/>
      </w:r>
      <w:r w:rsidR="00BE18F8" w:rsidRPr="00BE18F8">
        <w:rPr>
          <w:sz w:val="24"/>
          <w:lang w:val="pl-PL"/>
        </w:rPr>
        <w:t xml:space="preserve"> </w:t>
      </w:r>
      <w:r w:rsidR="00BE18F8" w:rsidRPr="00BE18F8">
        <w:rPr>
          <w:sz w:val="24"/>
          <w:lang w:val="pl-PL"/>
        </w:rPr>
        <w:tab/>
      </w:r>
      <w:r w:rsidRPr="00BE18F8">
        <w:rPr>
          <w:sz w:val="24"/>
          <w:lang w:val="pl-PL"/>
        </w:rPr>
        <w:t xml:space="preserve">Rozporządzenie Rady (WE) nr 2012/2002 z dnia 11 listopada 2002 r. ustanawiające Fundusz Solidarności Unii Europejskiej (Dz.U. L 311 z 14.11.2002, </w:t>
      </w:r>
      <w:proofErr w:type="gramStart"/>
      <w:r w:rsidRPr="00BE18F8">
        <w:rPr>
          <w:sz w:val="24"/>
          <w:lang w:val="pl-PL"/>
        </w:rPr>
        <w:t>s</w:t>
      </w:r>
      <w:proofErr w:type="gramEnd"/>
      <w:r w:rsidRPr="00BE18F8">
        <w:rPr>
          <w:sz w:val="24"/>
          <w:lang w:val="pl-PL"/>
        </w:rPr>
        <w:t>. 3).</w:t>
      </w:r>
    </w:p>
  </w:footnote>
  <w:footnote w:id="10">
    <w:p w:rsidR="00775D30" w:rsidRPr="00BE18F8" w:rsidRDefault="00775D30" w:rsidP="00BE18F8">
      <w:pPr>
        <w:pStyle w:val="FootnoteText"/>
        <w:ind w:left="567" w:hanging="567"/>
        <w:rPr>
          <w:sz w:val="24"/>
          <w:lang w:val="pl-PL"/>
        </w:rPr>
      </w:pPr>
      <w:r w:rsidRPr="00BE18F8">
        <w:rPr>
          <w:rStyle w:val="FootnoteReference"/>
          <w:sz w:val="24"/>
          <w:lang w:val="pl-PL"/>
        </w:rPr>
        <w:t>+</w:t>
      </w:r>
      <w:r w:rsidR="00BE18F8" w:rsidRPr="00BE18F8">
        <w:rPr>
          <w:sz w:val="24"/>
          <w:lang w:val="pl-PL"/>
        </w:rPr>
        <w:t xml:space="preserve"> </w:t>
      </w:r>
      <w:r w:rsidR="00BE18F8" w:rsidRPr="00BE18F8">
        <w:rPr>
          <w:sz w:val="24"/>
          <w:lang w:val="pl-PL"/>
        </w:rPr>
        <w:tab/>
      </w:r>
      <w:r w:rsidRPr="00BE18F8">
        <w:rPr>
          <w:sz w:val="24"/>
          <w:lang w:val="pl-PL"/>
        </w:rPr>
        <w:t xml:space="preserve">Dz.U. </w:t>
      </w:r>
      <w:proofErr w:type="gramStart"/>
      <w:r w:rsidRPr="00BE18F8">
        <w:rPr>
          <w:sz w:val="24"/>
          <w:lang w:val="pl-PL"/>
        </w:rPr>
        <w:t>proszę</w:t>
      </w:r>
      <w:proofErr w:type="gramEnd"/>
      <w:r w:rsidRPr="00BE18F8">
        <w:rPr>
          <w:sz w:val="24"/>
          <w:lang w:val="pl-PL"/>
        </w:rPr>
        <w:t xml:space="preserve"> wstawić w tekście numer rozporządzenia zawartego w dokumencie PE-CONS 10/24 (2023/0200(COD)) oraz podać w przypisie numer, datę i odniesienie do publikacji tego rozporządzenia w Dz.U.</w:t>
      </w:r>
    </w:p>
  </w:footnote>
  <w:footnote w:id="11">
    <w:p w:rsidR="00775D30" w:rsidRPr="00BE18F8" w:rsidRDefault="00775D30" w:rsidP="00BE18F8">
      <w:pPr>
        <w:pStyle w:val="FootnoteText"/>
        <w:ind w:left="567" w:hanging="567"/>
        <w:rPr>
          <w:sz w:val="24"/>
          <w:lang w:val="pl-PL"/>
        </w:rPr>
      </w:pPr>
      <w:r w:rsidRPr="00BE18F8">
        <w:rPr>
          <w:rStyle w:val="FootnoteReference"/>
          <w:sz w:val="24"/>
          <w:lang w:val="pl-PL"/>
        </w:rPr>
        <w:t>+</w:t>
      </w:r>
      <w:r w:rsidR="00BE18F8" w:rsidRPr="00BE18F8">
        <w:rPr>
          <w:sz w:val="24"/>
          <w:lang w:val="pl-PL"/>
        </w:rPr>
        <w:t xml:space="preserve"> </w:t>
      </w:r>
      <w:r w:rsidR="00BE18F8" w:rsidRPr="00BE18F8">
        <w:rPr>
          <w:sz w:val="24"/>
          <w:lang w:val="pl-PL"/>
        </w:rPr>
        <w:tab/>
      </w:r>
      <w:r w:rsidRPr="00BE18F8">
        <w:rPr>
          <w:sz w:val="24"/>
          <w:lang w:val="pl-PL"/>
        </w:rPr>
        <w:t xml:space="preserve">Dz.U. </w:t>
      </w:r>
      <w:proofErr w:type="gramStart"/>
      <w:r w:rsidRPr="00BE18F8">
        <w:rPr>
          <w:sz w:val="24"/>
          <w:lang w:val="pl-PL"/>
        </w:rPr>
        <w:t>proszę</w:t>
      </w:r>
      <w:proofErr w:type="gramEnd"/>
      <w:r w:rsidRPr="00BE18F8">
        <w:rPr>
          <w:sz w:val="24"/>
          <w:lang w:val="pl-PL"/>
        </w:rPr>
        <w:t xml:space="preserve"> wstawić w tekście numer rozporządzenia zawartego w dokumencie PE‑CONS 10/24 (2023/0200(COD)).</w:t>
      </w:r>
    </w:p>
  </w:footnote>
  <w:footnote w:id="12">
    <w:p w:rsidR="00775D30" w:rsidRPr="00BE18F8" w:rsidRDefault="00775D30" w:rsidP="00BE18F8">
      <w:pPr>
        <w:pStyle w:val="FootnoteText"/>
        <w:ind w:left="567" w:hanging="567"/>
        <w:rPr>
          <w:sz w:val="24"/>
          <w:lang w:val="pl-PL"/>
        </w:rPr>
      </w:pPr>
      <w:r w:rsidRPr="00BE18F8">
        <w:rPr>
          <w:rStyle w:val="FootnoteReference"/>
          <w:sz w:val="24"/>
          <w:lang w:val="pl-PL"/>
        </w:rPr>
        <w:footnoteRef/>
      </w:r>
      <w:r w:rsidR="00BE18F8" w:rsidRPr="00BE18F8">
        <w:rPr>
          <w:sz w:val="24"/>
          <w:lang w:val="pl-PL"/>
        </w:rPr>
        <w:t xml:space="preserve"> </w:t>
      </w:r>
      <w:r w:rsidR="00BE18F8" w:rsidRPr="00BE18F8">
        <w:rPr>
          <w:sz w:val="24"/>
          <w:lang w:val="pl-PL"/>
        </w:rPr>
        <w:tab/>
      </w:r>
      <w:r w:rsidRPr="00BE18F8">
        <w:rPr>
          <w:sz w:val="24"/>
          <w:lang w:val="pl-PL"/>
        </w:rPr>
        <w:t xml:space="preserve">Wspólne oświadczenie Parlamentu Europejskiego, Rady i Komisji w sprawie ponownego wykorzystania umorzonych środków finansowych w związku z programem badawczym 2020/C 444 I/03 </w:t>
      </w:r>
      <w:r w:rsidR="00B62C3F">
        <w:rPr>
          <w:sz w:val="24"/>
          <w:lang w:val="pl-PL"/>
        </w:rPr>
        <w:t>(</w:t>
      </w:r>
      <w:r w:rsidRPr="00BE18F8">
        <w:rPr>
          <w:sz w:val="24"/>
          <w:lang w:val="pl-PL"/>
        </w:rPr>
        <w:t>Dz.U. C 444</w:t>
      </w:r>
      <w:r w:rsidR="0020322A">
        <w:rPr>
          <w:sz w:val="24"/>
          <w:lang w:val="pl-PL"/>
        </w:rPr>
        <w:t xml:space="preserve"> </w:t>
      </w:r>
      <w:r w:rsidRPr="00BE18F8">
        <w:rPr>
          <w:sz w:val="24"/>
          <w:lang w:val="pl-PL"/>
        </w:rPr>
        <w:t xml:space="preserve">I z 22.12.2020, </w:t>
      </w:r>
      <w:proofErr w:type="gramStart"/>
      <w:r w:rsidRPr="00BE18F8">
        <w:rPr>
          <w:sz w:val="24"/>
          <w:lang w:val="pl-PL"/>
        </w:rPr>
        <w:t>s</w:t>
      </w:r>
      <w:proofErr w:type="gramEnd"/>
      <w:r w:rsidRPr="00BE18F8">
        <w:rPr>
          <w:sz w:val="24"/>
          <w:lang w:val="pl-PL"/>
        </w:rPr>
        <w:t>. 3</w:t>
      </w:r>
      <w:r w:rsidR="00B62C3F">
        <w:rPr>
          <w:sz w:val="24"/>
          <w:lang w:val="pl-PL"/>
        </w:rPr>
        <w:t>)</w:t>
      </w:r>
      <w:r w:rsidRPr="00BE18F8">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D30" w:rsidRPr="00BE18F8" w:rsidRDefault="00775D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D30" w:rsidRPr="00BE18F8" w:rsidRDefault="00775D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D30" w:rsidRPr="00BE18F8" w:rsidRDefault="00775D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D30" w:rsidRPr="00BE18F8" w:rsidRDefault="00775D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D30" w:rsidRPr="00BE18F8" w:rsidRDefault="00775D3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D30" w:rsidRPr="00BE18F8" w:rsidRDefault="00775D3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18F8" w:rsidRDefault="00064002"/>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18F8" w:rsidRDefault="00064002"/>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18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frame="1"/>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 w:numId="46">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1/2024"/>
    <w:docVar w:name="dvlangue" w:val="PL"/>
    <w:docVar w:name="dvnumam" w:val="0"/>
    <w:docVar w:name="dvpe" w:val="758.992"/>
    <w:docVar w:name="dvrapporteur" w:val="Sprawozdawca: "/>
    <w:docVar w:name="dvstar" w:val="***"/>
    <w:docVar w:name="dvtitre" w:val="Rezolucja ustawodawcza Parlamentu Europejskiego z dnia  2024 r. w sprawie projektu rozporządzenia Rady w sprawie zmiany rozporządzenia (UE, Euratom) 2020/2093 określającego wieloletnie ramy finansowe na lata 2021–2027(05818/2024 – C9-0030/2024 – 2023/0201(APP))"/>
  </w:docVars>
  <w:rsids>
    <w:rsidRoot w:val="0073597E"/>
    <w:rsid w:val="00002272"/>
    <w:rsid w:val="00064002"/>
    <w:rsid w:val="000677B9"/>
    <w:rsid w:val="000831BA"/>
    <w:rsid w:val="000A42CC"/>
    <w:rsid w:val="000E7DD9"/>
    <w:rsid w:val="0010095E"/>
    <w:rsid w:val="00125B37"/>
    <w:rsid w:val="00187494"/>
    <w:rsid w:val="001F32AE"/>
    <w:rsid w:val="0020322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3597E"/>
    <w:rsid w:val="00747932"/>
    <w:rsid w:val="00751A4A"/>
    <w:rsid w:val="00756632"/>
    <w:rsid w:val="00762C74"/>
    <w:rsid w:val="00775D30"/>
    <w:rsid w:val="00786EC0"/>
    <w:rsid w:val="007D1690"/>
    <w:rsid w:val="007E22AD"/>
    <w:rsid w:val="00817416"/>
    <w:rsid w:val="00842779"/>
    <w:rsid w:val="00863E26"/>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2C3F"/>
    <w:rsid w:val="00BD48FE"/>
    <w:rsid w:val="00BD7BD8"/>
    <w:rsid w:val="00BE18F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5EC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EE83BD"/>
  <w15:chartTrackingRefBased/>
  <w15:docId w15:val="{52FBBFC2-3F45-4E14-B86C-87E298247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symbolCarZchn"/>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75D3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775D30"/>
    <w:pPr>
      <w:keepNext/>
      <w:spacing w:after="480"/>
      <w:jc w:val="center"/>
    </w:pPr>
    <w:rPr>
      <w:rFonts w:ascii="Arial" w:hAnsi="Arial" w:cs="Arial"/>
      <w:b/>
    </w:rPr>
  </w:style>
  <w:style w:type="paragraph" w:customStyle="1" w:styleId="NormalBold">
    <w:name w:val="NormalBold"/>
    <w:basedOn w:val="Normal"/>
    <w:rsid w:val="00775D30"/>
    <w:rPr>
      <w:b/>
    </w:rPr>
  </w:style>
  <w:style w:type="paragraph" w:customStyle="1" w:styleId="NormalHanging12a">
    <w:name w:val="NormalHanging12a"/>
    <w:basedOn w:val="Normal"/>
    <w:rsid w:val="00775D30"/>
    <w:pPr>
      <w:spacing w:after="240"/>
      <w:ind w:left="567" w:hanging="567"/>
    </w:pPr>
  </w:style>
  <w:style w:type="paragraph" w:customStyle="1" w:styleId="EPComma">
    <w:name w:val="EPComma"/>
    <w:basedOn w:val="Normal"/>
    <w:rsid w:val="00775D30"/>
    <w:pPr>
      <w:spacing w:before="480" w:after="240"/>
    </w:pPr>
  </w:style>
  <w:style w:type="paragraph" w:styleId="Header">
    <w:name w:val="header"/>
    <w:basedOn w:val="Normal"/>
    <w:link w:val="HeaderChar"/>
    <w:uiPriority w:val="99"/>
    <w:rsid w:val="00775D30"/>
    <w:pPr>
      <w:tabs>
        <w:tab w:val="center" w:pos="4513"/>
        <w:tab w:val="right" w:pos="9026"/>
      </w:tabs>
    </w:pPr>
  </w:style>
  <w:style w:type="character" w:customStyle="1" w:styleId="HeaderChar">
    <w:name w:val="Header Char"/>
    <w:basedOn w:val="DefaultParagraphFont"/>
    <w:link w:val="Header"/>
    <w:uiPriority w:val="99"/>
    <w:rsid w:val="00775D30"/>
    <w:rPr>
      <w:sz w:val="24"/>
      <w:lang w:val="pl-PL"/>
    </w:rPr>
  </w:style>
  <w:style w:type="paragraph" w:customStyle="1" w:styleId="EPFooter">
    <w:name w:val="EPFooter"/>
    <w:basedOn w:val="Normal"/>
    <w:rsid w:val="00775D30"/>
    <w:pPr>
      <w:tabs>
        <w:tab w:val="center" w:pos="4535"/>
        <w:tab w:val="right" w:pos="9071"/>
      </w:tabs>
      <w:spacing w:before="240" w:after="240"/>
    </w:pPr>
    <w:rPr>
      <w:color w:val="010000"/>
      <w:sz w:val="22"/>
    </w:rPr>
  </w:style>
  <w:style w:type="paragraph" w:customStyle="1" w:styleId="Text1">
    <w:name w:val="Text 1"/>
    <w:basedOn w:val="Normal"/>
    <w:rsid w:val="00775D30"/>
    <w:pPr>
      <w:widowControl/>
      <w:spacing w:before="120" w:after="120" w:line="360" w:lineRule="auto"/>
      <w:ind w:left="850"/>
    </w:pPr>
    <w:rPr>
      <w:rFonts w:eastAsiaTheme="minorHAnsi"/>
      <w:szCs w:val="22"/>
      <w:lang w:eastAsia="en-US"/>
    </w:rPr>
  </w:style>
  <w:style w:type="paragraph" w:customStyle="1" w:styleId="Text2">
    <w:name w:val="Text 2"/>
    <w:basedOn w:val="Normal"/>
    <w:rsid w:val="00775D30"/>
    <w:pPr>
      <w:widowControl/>
      <w:spacing w:before="120" w:after="120" w:line="360" w:lineRule="auto"/>
      <w:ind w:left="1417"/>
    </w:pPr>
    <w:rPr>
      <w:rFonts w:eastAsiaTheme="minorHAnsi"/>
      <w:szCs w:val="22"/>
      <w:lang w:eastAsia="en-US"/>
    </w:rPr>
  </w:style>
  <w:style w:type="paragraph" w:customStyle="1" w:styleId="NormalCentered">
    <w:name w:val="Normal Centered"/>
    <w:basedOn w:val="Normal"/>
    <w:rsid w:val="00775D30"/>
    <w:pPr>
      <w:widowControl/>
      <w:spacing w:before="120" w:after="120" w:line="360" w:lineRule="auto"/>
      <w:jc w:val="center"/>
    </w:pPr>
    <w:rPr>
      <w:rFonts w:eastAsiaTheme="minorHAnsi"/>
      <w:szCs w:val="22"/>
      <w:lang w:eastAsia="en-US"/>
    </w:rPr>
  </w:style>
  <w:style w:type="paragraph" w:customStyle="1" w:styleId="NormalRight">
    <w:name w:val="Normal Right"/>
    <w:basedOn w:val="Normal"/>
    <w:rsid w:val="00775D30"/>
    <w:pPr>
      <w:widowControl/>
      <w:spacing w:before="120" w:after="120" w:line="360" w:lineRule="auto"/>
      <w:jc w:val="right"/>
    </w:pPr>
    <w:rPr>
      <w:rFonts w:eastAsiaTheme="minorHAnsi"/>
      <w:szCs w:val="22"/>
      <w:lang w:eastAsia="en-US"/>
    </w:rPr>
  </w:style>
  <w:style w:type="paragraph" w:customStyle="1" w:styleId="Point0">
    <w:name w:val="Point 0"/>
    <w:basedOn w:val="Normal"/>
    <w:rsid w:val="00775D30"/>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775D30"/>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775D30"/>
    <w:pPr>
      <w:widowControl/>
      <w:spacing w:before="120" w:after="120" w:line="360" w:lineRule="auto"/>
      <w:ind w:left="1984" w:hanging="567"/>
    </w:pPr>
    <w:rPr>
      <w:rFonts w:eastAsiaTheme="minorHAnsi"/>
      <w:szCs w:val="22"/>
      <w:lang w:eastAsia="en-US"/>
    </w:rPr>
  </w:style>
  <w:style w:type="paragraph" w:customStyle="1" w:styleId="Tiret2">
    <w:name w:val="Tiret 2"/>
    <w:basedOn w:val="Normal"/>
    <w:rsid w:val="00775D30"/>
    <w:pPr>
      <w:widowControl/>
      <w:numPr>
        <w:numId w:val="45"/>
      </w:numPr>
      <w:spacing w:before="120" w:after="120" w:line="360" w:lineRule="auto"/>
    </w:pPr>
    <w:rPr>
      <w:rFonts w:eastAsiaTheme="minorHAnsi"/>
      <w:szCs w:val="22"/>
      <w:lang w:eastAsia="en-US"/>
    </w:rPr>
  </w:style>
  <w:style w:type="paragraph" w:customStyle="1" w:styleId="Fait">
    <w:name w:val="Fait à"/>
    <w:basedOn w:val="Normal"/>
    <w:next w:val="Institutionquisigne"/>
    <w:rsid w:val="00775D30"/>
    <w:pPr>
      <w:keepNext/>
      <w:widowControl/>
      <w:spacing w:before="120" w:line="360" w:lineRule="auto"/>
    </w:pPr>
    <w:rPr>
      <w:rFonts w:eastAsiaTheme="minorHAnsi"/>
      <w:szCs w:val="22"/>
      <w:lang w:eastAsia="en-US"/>
    </w:rPr>
  </w:style>
  <w:style w:type="paragraph" w:customStyle="1" w:styleId="Applicationdirecte">
    <w:name w:val="Application directe"/>
    <w:basedOn w:val="Normal"/>
    <w:next w:val="Fait"/>
    <w:rsid w:val="00775D30"/>
    <w:pPr>
      <w:widowControl/>
      <w:spacing w:before="480" w:after="120" w:line="360" w:lineRule="auto"/>
    </w:pPr>
    <w:rPr>
      <w:rFonts w:eastAsiaTheme="minorHAnsi"/>
      <w:szCs w:val="22"/>
      <w:lang w:eastAsia="en-US"/>
    </w:rPr>
  </w:style>
  <w:style w:type="paragraph" w:customStyle="1" w:styleId="Titreobjet">
    <w:name w:val="Titre objet"/>
    <w:basedOn w:val="Normal"/>
    <w:next w:val="Normal"/>
    <w:rsid w:val="00775D30"/>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775D30"/>
    <w:pPr>
      <w:widowControl/>
      <w:spacing w:before="360" w:line="360" w:lineRule="auto"/>
      <w:jc w:val="center"/>
    </w:pPr>
    <w:rPr>
      <w:rFonts w:eastAsiaTheme="minorHAnsi"/>
      <w:b/>
      <w:szCs w:val="22"/>
      <w:lang w:eastAsia="en-US"/>
    </w:rPr>
  </w:style>
  <w:style w:type="paragraph" w:customStyle="1" w:styleId="Institutionquisigne">
    <w:name w:val="Institution qui signe"/>
    <w:basedOn w:val="Normal"/>
    <w:next w:val="Personnequisigne"/>
    <w:rsid w:val="00775D30"/>
    <w:pPr>
      <w:keepNext/>
      <w:widowControl/>
      <w:tabs>
        <w:tab w:val="left" w:pos="5669"/>
      </w:tabs>
      <w:spacing w:before="720" w:line="360" w:lineRule="auto"/>
    </w:pPr>
    <w:rPr>
      <w:rFonts w:eastAsiaTheme="minorHAnsi"/>
      <w:i/>
      <w:szCs w:val="22"/>
      <w:lang w:eastAsia="en-US"/>
    </w:rPr>
  </w:style>
  <w:style w:type="paragraph" w:customStyle="1" w:styleId="Titrearticle">
    <w:name w:val="Titre article"/>
    <w:basedOn w:val="Normal"/>
    <w:next w:val="Normal"/>
    <w:rsid w:val="00775D30"/>
    <w:pPr>
      <w:keepNext/>
      <w:widowControl/>
      <w:spacing w:before="360" w:after="120" w:line="360" w:lineRule="auto"/>
      <w:jc w:val="center"/>
    </w:pPr>
    <w:rPr>
      <w:rFonts w:eastAsiaTheme="minorHAnsi"/>
      <w:i/>
      <w:szCs w:val="22"/>
      <w:lang w:eastAsia="en-US"/>
    </w:rPr>
  </w:style>
  <w:style w:type="paragraph" w:customStyle="1" w:styleId="Formuledadoption">
    <w:name w:val="Formule d'adoption"/>
    <w:basedOn w:val="Normal"/>
    <w:next w:val="Titrearticle"/>
    <w:rsid w:val="00775D30"/>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775D30"/>
    <w:pPr>
      <w:keepNext/>
      <w:widowControl/>
      <w:spacing w:before="600" w:after="120" w:line="360" w:lineRule="auto"/>
    </w:pPr>
    <w:rPr>
      <w:rFonts w:eastAsiaTheme="minorHAnsi"/>
      <w:szCs w:val="22"/>
      <w:lang w:eastAsia="en-US"/>
    </w:rPr>
  </w:style>
  <w:style w:type="paragraph" w:customStyle="1" w:styleId="Personnequisigne">
    <w:name w:val="Personne qui signe"/>
    <w:basedOn w:val="Normal"/>
    <w:next w:val="Institutionquisigne"/>
    <w:rsid w:val="00775D30"/>
    <w:pPr>
      <w:widowControl/>
      <w:tabs>
        <w:tab w:val="left" w:pos="5669"/>
      </w:tabs>
      <w:spacing w:line="360" w:lineRule="auto"/>
    </w:pPr>
    <w:rPr>
      <w:rFonts w:eastAsiaTheme="minorHAnsi"/>
      <w:i/>
      <w:szCs w:val="22"/>
      <w:lang w:eastAsia="en-US"/>
    </w:rPr>
  </w:style>
  <w:style w:type="paragraph" w:customStyle="1" w:styleId="ManualConsidrant">
    <w:name w:val="Manual Considérant"/>
    <w:basedOn w:val="Normal"/>
    <w:rsid w:val="00775D30"/>
    <w:pPr>
      <w:widowControl/>
      <w:spacing w:before="120" w:after="120" w:line="360" w:lineRule="auto"/>
      <w:ind w:left="850" w:hanging="850"/>
    </w:pPr>
    <w:rPr>
      <w:rFonts w:eastAsiaTheme="minorHAnsi"/>
      <w:szCs w:val="22"/>
      <w:lang w:eastAsia="en-US"/>
    </w:rPr>
  </w:style>
  <w:style w:type="paragraph" w:customStyle="1" w:styleId="Typedudocument">
    <w:name w:val="Type du document"/>
    <w:basedOn w:val="Normal"/>
    <w:next w:val="Datedadoption"/>
    <w:rsid w:val="00775D30"/>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775D30"/>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775D30"/>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Annexetitre">
    <w:name w:val="Annexe titre"/>
    <w:basedOn w:val="Normal"/>
    <w:next w:val="Normal"/>
    <w:rsid w:val="00775D30"/>
    <w:pPr>
      <w:widowControl/>
      <w:spacing w:before="120" w:after="120" w:line="360" w:lineRule="auto"/>
      <w:jc w:val="center"/>
    </w:pPr>
    <w:rPr>
      <w:rFonts w:eastAsiaTheme="minorHAnsi"/>
      <w:b/>
      <w:szCs w:val="22"/>
      <w:u w:val="single"/>
      <w:lang w:eastAsia="en-US"/>
    </w:rPr>
  </w:style>
  <w:style w:type="paragraph" w:styleId="NormalWeb">
    <w:name w:val="Normal (Web)"/>
    <w:basedOn w:val="Normal"/>
    <w:uiPriority w:val="99"/>
    <w:unhideWhenUsed/>
    <w:rsid w:val="00775D30"/>
    <w:pPr>
      <w:widowControl/>
      <w:spacing w:before="100" w:beforeAutospacing="1" w:after="100" w:afterAutospacing="1"/>
    </w:pPr>
    <w:rPr>
      <w:szCs w:val="24"/>
      <w:lang w:eastAsia="en-I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775D30"/>
    <w:pPr>
      <w:widowControl/>
      <w:spacing w:after="160" w:line="240" w:lineRule="exact"/>
      <w:jc w:val="both"/>
    </w:pPr>
    <w:rPr>
      <w:sz w:val="20"/>
      <w:vertAlign w:val="superscript"/>
      <w:lang w:val="en-GB"/>
    </w:rPr>
  </w:style>
  <w:style w:type="character" w:customStyle="1" w:styleId="Bodytext1">
    <w:name w:val="Body text|1_"/>
    <w:basedOn w:val="DefaultParagraphFont"/>
    <w:link w:val="Bodytext10"/>
    <w:rsid w:val="00775D30"/>
    <w:rPr>
      <w:color w:val="231F20"/>
      <w:sz w:val="19"/>
      <w:szCs w:val="19"/>
    </w:rPr>
  </w:style>
  <w:style w:type="paragraph" w:customStyle="1" w:styleId="Bodytext10">
    <w:name w:val="Body text|1"/>
    <w:basedOn w:val="Normal"/>
    <w:link w:val="Bodytext1"/>
    <w:rsid w:val="00775D30"/>
    <w:pPr>
      <w:spacing w:after="360"/>
    </w:pPr>
    <w:rPr>
      <w:color w:val="231F20"/>
      <w:sz w:val="19"/>
      <w:szCs w:val="19"/>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B4F3C-7248-4F99-A746-91A477D95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25</Pages>
  <Words>3994</Words>
  <Characters>23739</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BOZYK-MAZURENKO Agnieszka</cp:lastModifiedBy>
  <cp:revision>5</cp:revision>
  <cp:lastPrinted>2004-11-19T15:42:00Z</cp:lastPrinted>
  <dcterms:created xsi:type="dcterms:W3CDTF">2024-02-26T09:01:00Z</dcterms:created>
  <dcterms:modified xsi:type="dcterms:W3CDTF">2024-06-11T09:16:00Z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P9_TA(2024)0081_</vt:lpwstr>
  </property>
  <property fmtid="{D5CDD505-2E9C-101B-9397-08002B2CF9AE}" pid="4" name="&lt;Type&gt;">
    <vt:lpwstr>RR</vt:lpwstr>
  </property>
</Properties>
</file>