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54AC" w:rsidTr="0010095E">
        <w:trPr>
          <w:trHeight w:hRule="exact" w:val="1418"/>
        </w:trPr>
        <w:tc>
          <w:tcPr>
            <w:tcW w:w="6804" w:type="dxa"/>
            <w:shd w:val="clear" w:color="auto" w:fill="auto"/>
            <w:vAlign w:val="center"/>
          </w:tcPr>
          <w:p w:rsidR="00751A4A" w:rsidRPr="00C454AC" w:rsidRDefault="00702897" w:rsidP="0010095E">
            <w:pPr>
              <w:pStyle w:val="EPName"/>
            </w:pPr>
            <w:bookmarkStart w:id="0" w:name="_GoBack"/>
            <w:bookmarkEnd w:id="0"/>
            <w:r w:rsidRPr="00C454AC">
              <w:t>Parlamentul European</w:t>
            </w:r>
          </w:p>
          <w:p w:rsidR="00751A4A" w:rsidRPr="00C454AC" w:rsidRDefault="00817416" w:rsidP="00756632">
            <w:pPr>
              <w:pStyle w:val="EPTerm"/>
              <w:rPr>
                <w:rStyle w:val="HideTWBExt"/>
                <w:noProof w:val="0"/>
                <w:vanish w:val="0"/>
                <w:color w:val="auto"/>
              </w:rPr>
            </w:pPr>
            <w:r w:rsidRPr="00C454AC">
              <w:t>2019-2024</w:t>
            </w:r>
          </w:p>
        </w:tc>
        <w:tc>
          <w:tcPr>
            <w:tcW w:w="2268" w:type="dxa"/>
            <w:shd w:val="clear" w:color="auto" w:fill="auto"/>
          </w:tcPr>
          <w:p w:rsidR="00751A4A" w:rsidRPr="00C454AC" w:rsidRDefault="00187494" w:rsidP="0010095E">
            <w:pPr>
              <w:pStyle w:val="EPLogo"/>
            </w:pPr>
            <w:r w:rsidRPr="00C454AC">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454AC" w:rsidRDefault="00D058B8" w:rsidP="004C5D52">
      <w:pPr>
        <w:pStyle w:val="LineTop"/>
      </w:pPr>
    </w:p>
    <w:p w:rsidR="00680577" w:rsidRPr="00C454AC" w:rsidRDefault="00702897" w:rsidP="00680577">
      <w:pPr>
        <w:pStyle w:val="EPBodyTA1"/>
      </w:pPr>
      <w:r w:rsidRPr="00C454AC">
        <w:t>TEXTE ADOPTATE</w:t>
      </w:r>
    </w:p>
    <w:p w:rsidR="00D058B8" w:rsidRPr="00C454AC" w:rsidRDefault="00D058B8" w:rsidP="00D058B8">
      <w:pPr>
        <w:pStyle w:val="LineBottom"/>
      </w:pPr>
    </w:p>
    <w:p w:rsidR="00702897" w:rsidRPr="00C454AC" w:rsidRDefault="00702897" w:rsidP="00702897">
      <w:pPr>
        <w:pStyle w:val="ATHeading1"/>
      </w:pPr>
      <w:bookmarkStart w:id="1" w:name="TANumber"/>
      <w:r w:rsidRPr="00C454AC">
        <w:t>P9_TA(2024)00</w:t>
      </w:r>
      <w:bookmarkEnd w:id="1"/>
      <w:r w:rsidR="00C454AC" w:rsidRPr="00C454AC">
        <w:t>81</w:t>
      </w:r>
    </w:p>
    <w:p w:rsidR="00702897" w:rsidRPr="00C454AC" w:rsidRDefault="00D62458" w:rsidP="00702897">
      <w:pPr>
        <w:pStyle w:val="ATHeading2"/>
      </w:pPr>
      <w:bookmarkStart w:id="2" w:name="title"/>
      <w:r w:rsidRPr="00C454AC">
        <w:rPr>
          <w:bCs/>
        </w:rPr>
        <w:t>Cadrul financiar multianual pentru perioada 2021-2027</w:t>
      </w:r>
      <w:bookmarkEnd w:id="2"/>
    </w:p>
    <w:p w:rsidR="00702897" w:rsidRPr="00C454AC" w:rsidRDefault="00702897" w:rsidP="00702897">
      <w:pPr>
        <w:rPr>
          <w:i/>
          <w:vanish/>
        </w:rPr>
      </w:pPr>
      <w:r w:rsidRPr="00C454AC">
        <w:rPr>
          <w:i/>
        </w:rPr>
        <w:fldChar w:fldCharType="begin"/>
      </w:r>
      <w:r w:rsidRPr="00C454AC">
        <w:rPr>
          <w:i/>
        </w:rPr>
        <w:instrText xml:space="preserve"> TC"(</w:instrText>
      </w:r>
      <w:bookmarkStart w:id="3" w:name="DocNumber"/>
      <w:r w:rsidRPr="00C454AC">
        <w:rPr>
          <w:i/>
        </w:rPr>
        <w:instrText>A9-0051/2024</w:instrText>
      </w:r>
      <w:bookmarkEnd w:id="3"/>
      <w:r w:rsidRPr="00C454AC">
        <w:rPr>
          <w:i/>
        </w:rPr>
        <w:instrText xml:space="preserve"> - </w:instrText>
      </w:r>
      <w:r w:rsidR="00994C43" w:rsidRPr="00C454AC">
        <w:rPr>
          <w:i/>
        </w:rPr>
        <w:instrText>Cor</w:instrText>
      </w:r>
      <w:r w:rsidRPr="00C454AC">
        <w:rPr>
          <w:i/>
        </w:rPr>
        <w:instrText>aportor</w:instrText>
      </w:r>
      <w:r w:rsidR="00D62458" w:rsidRPr="00C454AC">
        <w:rPr>
          <w:i/>
        </w:rPr>
        <w:instrText>i</w:instrText>
      </w:r>
      <w:r w:rsidRPr="00C454AC">
        <w:rPr>
          <w:i/>
        </w:rPr>
        <w:instrText xml:space="preserve">: Jan </w:instrText>
      </w:r>
      <w:proofErr w:type="spellStart"/>
      <w:r w:rsidRPr="00C454AC">
        <w:rPr>
          <w:i/>
        </w:rPr>
        <w:instrText>Olbrycht</w:instrText>
      </w:r>
      <w:proofErr w:type="spellEnd"/>
      <w:r w:rsidRPr="00C454AC">
        <w:rPr>
          <w:i/>
        </w:rPr>
        <w:instrText xml:space="preserve">, </w:instrText>
      </w:r>
      <w:proofErr w:type="spellStart"/>
      <w:r w:rsidRPr="00C454AC">
        <w:rPr>
          <w:i/>
        </w:rPr>
        <w:instrText>Margarida</w:instrText>
      </w:r>
      <w:proofErr w:type="spellEnd"/>
      <w:r w:rsidRPr="00C454AC">
        <w:rPr>
          <w:i/>
        </w:rPr>
        <w:instrText xml:space="preserve"> </w:instrText>
      </w:r>
      <w:proofErr w:type="spellStart"/>
      <w:r w:rsidRPr="00C454AC">
        <w:rPr>
          <w:i/>
        </w:rPr>
        <w:instrText>Marques</w:instrText>
      </w:r>
      <w:proofErr w:type="spellEnd"/>
      <w:r w:rsidRPr="00C454AC">
        <w:rPr>
          <w:i/>
        </w:rPr>
        <w:instrText xml:space="preserve">)"\l3 \n&gt; \* MERGEFORMAT </w:instrText>
      </w:r>
      <w:r w:rsidRPr="00C454AC">
        <w:rPr>
          <w:i/>
        </w:rPr>
        <w:fldChar w:fldCharType="end"/>
      </w:r>
    </w:p>
    <w:p w:rsidR="00702897" w:rsidRPr="00C454AC" w:rsidRDefault="00702897" w:rsidP="00702897">
      <w:pPr>
        <w:rPr>
          <w:vanish/>
        </w:rPr>
      </w:pPr>
      <w:bookmarkStart w:id="4" w:name="Commission"/>
      <w:r w:rsidRPr="00C454AC">
        <w:rPr>
          <w:vanish/>
        </w:rPr>
        <w:t>Comisia pentru bugete</w:t>
      </w:r>
      <w:bookmarkEnd w:id="4"/>
    </w:p>
    <w:p w:rsidR="00702897" w:rsidRPr="00C454AC" w:rsidRDefault="00702897" w:rsidP="00702897">
      <w:pPr>
        <w:rPr>
          <w:vanish/>
        </w:rPr>
      </w:pPr>
      <w:bookmarkStart w:id="5" w:name="PE"/>
      <w:r w:rsidRPr="00C454AC">
        <w:rPr>
          <w:vanish/>
        </w:rPr>
        <w:t>PE758.992</w:t>
      </w:r>
      <w:bookmarkEnd w:id="5"/>
    </w:p>
    <w:p w:rsidR="00702897" w:rsidRPr="00C454AC" w:rsidRDefault="00702897" w:rsidP="00702897">
      <w:pPr>
        <w:pStyle w:val="ATHeading3"/>
      </w:pPr>
      <w:bookmarkStart w:id="6" w:name="Sujet"/>
      <w:r w:rsidRPr="00C454AC">
        <w:t xml:space="preserve">Rezoluția legislativă a Parlamentului European din </w:t>
      </w:r>
      <w:r w:rsidR="00D62458" w:rsidRPr="00C454AC">
        <w:t>27 februarie</w:t>
      </w:r>
      <w:r w:rsidRPr="00C454AC">
        <w:t xml:space="preserve"> 2024 referitoare la proiectul de regulament al Consiliului de modificare a Regulamentului (UE, Euratom) 2020/2093 de stabilire a cadrului financiar multianual pentru perioada 2021-2027</w:t>
      </w:r>
      <w:bookmarkEnd w:id="6"/>
      <w:r w:rsidRPr="00C454AC">
        <w:t xml:space="preserve"> </w:t>
      </w:r>
      <w:bookmarkStart w:id="7" w:name="References"/>
      <w:r w:rsidRPr="00C454AC">
        <w:t>(05818/2024 – C9-0030/2024 – 2023/0201(APP))</w:t>
      </w:r>
      <w:bookmarkEnd w:id="7"/>
    </w:p>
    <w:p w:rsidR="00702897" w:rsidRPr="00C454AC" w:rsidRDefault="00702897" w:rsidP="00702897"/>
    <w:p w:rsidR="00757390" w:rsidRPr="00C454AC" w:rsidRDefault="00757390" w:rsidP="00757390">
      <w:pPr>
        <w:pStyle w:val="NormalBold"/>
      </w:pPr>
      <w:bookmarkStart w:id="8" w:name="TextBodyBegin"/>
      <w:bookmarkEnd w:id="8"/>
      <w:r w:rsidRPr="00C454AC">
        <w:t>(Procedura legislativă specială – aprobare)</w:t>
      </w:r>
    </w:p>
    <w:p w:rsidR="00757390" w:rsidRPr="00C454AC" w:rsidRDefault="00757390" w:rsidP="00757390">
      <w:pPr>
        <w:pStyle w:val="EPComma"/>
      </w:pPr>
      <w:r w:rsidRPr="00C454AC">
        <w:rPr>
          <w:i/>
          <w:iCs/>
        </w:rPr>
        <w:t>Parlamentul European</w:t>
      </w:r>
      <w:r w:rsidRPr="00C454AC">
        <w:t>,</w:t>
      </w:r>
    </w:p>
    <w:p w:rsidR="00757390" w:rsidRPr="00C454AC" w:rsidRDefault="00757390" w:rsidP="00757390">
      <w:pPr>
        <w:pStyle w:val="NormalHanging12a"/>
      </w:pPr>
      <w:r w:rsidRPr="00C454AC">
        <w:t>–</w:t>
      </w:r>
      <w:r w:rsidRPr="00C454AC">
        <w:tab/>
        <w:t>având în vedere proiectul de regulament al Consiliului de modificare a Regulamentului (UE, Euratom) 2020/2093 de stabilire a cadrului financiar multianual pentru perioada 2021-2027 (05818/2024),</w:t>
      </w:r>
    </w:p>
    <w:p w:rsidR="00757390" w:rsidRPr="00C454AC" w:rsidRDefault="00757390" w:rsidP="00757390">
      <w:pPr>
        <w:pStyle w:val="NormalHanging12a"/>
      </w:pPr>
      <w:r w:rsidRPr="00C454AC">
        <w:t>–</w:t>
      </w:r>
      <w:r w:rsidRPr="00C454AC">
        <w:tab/>
        <w:t>având în vedere cererea de aprobare prezentată de Consiliu în conformitate cu articolul 312 alineatul (2) din Tratatul privind funcționarea Uniunii Europene (C9-0030/2024),</w:t>
      </w:r>
    </w:p>
    <w:p w:rsidR="00757390" w:rsidRPr="00C454AC" w:rsidRDefault="00757390" w:rsidP="00757390">
      <w:pPr>
        <w:pStyle w:val="NormalHanging12a"/>
      </w:pPr>
      <w:r w:rsidRPr="00C454AC">
        <w:t>–</w:t>
      </w:r>
      <w:r w:rsidRPr="00C454AC">
        <w:tab/>
        <w:t>având în vedere propunerea Comisiei din 20 iunie 2023 de regulament al Consiliului de modificare a Regulamentului (UE, Euratom) 2020/2093 de stabilire a cadrului financiar multianual pentru perioada 2021-2027 (COM(2023)0337),</w:t>
      </w:r>
    </w:p>
    <w:p w:rsidR="00757390" w:rsidRPr="00C454AC" w:rsidRDefault="00757390" w:rsidP="00757390">
      <w:pPr>
        <w:pStyle w:val="NormalHanging12a"/>
        <w:rPr>
          <w:snapToGrid w:val="0"/>
          <w:szCs w:val="24"/>
        </w:rPr>
      </w:pPr>
      <w:r w:rsidRPr="00C454AC">
        <w:t>–</w:t>
      </w:r>
      <w:r w:rsidRPr="00C454AC">
        <w:tab/>
      </w:r>
      <w:r w:rsidRPr="00C454AC">
        <w:rPr>
          <w:snapToGrid w:val="0"/>
        </w:rPr>
        <w:t>având în vedere rezoluția sa din 3 octombrie 2023 referitoare la propunerea de revizuire la jumătatea perioadei a cadrului financiar multianual 2021-2027</w:t>
      </w:r>
      <w:r w:rsidRPr="00C454AC">
        <w:rPr>
          <w:snapToGrid w:val="0"/>
          <w:szCs w:val="24"/>
          <w:vertAlign w:val="superscript"/>
        </w:rPr>
        <w:footnoteReference w:id="1"/>
      </w:r>
      <w:r w:rsidRPr="00C454AC">
        <w:rPr>
          <w:snapToGrid w:val="0"/>
        </w:rPr>
        <w:t>,</w:t>
      </w:r>
    </w:p>
    <w:p w:rsidR="00757390" w:rsidRPr="00C454AC" w:rsidRDefault="00757390" w:rsidP="00757390">
      <w:pPr>
        <w:pStyle w:val="NormalHanging12a"/>
      </w:pPr>
      <w:r w:rsidRPr="00C454AC">
        <w:t>–</w:t>
      </w:r>
      <w:r w:rsidRPr="00C454AC">
        <w:tab/>
        <w:t>având în vedere articolul 92 și articolul 105 alineatele (1) și (4) din Regulamentul său de procedură,</w:t>
      </w:r>
    </w:p>
    <w:p w:rsidR="00757390" w:rsidRPr="00C454AC" w:rsidRDefault="00757390" w:rsidP="00757390">
      <w:pPr>
        <w:pStyle w:val="NormalHanging12a"/>
      </w:pPr>
      <w:r w:rsidRPr="00C454AC">
        <w:t>–</w:t>
      </w:r>
      <w:r w:rsidRPr="00C454AC">
        <w:tab/>
        <w:t>având în vedere recomandarea Comisiei pentru bugete (A9-0051/2024),</w:t>
      </w:r>
    </w:p>
    <w:p w:rsidR="00757390" w:rsidRPr="00C454AC" w:rsidRDefault="00757390" w:rsidP="00757390">
      <w:pPr>
        <w:pStyle w:val="NormalHanging12a"/>
      </w:pPr>
      <w:r w:rsidRPr="00C454AC">
        <w:t>1.</w:t>
      </w:r>
      <w:r w:rsidRPr="00C454AC">
        <w:tab/>
        <w:t>aprobă proiectul de regulament al Consiliului, astfel cum figurează în anexa la prezenta rezoluție;</w:t>
      </w:r>
    </w:p>
    <w:p w:rsidR="00757390" w:rsidRPr="00C454AC" w:rsidRDefault="00757390" w:rsidP="00757390">
      <w:pPr>
        <w:pStyle w:val="NormalHanging12a"/>
      </w:pPr>
      <w:r w:rsidRPr="00C454AC">
        <w:t>2.</w:t>
      </w:r>
      <w:r w:rsidRPr="00C454AC">
        <w:tab/>
        <w:t xml:space="preserve">aprobă declarația comună a Parlamentului European, a Consiliului și a Comisiei anexată la </w:t>
      </w:r>
      <w:r w:rsidRPr="00C454AC">
        <w:lastRenderedPageBreak/>
        <w:t>prezenta rezoluție;</w:t>
      </w:r>
    </w:p>
    <w:p w:rsidR="00757390" w:rsidRPr="00C454AC" w:rsidRDefault="00757390" w:rsidP="00757390">
      <w:pPr>
        <w:pStyle w:val="NormalHanging12a"/>
      </w:pPr>
      <w:r w:rsidRPr="00C454AC">
        <w:t>3.</w:t>
      </w:r>
      <w:r w:rsidRPr="00C454AC">
        <w:tab/>
        <w:t>încredințează Președintei sarcina de a transmite Consiliului și Comisiei, precum și parlamentelor naționale poziția Parlamentului.</w:t>
      </w:r>
    </w:p>
    <w:p w:rsidR="00D62458" w:rsidRPr="00C454AC" w:rsidRDefault="00D62458" w:rsidP="00757390">
      <w:pPr>
        <w:widowControl/>
        <w:sectPr w:rsidR="00D62458" w:rsidRPr="00C454AC" w:rsidSect="00331A2E">
          <w:footerReference w:type="even" r:id="rId9"/>
          <w:footerReference w:type="default" r:id="rId10"/>
          <w:footerReference w:type="first" r:id="rId11"/>
          <w:footnotePr>
            <w:numRestart w:val="eachPage"/>
          </w:footnotePr>
          <w:pgSz w:w="11907" w:h="16839"/>
          <w:pgMar w:top="1134" w:right="1134" w:bottom="1134" w:left="1134" w:header="567" w:footer="567" w:gutter="0"/>
          <w:cols w:space="720"/>
          <w:docGrid w:linePitch="326"/>
        </w:sectPr>
      </w:pPr>
    </w:p>
    <w:p w:rsidR="00757390" w:rsidRPr="00C454AC" w:rsidRDefault="00757390" w:rsidP="00757390">
      <w:pPr>
        <w:widowControl/>
      </w:pPr>
    </w:p>
    <w:p w:rsidR="00757390" w:rsidRPr="00C454AC" w:rsidRDefault="00757390" w:rsidP="00757390">
      <w:pPr>
        <w:pStyle w:val="PageHeading"/>
        <w:rPr>
          <w:caps/>
        </w:rPr>
      </w:pPr>
      <w:bookmarkStart w:id="9" w:name="_Toc159577456"/>
      <w:r w:rsidRPr="00C454AC">
        <w:rPr>
          <w:caps/>
        </w:rPr>
        <w:t>ANEXA 1: PROIECT DE REGULAMENT al Consiliului de modificare a Regulamentului (UE, Euratom) 2020/2093 de stabilire a cadrului financiar multianual pentru perioada 2021-2027</w:t>
      </w:r>
      <w:bookmarkEnd w:id="9"/>
    </w:p>
    <w:p w:rsidR="00757390" w:rsidRPr="00C454AC" w:rsidRDefault="00757390" w:rsidP="00757390">
      <w:pPr>
        <w:pStyle w:val="NormalHanging12a"/>
        <w:ind w:left="0" w:firstLine="0"/>
        <w:jc w:val="center"/>
        <w:rPr>
          <w:caps/>
        </w:rPr>
      </w:pPr>
    </w:p>
    <w:p w:rsidR="00757390" w:rsidRPr="00C454AC" w:rsidRDefault="00757390" w:rsidP="00757390">
      <w:pPr>
        <w:pStyle w:val="Typedudocument"/>
      </w:pPr>
      <w:r w:rsidRPr="00C454AC">
        <w:t>REGULAMENTUL (UE, Euratom) 2024/… AL CONSILIULUI</w:t>
      </w:r>
    </w:p>
    <w:p w:rsidR="00757390" w:rsidRPr="00C454AC" w:rsidRDefault="00757390" w:rsidP="00757390">
      <w:pPr>
        <w:pStyle w:val="Datedadoption"/>
      </w:pPr>
      <w:r w:rsidRPr="00C454AC">
        <w:t>din …</w:t>
      </w:r>
    </w:p>
    <w:p w:rsidR="00757390" w:rsidRPr="00C454AC" w:rsidRDefault="00757390" w:rsidP="00757390">
      <w:pPr>
        <w:pStyle w:val="Titreobjet"/>
      </w:pPr>
      <w:r w:rsidRPr="00C454AC">
        <w:t xml:space="preserve">de modificare a Regulamentului (UE, Euratom) 2020/2093 </w:t>
      </w:r>
      <w:r w:rsidRPr="00C454AC">
        <w:br/>
        <w:t>de stabilire a cadrului financiar multianual pentru perioada 2021-2027</w:t>
      </w:r>
    </w:p>
    <w:p w:rsidR="00757390" w:rsidRPr="00C454AC" w:rsidRDefault="00757390" w:rsidP="00757390">
      <w:pPr>
        <w:pStyle w:val="Institutionquiagit"/>
        <w:spacing w:line="240" w:lineRule="auto"/>
      </w:pPr>
      <w:r w:rsidRPr="00C454AC">
        <w:t>CONSILIUL UNIUNII EUROPENE,</w:t>
      </w:r>
    </w:p>
    <w:p w:rsidR="00757390" w:rsidRPr="00C454AC" w:rsidRDefault="00757390" w:rsidP="00757390">
      <w:r w:rsidRPr="00C454AC">
        <w:t>având în vedere Tratatul privind funcționarea Uniunii Europene, în special articolul 312,</w:t>
      </w:r>
    </w:p>
    <w:p w:rsidR="00757390" w:rsidRPr="00C454AC" w:rsidRDefault="00757390" w:rsidP="00757390">
      <w:r w:rsidRPr="00C454AC">
        <w:t>având în vedere Tratatul de instituire a Comunității Europene a Energiei Atomice, în special articolul 106a,</w:t>
      </w:r>
    </w:p>
    <w:p w:rsidR="00757390" w:rsidRPr="00C454AC" w:rsidRDefault="00757390" w:rsidP="00757390">
      <w:r w:rsidRPr="00C454AC">
        <w:t>având în vedere propunerea Comisiei Europene,</w:t>
      </w:r>
    </w:p>
    <w:p w:rsidR="00757390" w:rsidRPr="00C454AC" w:rsidRDefault="00757390" w:rsidP="00757390">
      <w:pPr>
        <w:rPr>
          <w:szCs w:val="24"/>
        </w:rPr>
      </w:pPr>
      <w:r w:rsidRPr="00C454AC">
        <w:t>având în vedere aprobarea Parlamentului European</w:t>
      </w:r>
      <w:r w:rsidRPr="00C454AC">
        <w:rPr>
          <w:rStyle w:val="FootnoteReference"/>
        </w:rPr>
        <w:footnoteReference w:id="2"/>
      </w:r>
      <w:r w:rsidRPr="00C454AC">
        <w:t>,</w:t>
      </w:r>
    </w:p>
    <w:p w:rsidR="00757390" w:rsidRPr="00C454AC" w:rsidRDefault="00757390" w:rsidP="00757390">
      <w:pPr>
        <w:rPr>
          <w:szCs w:val="24"/>
        </w:rPr>
      </w:pPr>
      <w:r w:rsidRPr="00C454AC">
        <w:t>după transmiterea proiectului de act legislativ către parlamentele naționale,</w:t>
      </w:r>
    </w:p>
    <w:p w:rsidR="00757390" w:rsidRPr="00C454AC" w:rsidRDefault="00757390" w:rsidP="00757390">
      <w:r w:rsidRPr="00C454AC">
        <w:t>hotărând în conformitate cu o procedură legislativă specială,</w:t>
      </w:r>
    </w:p>
    <w:p w:rsidR="00757390" w:rsidRPr="00C454AC" w:rsidRDefault="00757390" w:rsidP="00757390">
      <w:r w:rsidRPr="00C454AC">
        <w:br w:type="page"/>
      </w:r>
      <w:r w:rsidRPr="00C454AC">
        <w:lastRenderedPageBreak/>
        <w:t>întrucât:</w:t>
      </w:r>
    </w:p>
    <w:p w:rsidR="00757390" w:rsidRPr="00C454AC" w:rsidRDefault="00757390" w:rsidP="00757390">
      <w:pPr>
        <w:pStyle w:val="ManualConsidrant"/>
        <w:spacing w:line="240" w:lineRule="auto"/>
      </w:pPr>
      <w:r w:rsidRPr="00C454AC">
        <w:t>(1)</w:t>
      </w:r>
      <w:r w:rsidRPr="00C454AC">
        <w:tab/>
        <w:t>Comisia a prezentat o evaluare a funcționării cadrului financiar multianual (CFM) pentru perioada 2021-2027, prevăzut în Regulamentul (UE, Euratom) 2020/2093 al Consiliului</w:t>
      </w:r>
      <w:r w:rsidRPr="00C454AC">
        <w:rPr>
          <w:rStyle w:val="FootnoteReference"/>
        </w:rPr>
        <w:footnoteReference w:id="3"/>
      </w:r>
      <w:r w:rsidRPr="00C454AC">
        <w:t>, după primii ani în care a fost pus în aplicare, inclusiv o evaluare a sustenabilității plafoanelor de cheltuieli.</w:t>
      </w:r>
    </w:p>
    <w:p w:rsidR="00757390" w:rsidRPr="00C454AC" w:rsidRDefault="00757390" w:rsidP="00757390">
      <w:pPr>
        <w:pStyle w:val="ManualConsidrant"/>
        <w:spacing w:line="240" w:lineRule="auto"/>
      </w:pPr>
      <w:r w:rsidRPr="00C454AC">
        <w:t>(2)</w:t>
      </w:r>
      <w:r w:rsidRPr="00C454AC">
        <w:tab/>
        <w:t>Începând din decembrie 2020, Uniunea s-a confruntat cu o serie de provocări fără precedent și neașteptate. Uniunea a acționat rapid și a utilizat toate mijloacele de care dispune, însă flexibilitatea bugetară limitată prevăzută în CFM pentru perioada 2021-2027 este aproape epuizată, ceea ce afectează capacitatea bugetului Uniunii de a aborda chiar și cele mai urgente provocări.</w:t>
      </w:r>
    </w:p>
    <w:p w:rsidR="00757390" w:rsidRPr="00C454AC" w:rsidRDefault="00757390" w:rsidP="00757390">
      <w:pPr>
        <w:pStyle w:val="ManualConsidrant"/>
        <w:spacing w:line="240" w:lineRule="auto"/>
      </w:pPr>
      <w:r w:rsidRPr="00C454AC">
        <w:t>(3)</w:t>
      </w:r>
      <w:r w:rsidRPr="00C454AC">
        <w:tab/>
        <w:t>În primii ani de punere în aplicare a CFM au fost utilizate pe scară largă instrumente speciale pentru a aborda mai multe provocări. Adoptarea unor măsuri suplimentare este în continuare necesară, în timp ce disponibilitățile bugetare necesare pentru a face față unor astfel de situații în perioada rămasă din CFM sunt limitate.</w:t>
      </w:r>
    </w:p>
    <w:p w:rsidR="00757390" w:rsidRPr="00C454AC" w:rsidRDefault="00757390" w:rsidP="00757390">
      <w:pPr>
        <w:pStyle w:val="ManualConsidrant"/>
        <w:spacing w:line="240" w:lineRule="auto"/>
      </w:pPr>
      <w:r w:rsidRPr="00C454AC">
        <w:br w:type="page"/>
      </w:r>
      <w:r w:rsidRPr="00C454AC">
        <w:lastRenderedPageBreak/>
        <w:t>(4)</w:t>
      </w:r>
      <w:r w:rsidRPr="00C454AC">
        <w:tab/>
        <w:t>Bugetul Uniunii ar trebui să îi permită acesteia să ofere răspunsurile necesare la nivelul politicilor pentru abordarea provocărilor emergente și să își îndeplinească obligațiile legale care nu pot fi încadrate în limitele plafoanelor existente și nici prin intermediul unei flexibilități epuizate. Plafoanele de cheltuieli pentru creditele de angajament de la rubricile 1, 2, 3, 4, 5 și 6 ar trebui să fie modificate pentru exercițiile 2024, 2025, 2026 și 2027. Astfel, deși plafoanele de cheltuieli pentru creditele de plată pot fi menținute la nivelurile lor actuale, plafonul creditelor de plată pentru Instrumentul de marjă unic pentru 2026 ar trebui să fie ajustat pentru a se evita riscul acumulării de plăți restante. În plus, ar trebui să fie modificate cuantumul total al alocărilor suplimentare în cadrul ajustării specifice fiecărui program prevăzute la articolul 5, precum și tabelul aferent din anexa II la Regulamentul (UE, Euratom) 2020/2093.</w:t>
      </w:r>
    </w:p>
    <w:p w:rsidR="00757390" w:rsidRPr="00C454AC" w:rsidRDefault="00757390" w:rsidP="00757390">
      <w:pPr>
        <w:pStyle w:val="ManualConsidrant"/>
        <w:spacing w:line="240" w:lineRule="auto"/>
      </w:pPr>
      <w:r w:rsidRPr="00C454AC">
        <w:t>(5)</w:t>
      </w:r>
      <w:r w:rsidRPr="00C454AC">
        <w:tab/>
        <w:t xml:space="preserve">Ar trebui, de asemenea, să fie modificate cuantumurile aferente Rezervei de ajustare la </w:t>
      </w:r>
      <w:proofErr w:type="spellStart"/>
      <w:r w:rsidRPr="00C454AC">
        <w:t>Brexit</w:t>
      </w:r>
      <w:proofErr w:type="spellEnd"/>
      <w:r w:rsidRPr="00C454AC">
        <w:t xml:space="preserve"> și Fondului european de ajustare la globalizare.</w:t>
      </w:r>
    </w:p>
    <w:p w:rsidR="00757390" w:rsidRPr="00C454AC" w:rsidRDefault="00757390" w:rsidP="00757390">
      <w:pPr>
        <w:pStyle w:val="ManualConsidrant"/>
        <w:spacing w:line="240" w:lineRule="auto"/>
        <w:rPr>
          <w:color w:val="000000"/>
        </w:rPr>
      </w:pPr>
      <w:r w:rsidRPr="00C454AC">
        <w:t>(6)</w:t>
      </w:r>
      <w:r w:rsidRPr="00C454AC">
        <w:tab/>
        <w:t>Războiul ilegal de agresiune al Rusiei împotriva Ucrainei a însemnat o revenire a războiului pe teritoriul european. Uniunea va continua să sprijine Ucraina atât timp cât este necesar și o va ajuta în mod categoric pe calea sa europeană. În acest scop, Parlamentul European și Consiliul au adoptat Regulamentul (UE) 2024/… al Parlamentului European și al Consiliului</w:t>
      </w:r>
      <w:r w:rsidRPr="00C454AC">
        <w:rPr>
          <w:rStyle w:val="FootnoteReference"/>
        </w:rPr>
        <w:footnoteReference w:id="4"/>
      </w:r>
      <w:r w:rsidRPr="00C454AC">
        <w:rPr>
          <w:rStyle w:val="FootnoteReference"/>
        </w:rPr>
        <w:footnoteReference w:customMarkFollows="1" w:id="5"/>
        <w:t>+</w:t>
      </w:r>
      <w:r w:rsidRPr="00C454AC">
        <w:t xml:space="preserve"> ca răspuns al Uniunii în sprijinul stabilității macrofinanciare, al reconstrucției și al modernizării Ucrainei, susținând în același timp eforturile de reformă ale Ucrainei ca parte a procesului său de aderare la Uniune (denumit în continuare „Mecanismul pentru Ucraina”).</w:t>
      </w:r>
    </w:p>
    <w:p w:rsidR="00757390" w:rsidRPr="00C454AC" w:rsidRDefault="00757390" w:rsidP="00757390">
      <w:pPr>
        <w:pStyle w:val="ManualConsidrant"/>
        <w:spacing w:line="240" w:lineRule="auto"/>
      </w:pPr>
      <w:r w:rsidRPr="00C454AC">
        <w:br w:type="page"/>
      </w:r>
      <w:r w:rsidRPr="00C454AC">
        <w:lastRenderedPageBreak/>
        <w:t>(7)</w:t>
      </w:r>
      <w:r w:rsidRPr="00C454AC">
        <w:tab/>
        <w:t>Având în vedere incertitudinile legate de războiul de agresiune al Rusiei, Mecanismul pentru Ucraina ar trebui să fie un instrument flexibil, care să ofere, până în 2027, o modalitate și un nivel de sprijin adecvate. Sprijinul acordat în cadrul Mecanismului pentru Ucraina ar trebui să fie furnizat sub formă de împrumuturi, sprijin nerambursabil și prin constituirea de provizioane pentru garanții bugetare.</w:t>
      </w:r>
    </w:p>
    <w:p w:rsidR="00757390" w:rsidRPr="00C454AC" w:rsidRDefault="00757390" w:rsidP="00757390">
      <w:pPr>
        <w:pStyle w:val="ManualConsidrant"/>
        <w:spacing w:line="240" w:lineRule="auto"/>
      </w:pPr>
      <w:r w:rsidRPr="00C454AC">
        <w:t>(8)</w:t>
      </w:r>
      <w:r w:rsidRPr="00C454AC">
        <w:tab/>
        <w:t>În ceea ce privește partea de sprijin din cadrul Mecanismului pentru Ucraina furnizată sub formă de împrumuturi, este oportun ca garanția existentă de la bugetul Uniunii să fie prelungită până în 2027 pentru a acoperi asistența financiară pusă la dispoziția Ucrainei. În consecință, ar trebui să fie posibil să se mobilizeze creditele necesare în bugetul Uniunii peste plafoanele din CFM pentru asistența financiară în favoarea Ucrainei disponibilă până la sfârșitul anului 2027. Pe lângă acoperirea ajutorului financiar pe termen scurt pentru Ucraina prevăzut deja în Regulamentul (UE) 2022/2463, garanția de la bugetul Uniunii ar trebui să acopere o asistență financiară pentru Ucraina în valoare de până la 33 de miliarde EUR, astfel cum se specifică în Regulamentul (UE) 2024/…</w:t>
      </w:r>
      <w:r w:rsidRPr="00C454AC">
        <w:rPr>
          <w:rStyle w:val="FootnoteReference"/>
        </w:rPr>
        <w:footnoteReference w:customMarkFollows="1" w:id="6"/>
        <w:t>+</w:t>
      </w:r>
      <w:r w:rsidRPr="00C454AC">
        <w:rPr>
          <w:color w:val="000000" w:themeColor="text1"/>
        </w:rPr>
        <w:t>.</w:t>
      </w:r>
    </w:p>
    <w:p w:rsidR="00757390" w:rsidRPr="00C454AC" w:rsidRDefault="00757390" w:rsidP="00757390">
      <w:pPr>
        <w:pStyle w:val="ManualConsidrant"/>
        <w:spacing w:line="240" w:lineRule="auto"/>
      </w:pPr>
      <w:r w:rsidRPr="00C454AC">
        <w:br w:type="page"/>
      </w:r>
      <w:r w:rsidRPr="00C454AC">
        <w:lastRenderedPageBreak/>
        <w:t>(9)</w:t>
      </w:r>
      <w:r w:rsidRPr="00C454AC">
        <w:tab/>
        <w:t>În ceea ce privește partea de sprijin din cadrul Mecanismului pentru Ucraina furnizată sub formă de sprijin nerambursabil și prin constituirea de provizioane pentru garanțiile bugetare, creditele ar trebui să fie furnizate prin intermediul unui nou instrument special tematic, și anume „Rezerva pentru Ucraina”. Creditele de angajament și creditele de plată corespunzătoare ar trebui să fie mobilizate anual în cadrul procedurii bugetare prevăzute la articolul 314 din Tratatul privind funcționarea Uniunii Europene (TFUE), peste plafoanele CFM. Pentru evoluția ordonată a cheltuielilor care urmează să fie programate în temeiul dispozițiilor relevante din Regulamentul (UE) 2024/…</w:t>
      </w:r>
      <w:r w:rsidRPr="00C454AC">
        <w:rPr>
          <w:rStyle w:val="FootnoteReference"/>
        </w:rPr>
        <w:footnoteReference w:customMarkFollows="1" w:id="7"/>
        <w:t>+</w:t>
      </w:r>
      <w:r w:rsidRPr="00C454AC">
        <w:t xml:space="preserve"> și, în special, având în vedere cuantumurile care urmează să fie stabilite în Planul pentru Ucraina, este oportun să se stabilească cuantumurile totale și cuantumurile maxime anuale care pot fi puse la dispoziție pentru Rezerva pentru Ucraina în perioada 2024</w:t>
      </w:r>
      <w:r w:rsidRPr="00C454AC">
        <w:noBreakHyphen/>
        <w:t>2027. Pentru a se asigura execuția integrală și flexibilitatea de la un exercițiu la altul, în limita cuantumului total, ar trebui să fie posibilă utilizarea în exercițiile următoare, până în 2027, a părții nemobilizate din cuantumul anual dintr-un anumit exercițiu, în plus față de cuantumul anual maxim pentru exercițiul relevant.</w:t>
      </w:r>
    </w:p>
    <w:p w:rsidR="00757390" w:rsidRPr="00C454AC" w:rsidRDefault="00757390" w:rsidP="00757390">
      <w:pPr>
        <w:pStyle w:val="ManualConsidrant"/>
        <w:spacing w:line="240" w:lineRule="auto"/>
      </w:pPr>
      <w:r w:rsidRPr="00C454AC">
        <w:br w:type="page"/>
      </w:r>
      <w:r w:rsidRPr="00C454AC">
        <w:lastRenderedPageBreak/>
        <w:t>(10)</w:t>
      </w:r>
      <w:r w:rsidRPr="00C454AC">
        <w:tab/>
        <w:t xml:space="preserve">Începând din 2022, Uniunea și majoritatea marilor economii au înregistrat o creștere bruscă a ratelor dobânzii pentru toți emitenții de obligațiuni, inclusiv pentru Uniune. Prin urmare, se preconizează că costurile de finanțare pentru împrumuturile din cadrul Instrumentului de redresare al Uniunii Europene </w:t>
      </w:r>
      <w:proofErr w:type="spellStart"/>
      <w:r w:rsidRPr="00C454AC">
        <w:t>NextGenerationEU</w:t>
      </w:r>
      <w:proofErr w:type="spellEnd"/>
      <w:r w:rsidRPr="00C454AC">
        <w:t xml:space="preserve"> (EURI), care urmează să fie suportate de la bugetul Uniunii în temeiul articolului 5 alineatul (2) din Decizia (UE, Euratom) 2020/2053 a Consiliului</w:t>
      </w:r>
      <w:r w:rsidRPr="00C454AC">
        <w:rPr>
          <w:rStyle w:val="FootnoteReference"/>
        </w:rPr>
        <w:footnoteReference w:id="8"/>
      </w:r>
      <w:r w:rsidRPr="00C454AC">
        <w:t>, vor depăși estimările programate inițial în cadrul plafoanelor din CFM la momentul adoptării acestuia în decembrie 2020, care au fost de 2 332 de milioane EUR pentru 2025 (la prețurile din 2018), 3 196 de milioane EUR pentru 2026 (la prețurile din 2018) și, respectiv, 4 168 de milioane EUR pentru 2027 (la prețurile din 2018).</w:t>
      </w:r>
    </w:p>
    <w:p w:rsidR="00757390" w:rsidRPr="00C454AC" w:rsidRDefault="00757390" w:rsidP="00757390">
      <w:pPr>
        <w:pStyle w:val="ManualConsidrant"/>
        <w:spacing w:line="240" w:lineRule="auto"/>
        <w:rPr>
          <w:color w:val="000000" w:themeColor="text1"/>
        </w:rPr>
      </w:pPr>
      <w:r w:rsidRPr="00C454AC">
        <w:t>(11)</w:t>
      </w:r>
      <w:r w:rsidRPr="00C454AC">
        <w:tab/>
        <w:t>Având în vedere incertitudinile legate de evoluția viitoare a ratelor dobânzii în condiții de piață aflate în schimbare, precum și nevoile generale de împrumut în vederea finanțării prin EURI a programelor în curs ale Uniunii, este oportun să se stabilească, ca parte a dispozițiilor necesare pentru buna desfășurare a procedurii bugetare anuale și pentru asigurarea punerii la dispoziție a mijloacelor financiare care să permită Uniunii să își îndeplinească obligațiile juridice, un instrument excepțional și temporar, limitat la durata actualului CFM, pentru a acoperi costurile de finanțare pentru împrumuturile EURI care depășesc cuantumurile programate inițial. Prin urmare, ar trebui creat un nou instrument special tematic, „Instrumentul EURI”, cu scopul unic de a acoperi depășirile de costuri neacoperite. Acest instrument ar trebui să aibă un caracter excepțional și nu să nu poată fi considerat drept precedent pentru viitoarele dispoziții ale CFM-urilor de după 2027, în special pentru acoperirea costurilor aferente plăților de dobânzi pentru fondurile împrumutate de pe piețe în vederea finanțării EURI</w:t>
      </w:r>
      <w:r w:rsidRPr="00C454AC">
        <w:rPr>
          <w:color w:val="000000" w:themeColor="text1"/>
        </w:rPr>
        <w:t>.</w:t>
      </w:r>
    </w:p>
    <w:p w:rsidR="00757390" w:rsidRPr="00C454AC" w:rsidRDefault="00757390" w:rsidP="00757390">
      <w:pPr>
        <w:pStyle w:val="ManualConsidrant"/>
        <w:spacing w:line="240" w:lineRule="auto"/>
        <w:rPr>
          <w:color w:val="000000"/>
          <w:shd w:val="clear" w:color="auto" w:fill="FFFFFF"/>
        </w:rPr>
      </w:pPr>
      <w:r w:rsidRPr="00C454AC">
        <w:br w:type="page"/>
      </w:r>
      <w:r w:rsidRPr="00C454AC">
        <w:rPr>
          <w:color w:val="000000" w:themeColor="text1"/>
        </w:rPr>
        <w:lastRenderedPageBreak/>
        <w:t>(12)</w:t>
      </w:r>
      <w:r w:rsidRPr="00C454AC">
        <w:tab/>
        <w:t>Instrumentul EURI ar trebui să fie mobilizat de autoritatea bugetară în cursul procedurii bugetare anuale numai dacă este necesar. Fără a aduce atingere prerogativelor autorității bugetare, acesta ar trebui să fie mobilizat după ce s-au căutat alte posibilități de finanțare, inclusiv prin marja creată în urma execuției bugetare a programelor și prin restabilirea priorităților, precum și prin instrumente speciale netematice, care să acopere pe cât posibil o parte substanțială a cuantumurilor necesare care le depășesc pe cele înscrise inițial în linia bugetară existentă pentru EURI la rubrica 2b, astfel încât să fie mobilizat, drept valoare de referință, un cuantum echivalent cu aproximativ 50 % din depășirile de costuri ale plăților dobânzilor aferente EURI. Acest lucru se va realiza în conformitate cu normele sectoriale aplicabile și cu alte obligații legale și avându-se în vedere prioritățile, prudența la întocmirea bugetului și buna gestiune financiară, care necesită în special marje adecvate pentru cheltuieli neprevăzute. Pachetele financiare naționale ale statelor membre care au făcut obiectul unor angajamente juridice, în special cele din cadrul politicii agricole comune și al politicii de coeziune, nu vor fi afectate. Creditele de angajament și creditele de plată corespunzătoare aferente Instrumentului EURI în bugetul Uniunii ar trebui să fie puse la dispoziție peste plafoanele CFM. În cadrul Instrumentului EURI, ar trebui să se utilizeze mai întâi un cuantum echivalent cu dezangajările de credite, altele decât veniturile alocate externe, efectuate de la începutul actualului CFM. Cuantumurile dezangajărilor reconstituite în conformitate cu dispozițiile relevante existente nu ar trebui să fie luate în calcul. Cuantumul disponibil al dezangajărilor pentru Instrumentul EURI ar trebui să fie calculat în fiecare an ca parte a ajustării tehnice a CFM, prezentând în mod clar disponibilitățile totale și cuantumurile deja luate în considerare în cadrul mobilizărilor anterioare ale Instrumentului EURI. În situația neașteptată în care o depășire ar rămâne neacoperită, cuantumul suplimentar necesar pentru finanțarea integrală a costurilor ar trebui să fie mobilizat în cadrul Instrumentului EURI ca mecanism de sprijin în ultimă instanță. În cazul în care, în mod excepțional, unul sau mai multe state membre consideră că există motive serioase de îngrijorare cu privire la mobilizarea acestui mecanism de sprijin, ele ar putea solicita ca președintele Consiliului European să supună această chestiune atenției următorului Consiliu European. Acest proces ar trebui, în principiu, să nu dureze mai mult de o lună și ar trebui să respecte în mod deplin prerogativele instituțiilor astfel cum sunt consacrate în tratate</w:t>
      </w:r>
      <w:r w:rsidRPr="00C454AC">
        <w:rPr>
          <w:color w:val="000000" w:themeColor="text1"/>
        </w:rPr>
        <w:t>.</w:t>
      </w:r>
    </w:p>
    <w:p w:rsidR="00757390" w:rsidRPr="00C454AC" w:rsidRDefault="00757390" w:rsidP="00757390">
      <w:pPr>
        <w:pStyle w:val="ManualConsidrant"/>
        <w:spacing w:line="240" w:lineRule="auto"/>
      </w:pPr>
      <w:r w:rsidRPr="00C454AC">
        <w:br w:type="page"/>
      </w:r>
      <w:r w:rsidRPr="00C454AC">
        <w:lastRenderedPageBreak/>
        <w:t>(13)</w:t>
      </w:r>
      <w:r w:rsidRPr="00C454AC">
        <w:tab/>
        <w:t>Având în vedere dezastrele naturale care au avut loc în statele membre și în țări implicate în negocieri de aderare cu Uniunea, precum și dezastrele naturale și crizele umanitare din țări terțe și pentru a asigura o finanțare adecvată pentru ambele situații, Rezerva pentru solidaritate și ajutoare de urgență existentă ar trebui să fie consolidată și ar trebui să fie scindată în două instrumente separate: „Rezerva pentru solidaritate europeană” pentru a oferi sprijin țărilor și regiunilor afectate în cadrul Fondului de solidaritate al Uniunii Europene instituit prin Regulamentul (CE) nr. 2012/2002 al Consiliului</w:t>
      </w:r>
      <w:r w:rsidRPr="00C454AC">
        <w:rPr>
          <w:rStyle w:val="FootnoteReference"/>
        </w:rPr>
        <w:footnoteReference w:id="9"/>
      </w:r>
      <w:r w:rsidRPr="00C454AC">
        <w:t xml:space="preserve"> și „Rezerva pentru ajutoare de urgență” pentru a acorda majorări bugetare programelor relevante ale Uniunii ca răspuns la crize și situații de urgență din interiorul și din afara Uniunii.</w:t>
      </w:r>
    </w:p>
    <w:p w:rsidR="00757390" w:rsidRPr="00C454AC" w:rsidRDefault="00757390" w:rsidP="00757390">
      <w:pPr>
        <w:pStyle w:val="ManualConsidrant"/>
        <w:spacing w:line="240" w:lineRule="auto"/>
      </w:pPr>
      <w:r w:rsidRPr="00C454AC">
        <w:t>(14)</w:t>
      </w:r>
      <w:r w:rsidRPr="00C454AC">
        <w:tab/>
        <w:t>Instrumentul de flexibilitate ar trebui să fie consolidat, astfel încât să se mențină o capacitate suficientă a Uniunii de a reacționa la circumstanțe neprevăzute până în 2027. Cuantumurile anulate din Rezerva pentru solidaritate europeană și din Rezerva pentru ajutoare de urgență ar trebui să fie puse la dispoziția Instrumentului de flexibilitate începând din 2024.</w:t>
      </w:r>
    </w:p>
    <w:p w:rsidR="00757390" w:rsidRPr="00C454AC" w:rsidRDefault="00757390" w:rsidP="00757390">
      <w:pPr>
        <w:pStyle w:val="ManualConsidrant"/>
        <w:spacing w:line="240" w:lineRule="auto"/>
      </w:pPr>
      <w:r w:rsidRPr="00C454AC">
        <w:t>(15)</w:t>
      </w:r>
      <w:r w:rsidRPr="00C454AC">
        <w:tab/>
        <w:t>Având în vedere aceste evenimente neprevăzute și noile provocări, este necesară revizuirea CFM și, prin urmare, Regulamentul (UE, Euratom) 2020/2093 ar trebui să fie modificat în consecință.</w:t>
      </w:r>
    </w:p>
    <w:p w:rsidR="00757390" w:rsidRPr="00C454AC" w:rsidRDefault="00757390" w:rsidP="00757390">
      <w:pPr>
        <w:pStyle w:val="ManualConsidrant"/>
        <w:spacing w:line="240" w:lineRule="auto"/>
      </w:pPr>
      <w:r w:rsidRPr="00C454AC">
        <w:br w:type="page"/>
      </w:r>
      <w:r w:rsidRPr="00C454AC">
        <w:lastRenderedPageBreak/>
        <w:t>(16)</w:t>
      </w:r>
      <w:r w:rsidRPr="00C454AC">
        <w:tab/>
        <w:t>Modificările aduse Regulamentului (UE, Euratom) 2020/2093 nu aduc atingere obligației de a respecta plafoanele resurselor proprii prevăzute la articolul 3 alineatul (1) și articolul 6 din Decizia (UE, Euratom) 2020/2053.</w:t>
      </w:r>
    </w:p>
    <w:p w:rsidR="00757390" w:rsidRPr="00C454AC" w:rsidRDefault="00757390" w:rsidP="00757390">
      <w:pPr>
        <w:pStyle w:val="ManualConsidrant"/>
        <w:spacing w:line="240" w:lineRule="auto"/>
      </w:pPr>
      <w:r w:rsidRPr="00C454AC">
        <w:t>(17)</w:t>
      </w:r>
      <w:r w:rsidRPr="00C454AC">
        <w:tab/>
        <w:t xml:space="preserve">Având în vedere situația din Ucraina, prezentul regulament ar trebui să intre în vigoare în regim de urgență la data publicării în </w:t>
      </w:r>
      <w:r w:rsidRPr="00C454AC">
        <w:rPr>
          <w:i/>
        </w:rPr>
        <w:t>Jurnalul Oficial al Uniunii Europene</w:t>
      </w:r>
      <w:r w:rsidRPr="00C454AC">
        <w:t xml:space="preserve"> și ar trebui să se aplice cu efect retroactiv de la 1 ianuarie 2024,</w:t>
      </w:r>
    </w:p>
    <w:p w:rsidR="00757390" w:rsidRPr="00C454AC" w:rsidRDefault="00757390" w:rsidP="00757390">
      <w:pPr>
        <w:pStyle w:val="Formuledadoption"/>
        <w:spacing w:line="240" w:lineRule="auto"/>
      </w:pPr>
      <w:r w:rsidRPr="00C454AC">
        <w:t>ADOPTĂ PREZENTUL REGULAMENT:</w:t>
      </w:r>
    </w:p>
    <w:p w:rsidR="00757390" w:rsidRPr="00C454AC" w:rsidRDefault="00757390" w:rsidP="00757390">
      <w:pPr>
        <w:pStyle w:val="Titrearticle"/>
        <w:spacing w:line="240" w:lineRule="auto"/>
      </w:pPr>
      <w:r w:rsidRPr="00C454AC">
        <w:br w:type="page"/>
      </w:r>
      <w:r w:rsidRPr="00C454AC">
        <w:lastRenderedPageBreak/>
        <w:t>Articolul 1</w:t>
      </w:r>
    </w:p>
    <w:p w:rsidR="00757390" w:rsidRPr="00C454AC" w:rsidRDefault="00757390" w:rsidP="00757390">
      <w:r w:rsidRPr="00C454AC">
        <w:t>Regulamentul (UE, Euratom) 2020/2093 se modifică după cum urmează:</w:t>
      </w:r>
    </w:p>
    <w:p w:rsidR="00757390" w:rsidRPr="00C454AC" w:rsidRDefault="00757390" w:rsidP="00757390">
      <w:pPr>
        <w:pStyle w:val="Point0"/>
        <w:spacing w:line="240" w:lineRule="auto"/>
      </w:pPr>
      <w:r w:rsidRPr="00C454AC">
        <w:t>1.</w:t>
      </w:r>
      <w:r w:rsidRPr="00C454AC">
        <w:tab/>
        <w:t>Articolul 2 se modifică după cum urmează:</w:t>
      </w:r>
    </w:p>
    <w:p w:rsidR="00757390" w:rsidRPr="00C454AC" w:rsidRDefault="00757390" w:rsidP="00757390">
      <w:pPr>
        <w:pStyle w:val="Point1"/>
        <w:spacing w:line="240" w:lineRule="auto"/>
      </w:pPr>
      <w:r w:rsidRPr="00C454AC">
        <w:t>(a)</w:t>
      </w:r>
      <w:r w:rsidRPr="00C454AC">
        <w:tab/>
        <w:t>la alineatul (2), primul paragraf se înlocuiește cu următorul text:</w:t>
      </w:r>
    </w:p>
    <w:p w:rsidR="00757390" w:rsidRPr="00C454AC" w:rsidRDefault="00757390" w:rsidP="00757390">
      <w:pPr>
        <w:pStyle w:val="Point2"/>
        <w:spacing w:line="240" w:lineRule="auto"/>
      </w:pPr>
      <w:r w:rsidRPr="00C454AC">
        <w:t>„(2)</w:t>
      </w:r>
      <w:r w:rsidRPr="00C454AC">
        <w:tab/>
        <w:t>În cazul în care este necesară folosirea resurselor din instrumentele speciale prevăzute la articolele 8, 9, 10, 10a, 10b și 12, creditele de angajament și creditele de plată corespunzătoare se înscriu în buget peste plafoanele relevante din CFM.”;</w:t>
      </w:r>
    </w:p>
    <w:p w:rsidR="00757390" w:rsidRPr="00C454AC" w:rsidRDefault="00757390" w:rsidP="00757390">
      <w:pPr>
        <w:pStyle w:val="Point1"/>
        <w:spacing w:line="240" w:lineRule="auto"/>
      </w:pPr>
      <w:r w:rsidRPr="00C454AC">
        <w:t>(b)</w:t>
      </w:r>
      <w:r w:rsidRPr="00C454AC">
        <w:tab/>
        <w:t>la alineatul (3), se adaugă următorul paragraf:</w:t>
      </w:r>
    </w:p>
    <w:p w:rsidR="00757390" w:rsidRPr="00C454AC" w:rsidRDefault="00757390" w:rsidP="00757390">
      <w:pPr>
        <w:pStyle w:val="Text2"/>
        <w:spacing w:line="240" w:lineRule="auto"/>
      </w:pPr>
      <w:r w:rsidRPr="00C454AC">
        <w:t>„În cazul în care este necesar să se mobilizeze o garanție pentru asistența financiară acordată Ucrainei, care este disponibilă pentru exercițiile 2024-2027 pentru un cuantum total al împrumuturilor de până la 33 000 de milioane EUR în prețuri curente, astfel cum se specifică în Regulamentul (UE) 2024/… al Parlamentului European și al Consiliului</w:t>
      </w:r>
      <w:r w:rsidRPr="00C454AC">
        <w:rPr>
          <w:b/>
          <w:vertAlign w:val="superscript"/>
        </w:rPr>
        <w:t>*</w:t>
      </w:r>
      <w:r w:rsidRPr="00C454AC">
        <w:rPr>
          <w:rStyle w:val="FootnoteReference"/>
        </w:rPr>
        <w:footnoteReference w:customMarkFollows="1" w:id="10"/>
        <w:t>+</w:t>
      </w:r>
      <w:r w:rsidRPr="00C454AC">
        <w:t>, și care a fost autorizată în conformitate cu articolul 220 alineatul (1) din Regulamentul financiar, cuantumul necesar se mobilizează peste plafoanele din CFM.</w:t>
      </w:r>
    </w:p>
    <w:p w:rsidR="00757390" w:rsidRPr="00C454AC" w:rsidRDefault="00757390" w:rsidP="00757390">
      <w:pPr>
        <w:pStyle w:val="Text2"/>
        <w:spacing w:line="240" w:lineRule="auto"/>
      </w:pPr>
      <w:r w:rsidRPr="00C454AC">
        <w:t>_______________</w:t>
      </w:r>
    </w:p>
    <w:p w:rsidR="00757390" w:rsidRPr="00C454AC" w:rsidRDefault="00757390" w:rsidP="00757390">
      <w:pPr>
        <w:pStyle w:val="Point2"/>
        <w:spacing w:before="0" w:line="240" w:lineRule="auto"/>
        <w:ind w:left="1985"/>
      </w:pPr>
      <w:r w:rsidRPr="00C454AC">
        <w:rPr>
          <w:b/>
          <w:vertAlign w:val="superscript"/>
        </w:rPr>
        <w:t>*</w:t>
      </w:r>
      <w:r w:rsidRPr="00C454AC">
        <w:tab/>
        <w:t>Regulamentul (UE) 2024/… al Parlamentului European și al Consiliului din … de instituire a Mecanismului pentru Ucraina (JO L, …, ELI: …).”</w:t>
      </w:r>
    </w:p>
    <w:p w:rsidR="00757390" w:rsidRPr="00C454AC" w:rsidRDefault="00757390" w:rsidP="00757390">
      <w:pPr>
        <w:pStyle w:val="Point0"/>
        <w:spacing w:line="240" w:lineRule="auto"/>
      </w:pPr>
      <w:r w:rsidRPr="00C454AC">
        <w:br w:type="page"/>
      </w:r>
      <w:r w:rsidRPr="00C454AC">
        <w:lastRenderedPageBreak/>
        <w:t>2.</w:t>
      </w:r>
      <w:r w:rsidRPr="00C454AC">
        <w:tab/>
        <w:t>La articolul 4 alineatul (1), se adaugă următoarele litere:</w:t>
      </w:r>
    </w:p>
    <w:p w:rsidR="00757390" w:rsidRPr="00C454AC" w:rsidRDefault="00757390" w:rsidP="00757390">
      <w:pPr>
        <w:pStyle w:val="Point1"/>
        <w:spacing w:line="240" w:lineRule="auto"/>
      </w:pPr>
      <w:r w:rsidRPr="00C454AC">
        <w:t>„(f)</w:t>
      </w:r>
      <w:r w:rsidRPr="00C454AC">
        <w:tab/>
        <w:t>calcularea cuantumului disponibil pentru Instrumentul EURI în conformitate cu articolul 10a alineatul (3) litera (a);</w:t>
      </w:r>
    </w:p>
    <w:p w:rsidR="00757390" w:rsidRPr="00C454AC" w:rsidRDefault="00757390" w:rsidP="00757390">
      <w:pPr>
        <w:pStyle w:val="Point1"/>
        <w:spacing w:line="240" w:lineRule="auto"/>
      </w:pPr>
      <w:r w:rsidRPr="00C454AC">
        <w:t>(g)</w:t>
      </w:r>
      <w:r w:rsidRPr="00C454AC">
        <w:tab/>
        <w:t>calcularea cuantumurilor care trebuie să fie puse la dispoziția Instrumentului de flexibilitate în temeiul articolului 12 alineatul (1) al doilea paragraf.”</w:t>
      </w:r>
    </w:p>
    <w:p w:rsidR="00757390" w:rsidRPr="00C454AC" w:rsidRDefault="00757390" w:rsidP="00757390">
      <w:pPr>
        <w:pStyle w:val="Point0"/>
        <w:spacing w:line="240" w:lineRule="auto"/>
      </w:pPr>
      <w:r w:rsidRPr="00C454AC">
        <w:t>3.</w:t>
      </w:r>
      <w:r w:rsidRPr="00C454AC">
        <w:tab/>
        <w:t>La articolul 5 alineatul (1), al doilea paragraf se înlocuiește cu următorul text:</w:t>
      </w:r>
    </w:p>
    <w:p w:rsidR="00757390" w:rsidRPr="00C454AC" w:rsidRDefault="00757390" w:rsidP="00757390">
      <w:pPr>
        <w:pStyle w:val="Text1"/>
        <w:spacing w:line="240" w:lineRule="auto"/>
      </w:pPr>
      <w:r w:rsidRPr="00C454AC">
        <w:t>„Cuantumul total al alocărilor suplimentare pentru perioada 2022-2027 pentru credite de angajament și, respectiv, pentru credite de plată este de 10 155 de milioane EUR (la prețurile din 2018). Pentru fiecare dintre exercițiile din perioada 2022-2026, cuantumul anual al alocărilor suplimentare pentru credite de angajament și, respectiv, pentru credite de plată este de cel puțin 1 500 de milioane EUR (la prețurile din 2018) și nu depășește 2 000 de milioane EUR (la prețurile din 2018).”</w:t>
      </w:r>
    </w:p>
    <w:p w:rsidR="00757390" w:rsidRPr="00C454AC" w:rsidRDefault="00757390" w:rsidP="00757390">
      <w:pPr>
        <w:pStyle w:val="Point0"/>
        <w:spacing w:line="240" w:lineRule="auto"/>
      </w:pPr>
      <w:r w:rsidRPr="00C454AC">
        <w:br w:type="page"/>
      </w:r>
      <w:r w:rsidRPr="00C454AC">
        <w:lastRenderedPageBreak/>
        <w:t>4.</w:t>
      </w:r>
      <w:r w:rsidRPr="00C454AC">
        <w:tab/>
        <w:t>Articolele 8 și 9 se înlocuiesc cu următorul text:</w:t>
      </w:r>
    </w:p>
    <w:p w:rsidR="00757390" w:rsidRPr="00C454AC" w:rsidRDefault="00757390" w:rsidP="00757390">
      <w:pPr>
        <w:pStyle w:val="Text1"/>
        <w:spacing w:line="240" w:lineRule="auto"/>
        <w:rPr>
          <w:i/>
          <w:iCs/>
        </w:rPr>
      </w:pPr>
      <w:r w:rsidRPr="00C454AC">
        <w:t>„</w:t>
      </w:r>
      <w:r w:rsidRPr="00C454AC">
        <w:rPr>
          <w:i/>
        </w:rPr>
        <w:t xml:space="preserve">Articolul 8 </w:t>
      </w:r>
      <w:r w:rsidRPr="00C454AC">
        <w:rPr>
          <w:i/>
        </w:rPr>
        <w:br/>
        <w:t>Fondul european de ajustare la globalizare</w:t>
      </w:r>
    </w:p>
    <w:p w:rsidR="00757390" w:rsidRPr="00C454AC" w:rsidRDefault="00757390" w:rsidP="00757390">
      <w:pPr>
        <w:pStyle w:val="Point1"/>
        <w:spacing w:line="240" w:lineRule="auto"/>
      </w:pPr>
      <w:r w:rsidRPr="00C454AC">
        <w:t>(1)</w:t>
      </w:r>
      <w:r w:rsidRPr="00C454AC">
        <w:tab/>
        <w:t>Fondul european de ajustare la globalizare, ale cărui obiective și domeniu de aplicare sunt stabilite în Regulamentul (UE) 2021/691 al Parlamentului European și al Consiliului</w:t>
      </w:r>
      <w:r w:rsidRPr="00C454AC">
        <w:rPr>
          <w:b/>
          <w:vertAlign w:val="superscript"/>
        </w:rPr>
        <w:t>*</w:t>
      </w:r>
      <w:r w:rsidRPr="00C454AC">
        <w:t>, nu depășește un cuantum anual maxim de 30 de milioane EUR (la prețurile din 2018).</w:t>
      </w:r>
    </w:p>
    <w:p w:rsidR="00757390" w:rsidRPr="00C454AC" w:rsidRDefault="00757390" w:rsidP="00757390">
      <w:pPr>
        <w:pStyle w:val="Point1"/>
        <w:spacing w:line="240" w:lineRule="auto"/>
      </w:pPr>
      <w:r w:rsidRPr="00C454AC">
        <w:t>(2)</w:t>
      </w:r>
      <w:r w:rsidRPr="00C454AC">
        <w:tab/>
        <w:t>Creditele pentru Fondul european de ajustare la globalizare se înscriu în bugetul general al Uniunii ca provizion.</w:t>
      </w:r>
    </w:p>
    <w:p w:rsidR="00757390" w:rsidRPr="00C454AC" w:rsidRDefault="00757390" w:rsidP="00757390">
      <w:pPr>
        <w:pStyle w:val="Text1"/>
        <w:spacing w:line="240" w:lineRule="auto"/>
        <w:rPr>
          <w:i/>
          <w:iCs/>
        </w:rPr>
      </w:pPr>
      <w:r w:rsidRPr="00C454AC">
        <w:rPr>
          <w:i/>
        </w:rPr>
        <w:t xml:space="preserve">Articolul 9 </w:t>
      </w:r>
      <w:r w:rsidRPr="00C454AC">
        <w:rPr>
          <w:i/>
        </w:rPr>
        <w:br/>
        <w:t>Rezerva pentru solidaritate și ajutoare de urgență</w:t>
      </w:r>
    </w:p>
    <w:p w:rsidR="00757390" w:rsidRPr="00C454AC" w:rsidRDefault="00757390" w:rsidP="00757390">
      <w:pPr>
        <w:pStyle w:val="Point1"/>
        <w:spacing w:line="240" w:lineRule="auto"/>
      </w:pPr>
      <w:r w:rsidRPr="00C454AC">
        <w:t>(1)</w:t>
      </w:r>
      <w:r w:rsidRPr="00C454AC">
        <w:tab/>
        <w:t>Rezerva pentru solidaritate și ajutoare de urgență este constituită din două instrumente care pot fi utilizate pentru a finanța:</w:t>
      </w:r>
    </w:p>
    <w:p w:rsidR="00757390" w:rsidRPr="00C454AC" w:rsidRDefault="00757390" w:rsidP="00757390">
      <w:pPr>
        <w:pStyle w:val="Point2"/>
        <w:spacing w:line="240" w:lineRule="auto"/>
      </w:pPr>
      <w:r w:rsidRPr="00C454AC">
        <w:t>(a)</w:t>
      </w:r>
      <w:r w:rsidRPr="00C454AC">
        <w:tab/>
        <w:t>asistența acordată pentru a răspunde situațiilor de urgență apărute ca urmare a unor dezastre majore care intră sub incidența Fondului de solidaritate al Uniunii Europene, ale cărui obiective și domeniu de aplicare sunt stabilite în Regulamentul (CE) nr. 2012/2002 al Consiliului</w:t>
      </w:r>
      <w:r w:rsidRPr="00C454AC">
        <w:rPr>
          <w:b/>
          <w:vertAlign w:val="superscript"/>
        </w:rPr>
        <w:t>**</w:t>
      </w:r>
      <w:r w:rsidRPr="00C454AC">
        <w:t xml:space="preserve"> (denumită în continuare «Rezerva pentru solidaritate europeană»); și, respectiv,</w:t>
      </w:r>
    </w:p>
    <w:p w:rsidR="00757390" w:rsidRPr="00C454AC" w:rsidRDefault="00757390" w:rsidP="00757390">
      <w:pPr>
        <w:pStyle w:val="Point2"/>
        <w:spacing w:line="240" w:lineRule="auto"/>
      </w:pPr>
      <w:r w:rsidRPr="00C454AC">
        <w:br w:type="page"/>
      </w:r>
      <w:r w:rsidRPr="00C454AC">
        <w:lastRenderedPageBreak/>
        <w:t>(b)</w:t>
      </w:r>
      <w:r w:rsidRPr="00C454AC">
        <w:tab/>
        <w:t>răspunsuri rapide la nevoi specifice de urgență din cadrul Uniunii sau din țări terțe, ca urmare a unor evenimente care nu puteau fi prevăzute în momentul întocmirii bugetului, în special pentru răspunsuri la situații de urgență și operațiuni de sprijin ca urmare a unor dezastre naturale care nu intră sub incidența literei (a), dezastre provocate de om, crize umanitare în cazul amenințărilor de mare amploare la adresa sănătății publice, veterinare sau fitosanitare, precum și în situații de presiune deosebită la frontierele externe ale Uniunii provocată de fluxurile de migrație, atunci când circumstanțele impun acest lucru (denumită în continuare «Rezerva pentru ajutoare de urgență»).</w:t>
      </w:r>
    </w:p>
    <w:p w:rsidR="00757390" w:rsidRPr="00C454AC" w:rsidRDefault="00757390" w:rsidP="00757390">
      <w:pPr>
        <w:pStyle w:val="Point1"/>
        <w:spacing w:line="240" w:lineRule="auto"/>
      </w:pPr>
      <w:r w:rsidRPr="00C454AC">
        <w:t>(2)</w:t>
      </w:r>
      <w:r w:rsidRPr="00C454AC">
        <w:tab/>
        <w:t>Rezerva pentru solidaritate europeană nu depășește un cuantum anual maxim de 1 016 milioane EUR (la prețurile din 2018). Orice parte din cuantumul anual neutilizată în exercițiul n poate fi utilizată până la exercițiul n+1. Mai întâi se utilizează partea din cuantumul anual provenită din exercițiul precedent. Orice parte din cuantumul anual provenită din exercițiul n care nu este utilizată în exercițiul n+1 se anulează.</w:t>
      </w:r>
    </w:p>
    <w:p w:rsidR="00757390" w:rsidRPr="00C454AC" w:rsidRDefault="00757390" w:rsidP="00757390">
      <w:pPr>
        <w:pStyle w:val="Text2"/>
        <w:spacing w:line="240" w:lineRule="auto"/>
      </w:pPr>
      <w:r w:rsidRPr="00C454AC">
        <w:t>La data de 1 octombrie a fiecărui an, cel puțin un sfert din cuantumul anual al Rezervei pentru solidaritate europeană rămâne disponibil pentru a acoperi nevoile apărute până la sfârșitul exercițiului respectiv.</w:t>
      </w:r>
    </w:p>
    <w:p w:rsidR="00757390" w:rsidRPr="00C454AC" w:rsidRDefault="00757390" w:rsidP="00757390">
      <w:pPr>
        <w:pStyle w:val="Text2"/>
        <w:spacing w:line="240" w:lineRule="auto"/>
      </w:pPr>
      <w:r w:rsidRPr="00C454AC">
        <w:br w:type="page"/>
      </w:r>
      <w:r w:rsidRPr="00C454AC">
        <w:lastRenderedPageBreak/>
        <w:t>În cazuri excepționale și în cazul în care resursele financiare rămase disponibile nu sunt suficiente pentru a acoperi cuantumurile considerate necesare în anul în care s-a produs un dezastru, astfel cum se menționează la alineatul (1) litera (a), Comisia poate propune ca diferența să fie finanțată din cuantumul anual menționat la primul paragraf de la prezentul alineat disponibil în exercițiul următor, până la un cuantum maxim de 400 de milioane EUR (la prețurile din 2018).</w:t>
      </w:r>
    </w:p>
    <w:p w:rsidR="00757390" w:rsidRPr="00C454AC" w:rsidRDefault="00757390" w:rsidP="00757390">
      <w:pPr>
        <w:pStyle w:val="Point1"/>
        <w:spacing w:line="240" w:lineRule="auto"/>
      </w:pPr>
      <w:r w:rsidRPr="00C454AC">
        <w:t>(3)</w:t>
      </w:r>
      <w:r w:rsidRPr="00C454AC">
        <w:tab/>
        <w:t>Rezerva pentru ajutoare de urgență nu depășește un cuantum anual maxim de 508 milioane EUR (la prețurile din 2018). Orice parte din cuantumul anual neutilizată în exercițiul n poate fi utilizată până la exercițiul n+1. Mai întâi se utilizează partea din cuantumul anual provenită din exercițiul precedent. Orice parte din cuantumul anual provenită din exercițiul n care nu este utilizată în exercițiul n+1 se anulează.</w:t>
      </w:r>
    </w:p>
    <w:p w:rsidR="00757390" w:rsidRPr="00C454AC" w:rsidRDefault="00757390" w:rsidP="00757390">
      <w:pPr>
        <w:pStyle w:val="Point1"/>
        <w:spacing w:line="240" w:lineRule="auto"/>
      </w:pPr>
      <w:r w:rsidRPr="00C454AC">
        <w:t>(4)</w:t>
      </w:r>
      <w:r w:rsidRPr="00C454AC">
        <w:tab/>
        <w:t>Creditele pentru Rezerva pentru solidaritate europeană și Rezerva pentru ajutoare de urgență se înscriu în bugetul general al Uniunii ca provizion.</w:t>
      </w:r>
    </w:p>
    <w:p w:rsidR="00757390" w:rsidRPr="00C454AC" w:rsidRDefault="00757390" w:rsidP="00757390">
      <w:pPr>
        <w:pStyle w:val="Point1"/>
        <w:spacing w:line="240" w:lineRule="auto"/>
      </w:pPr>
      <w:r w:rsidRPr="00C454AC">
        <w:t>________________</w:t>
      </w:r>
    </w:p>
    <w:p w:rsidR="00757390" w:rsidRPr="00C454AC" w:rsidRDefault="00757390" w:rsidP="00757390">
      <w:pPr>
        <w:pStyle w:val="Point1"/>
        <w:spacing w:before="0" w:after="0" w:line="240" w:lineRule="auto"/>
        <w:ind w:left="1418"/>
      </w:pPr>
      <w:r w:rsidRPr="00C454AC">
        <w:rPr>
          <w:b/>
          <w:vertAlign w:val="superscript"/>
        </w:rPr>
        <w:t>*</w:t>
      </w:r>
      <w:r w:rsidRPr="00C454AC">
        <w:tab/>
        <w:t>Regulamentul (UE) 2021/691 al Parlamentului European și al Consiliului din 28 aprilie 2021 privind Fondul european de ajustare la globalizare pentru lucrătorii disponibilizați (FEG) și de abrogare a Regulamentului (UE) nr. 1309/2013 (JO L 153, 3.5.2021, p. 48).</w:t>
      </w:r>
    </w:p>
    <w:p w:rsidR="00757390" w:rsidRPr="00C454AC" w:rsidRDefault="00757390" w:rsidP="00757390">
      <w:pPr>
        <w:pStyle w:val="Point1"/>
        <w:spacing w:before="0" w:line="240" w:lineRule="auto"/>
        <w:ind w:left="1418"/>
      </w:pPr>
      <w:r w:rsidRPr="00C454AC">
        <w:rPr>
          <w:b/>
          <w:vertAlign w:val="superscript"/>
        </w:rPr>
        <w:t>**</w:t>
      </w:r>
      <w:r w:rsidRPr="00C454AC">
        <w:tab/>
        <w:t>Regulamentul (CE) nr. 2012/2002 al Consiliului din 11 noiembrie 2002 de instituire a Fondului de solidaritate al Uniunii Europene (JO L 311, 14.11.2002, p. 3).”</w:t>
      </w:r>
    </w:p>
    <w:p w:rsidR="00757390" w:rsidRPr="00C454AC" w:rsidRDefault="00757390" w:rsidP="00757390">
      <w:pPr>
        <w:pStyle w:val="Point0"/>
        <w:spacing w:line="240" w:lineRule="auto"/>
      </w:pPr>
      <w:r w:rsidRPr="00C454AC">
        <w:t>5.</w:t>
      </w:r>
      <w:r w:rsidRPr="00C454AC">
        <w:tab/>
        <w:t>La articolul 10, alineatul (2) se înlocuiește cu următorul text:</w:t>
      </w:r>
    </w:p>
    <w:p w:rsidR="00757390" w:rsidRPr="00C454AC" w:rsidRDefault="00757390" w:rsidP="00757390">
      <w:pPr>
        <w:pStyle w:val="Point1"/>
        <w:spacing w:line="240" w:lineRule="auto"/>
      </w:pPr>
      <w:r w:rsidRPr="00C454AC">
        <w:t>„(2)</w:t>
      </w:r>
      <w:r w:rsidRPr="00C454AC">
        <w:tab/>
        <w:t xml:space="preserve">Rezerva de ajustare la </w:t>
      </w:r>
      <w:proofErr w:type="spellStart"/>
      <w:r w:rsidRPr="00C454AC">
        <w:t>Brexit</w:t>
      </w:r>
      <w:proofErr w:type="spellEnd"/>
      <w:r w:rsidRPr="00C454AC">
        <w:t xml:space="preserve"> nu depășește cuantumul de 4 491 de milioane EUR (la prețurile din 2018).”</w:t>
      </w:r>
    </w:p>
    <w:p w:rsidR="00757390" w:rsidRPr="00C454AC" w:rsidRDefault="00757390" w:rsidP="00757390">
      <w:pPr>
        <w:pStyle w:val="Point0"/>
        <w:spacing w:line="240" w:lineRule="auto"/>
      </w:pPr>
      <w:r w:rsidRPr="00C454AC">
        <w:br w:type="page"/>
      </w:r>
      <w:r w:rsidRPr="00C454AC">
        <w:lastRenderedPageBreak/>
        <w:t>6.</w:t>
      </w:r>
      <w:r w:rsidRPr="00C454AC">
        <w:tab/>
        <w:t>Se introduc următoarele articole:</w:t>
      </w:r>
    </w:p>
    <w:p w:rsidR="00757390" w:rsidRPr="00C454AC" w:rsidRDefault="00757390" w:rsidP="00757390">
      <w:pPr>
        <w:pStyle w:val="Text1"/>
        <w:spacing w:line="240" w:lineRule="auto"/>
        <w:rPr>
          <w:i/>
          <w:iCs/>
        </w:rPr>
      </w:pPr>
      <w:r w:rsidRPr="00C454AC">
        <w:t>„</w:t>
      </w:r>
      <w:r w:rsidRPr="00C454AC">
        <w:rPr>
          <w:i/>
        </w:rPr>
        <w:t xml:space="preserve">Articolul 10a </w:t>
      </w:r>
      <w:r w:rsidRPr="00C454AC">
        <w:rPr>
          <w:i/>
        </w:rPr>
        <w:br/>
        <w:t>Instrumentul EURI</w:t>
      </w:r>
    </w:p>
    <w:p w:rsidR="00757390" w:rsidRPr="00C454AC" w:rsidRDefault="00757390" w:rsidP="00757390">
      <w:pPr>
        <w:pStyle w:val="Point1"/>
        <w:spacing w:line="240" w:lineRule="auto"/>
      </w:pPr>
      <w:r w:rsidRPr="00C454AC">
        <w:t>(1)</w:t>
      </w:r>
      <w:r w:rsidRPr="00C454AC">
        <w:tab/>
        <w:t>Începând din 2025, Instrumentul EURI poate fi utilizat pentru a finanța, pentru un anumit an, o parte din costurile plăților aferente dobânzilor și cupoanelor datorate pentru fondurile împrumutate de pe piețele de capital în conformitate cu articolul 5 alineatul (2) din Decizia (UE, Euratom) 2020/2053 a Consiliului</w:t>
      </w:r>
      <w:r w:rsidRPr="00C454AC">
        <w:rPr>
          <w:b/>
          <w:vertAlign w:val="superscript"/>
        </w:rPr>
        <w:t>*</w:t>
      </w:r>
      <w:r w:rsidRPr="00C454AC">
        <w:t>. Instrumentul EURI poate fi mobilizat într-un anumit an numai pentru a acoperi, în măsura specificată la alineatele următoare, cuantumul acestor costuri care depășesc următoarele sume (la prețurile din 2018):</w:t>
      </w:r>
    </w:p>
    <w:p w:rsidR="00757390" w:rsidRPr="00C454AC" w:rsidRDefault="00D62458" w:rsidP="00D62458">
      <w:pPr>
        <w:pStyle w:val="Tiret2"/>
        <w:numPr>
          <w:ilvl w:val="0"/>
          <w:numId w:val="0"/>
        </w:numPr>
        <w:tabs>
          <w:tab w:val="left" w:pos="1984"/>
        </w:tabs>
        <w:spacing w:line="240" w:lineRule="auto"/>
        <w:ind w:left="1984" w:hanging="567"/>
      </w:pPr>
      <w:r w:rsidRPr="00C454AC">
        <w:rPr>
          <w:bdr w:val="none" w:sz="0" w:space="0" w:color="auto" w:frame="1"/>
        </w:rPr>
        <w:t>–</w:t>
      </w:r>
      <w:r w:rsidRPr="00C454AC">
        <w:rPr>
          <w:bdr w:val="none" w:sz="0" w:space="0" w:color="auto" w:frame="1"/>
        </w:rPr>
        <w:tab/>
      </w:r>
      <w:r w:rsidR="00757390" w:rsidRPr="00C454AC">
        <w:t>2025 – 2 332 de milioane EUR;</w:t>
      </w:r>
    </w:p>
    <w:p w:rsidR="00757390" w:rsidRPr="00C454AC" w:rsidRDefault="00D62458" w:rsidP="00D62458">
      <w:pPr>
        <w:pStyle w:val="Tiret2"/>
        <w:numPr>
          <w:ilvl w:val="0"/>
          <w:numId w:val="0"/>
        </w:numPr>
        <w:tabs>
          <w:tab w:val="left" w:pos="1984"/>
        </w:tabs>
        <w:spacing w:line="240" w:lineRule="auto"/>
        <w:ind w:left="1984" w:hanging="567"/>
      </w:pPr>
      <w:r w:rsidRPr="00C454AC">
        <w:rPr>
          <w:bdr w:val="none" w:sz="0" w:space="0" w:color="auto" w:frame="1"/>
        </w:rPr>
        <w:t>–</w:t>
      </w:r>
      <w:r w:rsidRPr="00C454AC">
        <w:rPr>
          <w:bdr w:val="none" w:sz="0" w:space="0" w:color="auto" w:frame="1"/>
        </w:rPr>
        <w:tab/>
      </w:r>
      <w:r w:rsidR="00757390" w:rsidRPr="00C454AC">
        <w:t>2026 – 3 196 de milioane EUR;</w:t>
      </w:r>
    </w:p>
    <w:p w:rsidR="00757390" w:rsidRPr="00C454AC" w:rsidRDefault="00D62458" w:rsidP="00D62458">
      <w:pPr>
        <w:pStyle w:val="Tiret2"/>
        <w:numPr>
          <w:ilvl w:val="0"/>
          <w:numId w:val="0"/>
        </w:numPr>
        <w:tabs>
          <w:tab w:val="left" w:pos="1984"/>
        </w:tabs>
        <w:spacing w:line="240" w:lineRule="auto"/>
        <w:ind w:left="1984" w:hanging="567"/>
      </w:pPr>
      <w:r w:rsidRPr="00C454AC">
        <w:rPr>
          <w:bdr w:val="none" w:sz="0" w:space="0" w:color="auto" w:frame="1"/>
        </w:rPr>
        <w:t>–</w:t>
      </w:r>
      <w:r w:rsidRPr="00C454AC">
        <w:rPr>
          <w:bdr w:val="none" w:sz="0" w:space="0" w:color="auto" w:frame="1"/>
        </w:rPr>
        <w:tab/>
      </w:r>
      <w:r w:rsidR="00757390" w:rsidRPr="00C454AC">
        <w:t>2027 – 4 168 de milioane EUR.</w:t>
      </w:r>
    </w:p>
    <w:p w:rsidR="00757390" w:rsidRPr="00C454AC" w:rsidRDefault="00757390" w:rsidP="00757390">
      <w:pPr>
        <w:pStyle w:val="Point1"/>
        <w:spacing w:line="240" w:lineRule="auto"/>
        <w:rPr>
          <w:color w:val="000000"/>
        </w:rPr>
      </w:pPr>
      <w:r w:rsidRPr="00C454AC">
        <w:t>(2)</w:t>
      </w:r>
      <w:r w:rsidRPr="00C454AC">
        <w:tab/>
        <w:t>Instrumentul EURI poate fi mobilizat de Parlamentul European și de Consiliu în cadrul procedurii bugetare prevăzute la articolul 314 din TFUE numai după ce s-au căutat alte mijloace de finanțare, pentru a se acoperi o parte substanțială a cuantumurilor care le depășesc pe cele menționate la alineatul (1) de la prezentul articol, în conformitate cu normele sectoriale aplicabile și cu alte obligații legale, avându-se în vedere în același timp prioritățile, prudența la întocmirea bugetului și buna gestiune financiară.</w:t>
      </w:r>
    </w:p>
    <w:p w:rsidR="00757390" w:rsidRPr="00C454AC" w:rsidRDefault="00757390" w:rsidP="00757390">
      <w:pPr>
        <w:pStyle w:val="Text2"/>
        <w:spacing w:line="240" w:lineRule="auto"/>
      </w:pPr>
      <w:r w:rsidRPr="00C454AC">
        <w:br w:type="page"/>
      </w:r>
      <w:r w:rsidRPr="00C454AC">
        <w:lastRenderedPageBreak/>
        <w:t>Creditele pentru Instrumentul EURI sunt puse la dispoziție peste plafoanele din CFM</w:t>
      </w:r>
      <w:r w:rsidRPr="00C454AC">
        <w:rPr>
          <w:color w:val="000000"/>
        </w:rPr>
        <w:t>.</w:t>
      </w:r>
    </w:p>
    <w:p w:rsidR="00757390" w:rsidRPr="00C454AC" w:rsidRDefault="00757390" w:rsidP="00757390">
      <w:pPr>
        <w:pStyle w:val="Point1"/>
        <w:spacing w:line="240" w:lineRule="auto"/>
        <w:rPr>
          <w:rFonts w:asciiTheme="majorBidi" w:hAnsiTheme="majorBidi" w:cstheme="majorBidi"/>
          <w:szCs w:val="24"/>
        </w:rPr>
      </w:pPr>
      <w:r w:rsidRPr="00C454AC">
        <w:t>(3)</w:t>
      </w:r>
      <w:r w:rsidRPr="00C454AC">
        <w:tab/>
        <w:t>Instrumentul EURI cuprinde următoarele:</w:t>
      </w:r>
    </w:p>
    <w:p w:rsidR="00757390" w:rsidRPr="00C454AC" w:rsidRDefault="00757390" w:rsidP="00757390">
      <w:pPr>
        <w:pStyle w:val="Point2"/>
        <w:spacing w:line="240" w:lineRule="auto"/>
      </w:pPr>
      <w:r w:rsidRPr="00C454AC">
        <w:t>(a)</w:t>
      </w:r>
      <w:r w:rsidRPr="00C454AC">
        <w:tab/>
        <w:t>un cuantum echivalent cu dezangajările de credite, altele decât veniturile alocate externe, efectuate cumulativ începând din 2021, care nu au fost mobilizate în cadrul acestui instrument în exercițiile precedente, excluzând cuantumurile dezangajărilor reconstituite în conformitate cu dispozițiile articolului 15 din Regulamentul financiar și cu normele specifice privind reconstituirea creditelor, astfel cum sunt menționate în actele de bază relevante. Acest cuantum este primul care se utilizează;</w:t>
      </w:r>
    </w:p>
    <w:p w:rsidR="00757390" w:rsidRPr="00C454AC" w:rsidRDefault="00757390" w:rsidP="00757390">
      <w:pPr>
        <w:pStyle w:val="Point2"/>
        <w:spacing w:line="240" w:lineRule="auto"/>
      </w:pPr>
      <w:r w:rsidRPr="00C454AC">
        <w:t>(b)</w:t>
      </w:r>
      <w:r w:rsidRPr="00C454AC">
        <w:tab/>
        <w:t>un cuantum suplimentar necesar pentru finanțarea integrală a costurilor menționate la alineatul (1) în exercițiul respectiv, numai în cazul în care cuantumul prevăzut la litera (a) de la prezentul alineat este insuficient.</w:t>
      </w:r>
    </w:p>
    <w:p w:rsidR="00757390" w:rsidRPr="00C454AC" w:rsidRDefault="00757390" w:rsidP="00757390">
      <w:pPr>
        <w:pStyle w:val="Text2"/>
        <w:spacing w:line="240" w:lineRule="auto"/>
      </w:pPr>
      <w:r w:rsidRPr="00C454AC">
        <w:t>În fiecare an, ca parte a ajustărilor tehnice menționate la articolul 4, Comisia calculează cuantumul disponibil pe baza dispozițiilor din primul paragraf litera (a) de la prezentul alineat, ținând seama de cuantumurile luate în considerare în același scop în exercițiile precedente.</w:t>
      </w:r>
    </w:p>
    <w:p w:rsidR="00757390" w:rsidRPr="00C454AC" w:rsidRDefault="00757390" w:rsidP="00757390">
      <w:pPr>
        <w:pStyle w:val="Text1"/>
        <w:spacing w:line="240" w:lineRule="auto"/>
      </w:pPr>
      <w:r w:rsidRPr="00C454AC">
        <w:br w:type="page"/>
      </w:r>
      <w:r w:rsidRPr="00C454AC">
        <w:rPr>
          <w:i/>
        </w:rPr>
        <w:lastRenderedPageBreak/>
        <w:t xml:space="preserve">Articolul 10b </w:t>
      </w:r>
      <w:r w:rsidRPr="00C454AC">
        <w:rPr>
          <w:i/>
        </w:rPr>
        <w:br/>
        <w:t>Rezerva pentru Ucraina</w:t>
      </w:r>
    </w:p>
    <w:p w:rsidR="00757390" w:rsidRPr="00C454AC" w:rsidRDefault="00757390" w:rsidP="00757390">
      <w:pPr>
        <w:pStyle w:val="Point1"/>
        <w:spacing w:line="240" w:lineRule="auto"/>
      </w:pPr>
      <w:r w:rsidRPr="00C454AC">
        <w:t>(1)</w:t>
      </w:r>
      <w:r w:rsidRPr="00C454AC">
        <w:tab/>
        <w:t>Rezerva pentru Ucraina poate fi mobilizată exclusiv în scopul finanțării cheltuielilor în temeiul Regulamentului (UE) 2024/…</w:t>
      </w:r>
      <w:r w:rsidRPr="00C454AC">
        <w:rPr>
          <w:rStyle w:val="FootnoteReference"/>
        </w:rPr>
        <w:footnoteReference w:customMarkFollows="1" w:id="11"/>
        <w:t>+</w:t>
      </w:r>
      <w:r w:rsidRPr="00C454AC">
        <w:t>.</w:t>
      </w:r>
    </w:p>
    <w:p w:rsidR="00757390" w:rsidRPr="00C454AC" w:rsidRDefault="00757390" w:rsidP="00757390">
      <w:pPr>
        <w:pStyle w:val="Point1"/>
        <w:spacing w:line="240" w:lineRule="auto"/>
      </w:pPr>
      <w:r w:rsidRPr="00C454AC">
        <w:t>(2)</w:t>
      </w:r>
      <w:r w:rsidRPr="00C454AC">
        <w:tab/>
        <w:t>Rezerva pentru Ucraina nu depășește un cuantum de 17 000 de milioane EUR în prețuri curente pentru perioada 2024-2027.</w:t>
      </w:r>
    </w:p>
    <w:p w:rsidR="00757390" w:rsidRPr="00C454AC" w:rsidRDefault="00757390" w:rsidP="00757390">
      <w:pPr>
        <w:pStyle w:val="Point1"/>
        <w:spacing w:line="240" w:lineRule="auto"/>
      </w:pPr>
      <w:r w:rsidRPr="00C454AC">
        <w:t>(3)</w:t>
      </w:r>
      <w:r w:rsidRPr="00C454AC">
        <w:tab/>
        <w:t>Cuantumul anual mobilizat în cadrul Rezervei pentru Ucraina într-un anumit exercițiu nu depășește 5 000 de milioane EUR în prețuri curente. Fără a aduce atingere cuantumului total prevăzut la alineatul (2), partea neutilizată din cuantumul anual într-un anumit exercițiu poate fi utilizată în exercițiile următoare, până în 2027.</w:t>
      </w:r>
    </w:p>
    <w:p w:rsidR="00757390" w:rsidRPr="00C454AC" w:rsidRDefault="00757390" w:rsidP="00757390">
      <w:pPr>
        <w:pStyle w:val="Point1"/>
        <w:spacing w:line="240" w:lineRule="auto"/>
      </w:pPr>
      <w:r w:rsidRPr="00C454AC">
        <w:t>(4)</w:t>
      </w:r>
      <w:r w:rsidRPr="00C454AC">
        <w:tab/>
        <w:t>Rezerva pentru Ucraina poate fi mobilizată de către Parlamentul European și Consiliu în cadrul procedurii bugetare prevăzute la articolul 314 din TFUE.</w:t>
      </w:r>
    </w:p>
    <w:p w:rsidR="00757390" w:rsidRPr="00C454AC" w:rsidRDefault="00757390" w:rsidP="00757390">
      <w:pPr>
        <w:pStyle w:val="Text1"/>
        <w:spacing w:line="240" w:lineRule="auto"/>
      </w:pPr>
      <w:r w:rsidRPr="00C454AC">
        <w:t>____________________</w:t>
      </w:r>
    </w:p>
    <w:p w:rsidR="00757390" w:rsidRPr="00C454AC" w:rsidRDefault="00757390" w:rsidP="00757390">
      <w:pPr>
        <w:pStyle w:val="Point1"/>
        <w:spacing w:before="0" w:line="240" w:lineRule="auto"/>
        <w:ind w:left="1418"/>
      </w:pPr>
      <w:r w:rsidRPr="00C454AC">
        <w:rPr>
          <w:b/>
          <w:vertAlign w:val="superscript"/>
        </w:rPr>
        <w:t>*</w:t>
      </w:r>
      <w:r w:rsidRPr="00C454AC">
        <w:tab/>
        <w:t>Decizia (UE, Euratom) 2020/2053 a Consiliului din 14 decembrie 2020 privind sistemul de resurse proprii ale Uniunii Europene și de abrogare a Deciziei 2014/335/UE, Euratom (JO L 424, 15.12.2020, p. 1).”</w:t>
      </w:r>
    </w:p>
    <w:p w:rsidR="00757390" w:rsidRPr="00C454AC" w:rsidRDefault="00757390" w:rsidP="00757390">
      <w:pPr>
        <w:pStyle w:val="Point0"/>
        <w:spacing w:line="240" w:lineRule="auto"/>
      </w:pPr>
      <w:r w:rsidRPr="00C454AC">
        <w:br w:type="page"/>
      </w:r>
      <w:r w:rsidRPr="00C454AC">
        <w:lastRenderedPageBreak/>
        <w:t>7.</w:t>
      </w:r>
      <w:r w:rsidRPr="00C454AC">
        <w:tab/>
        <w:t>La articolul 11, se introduce următorul alineat:</w:t>
      </w:r>
    </w:p>
    <w:p w:rsidR="00757390" w:rsidRPr="00C454AC" w:rsidRDefault="00757390" w:rsidP="00757390">
      <w:pPr>
        <w:pStyle w:val="Point1"/>
        <w:spacing w:line="240" w:lineRule="auto"/>
      </w:pPr>
      <w:r w:rsidRPr="00C454AC">
        <w:t>„(3a)</w:t>
      </w:r>
      <w:r w:rsidRPr="00C454AC">
        <w:tab/>
        <w:t>Cuantumul maxim al ajustării anuale menționat la alineatul (3) de la prezentul articol pentru exercițiul 2026, majorat cu cuantumul menționat la articolul 5 alineatul (2) al doilea paragraf, se ajustează cu cuantumul echivalent cu partea neutilizată din cuantumul maxim pentru exercițiul 2025.”</w:t>
      </w:r>
    </w:p>
    <w:p w:rsidR="00757390" w:rsidRPr="00C454AC" w:rsidRDefault="00757390" w:rsidP="00757390">
      <w:pPr>
        <w:pStyle w:val="Point0"/>
        <w:spacing w:line="240" w:lineRule="auto"/>
      </w:pPr>
      <w:r w:rsidRPr="00C454AC">
        <w:t>8.</w:t>
      </w:r>
      <w:r w:rsidRPr="00C454AC">
        <w:tab/>
        <w:t>Articolul 12 se înlocuiește cu următorul text:</w:t>
      </w:r>
    </w:p>
    <w:p w:rsidR="00757390" w:rsidRPr="00C454AC" w:rsidRDefault="00757390" w:rsidP="00757390">
      <w:pPr>
        <w:pStyle w:val="Text1"/>
        <w:spacing w:line="240" w:lineRule="auto"/>
        <w:rPr>
          <w:i/>
          <w:iCs/>
        </w:rPr>
      </w:pPr>
      <w:r w:rsidRPr="00C454AC">
        <w:t>„</w:t>
      </w:r>
      <w:r w:rsidRPr="00C454AC">
        <w:rPr>
          <w:i/>
        </w:rPr>
        <w:t xml:space="preserve">Articolul 12 </w:t>
      </w:r>
      <w:r w:rsidRPr="00C454AC">
        <w:rPr>
          <w:i/>
        </w:rPr>
        <w:br/>
        <w:t>Instrumentul de flexibilitate</w:t>
      </w:r>
    </w:p>
    <w:p w:rsidR="00757390" w:rsidRPr="00C454AC" w:rsidRDefault="00757390" w:rsidP="00757390">
      <w:pPr>
        <w:pStyle w:val="Point1"/>
        <w:spacing w:line="240" w:lineRule="auto"/>
      </w:pPr>
      <w:r w:rsidRPr="00C454AC">
        <w:t>(1)</w:t>
      </w:r>
      <w:r w:rsidRPr="00C454AC">
        <w:tab/>
        <w:t>Instrumentul de flexibilitate poate fi utilizat pentru finanțarea, într-un exercițiu financiar dat, a unor cheltuieli neprevăzute specifice în credite de angajament și credite de plată corespunzătoare care nu pot fi finanțate în limitele plafoanelor disponibile pentru una sau mai multe alte rubrici. Plafonul cuantumului anual disponibil pentru Instrumentul de flexibilitate în perioada 2021-2023 este de 915 milioane EUR (la prețurile din 2018). Plafonul cuantumului anual disponibil pentru Instrumentul de flexibilitate în perioada 2024-2027 este de 1 346 de milioane EUR (la prețurile din 2018).</w:t>
      </w:r>
    </w:p>
    <w:p w:rsidR="00757390" w:rsidRPr="00C454AC" w:rsidRDefault="00757390" w:rsidP="00757390">
      <w:pPr>
        <w:pStyle w:val="Text2"/>
        <w:spacing w:line="240" w:lineRule="auto"/>
      </w:pPr>
      <w:r w:rsidRPr="00C454AC">
        <w:t>În fiecare an, cuantumul anual disponibil pentru Instrumentul de flexibilitate se majorează cu un cuantum echivalent cu părțile din cuantumurile anuale aferente Rezervei pentru solidaritate europeană și Rezervei pentru ajutoare de urgență care au fost anulate în exercițiul precedent în conformitate cu articolul 9.</w:t>
      </w:r>
    </w:p>
    <w:p w:rsidR="00757390" w:rsidRPr="00C454AC" w:rsidRDefault="00757390" w:rsidP="00757390">
      <w:pPr>
        <w:pStyle w:val="Point1"/>
        <w:spacing w:line="240" w:lineRule="auto"/>
      </w:pPr>
      <w:r w:rsidRPr="00C454AC">
        <w:br w:type="page"/>
      </w:r>
      <w:r w:rsidRPr="00C454AC">
        <w:lastRenderedPageBreak/>
        <w:t>(2)</w:t>
      </w:r>
      <w:r w:rsidRPr="00C454AC">
        <w:rPr>
          <w:rStyle w:val="Bodytext1"/>
        </w:rPr>
        <w:tab/>
      </w:r>
      <w:r w:rsidRPr="00C454AC">
        <w:t>Partea neutilizată din cuantumul anual al Instrumentului de flexibilitate poate fi utilizată până la exercițiul n+2. Mai întâi se utilizează orice parte din cuantumul anual provenită din exercițiile precedente, în ordinea vechimii. Orice parte din cuantumul anual provenită din exercițiul n care nu este utilizată până la exercițiul n+2 se anulează.”</w:t>
      </w:r>
    </w:p>
    <w:p w:rsidR="00757390" w:rsidRPr="00C454AC" w:rsidRDefault="00757390" w:rsidP="00757390">
      <w:pPr>
        <w:pStyle w:val="Point0"/>
        <w:spacing w:line="240" w:lineRule="auto"/>
      </w:pPr>
      <w:r w:rsidRPr="00C454AC">
        <w:t>9.</w:t>
      </w:r>
      <w:r w:rsidRPr="00C454AC">
        <w:tab/>
        <w:t>Anexele I și II se înlocuiesc cu textul care figurează în anexa la prezentul regulament.</w:t>
      </w:r>
    </w:p>
    <w:p w:rsidR="00757390" w:rsidRPr="00C454AC" w:rsidRDefault="00757390" w:rsidP="00757390">
      <w:pPr>
        <w:pStyle w:val="Titrearticle"/>
        <w:spacing w:line="240" w:lineRule="auto"/>
      </w:pPr>
      <w:r w:rsidRPr="00C454AC">
        <w:t>Articolul 2</w:t>
      </w:r>
    </w:p>
    <w:p w:rsidR="00757390" w:rsidRPr="00C454AC" w:rsidRDefault="00757390" w:rsidP="00757390">
      <w:r w:rsidRPr="00C454AC">
        <w:t xml:space="preserve">Prezentul regulament intră în vigoare la data publicării în </w:t>
      </w:r>
      <w:r w:rsidRPr="00C454AC">
        <w:rPr>
          <w:i/>
        </w:rPr>
        <w:t>Jurnalul Oficial al Uniunii Europene</w:t>
      </w:r>
      <w:r w:rsidRPr="00C454AC">
        <w:t>.</w:t>
      </w:r>
    </w:p>
    <w:p w:rsidR="00757390" w:rsidRPr="00C454AC" w:rsidRDefault="00757390" w:rsidP="00757390">
      <w:r w:rsidRPr="00C454AC">
        <w:t>Se aplică de la 1 ianuarie 2024.</w:t>
      </w:r>
    </w:p>
    <w:p w:rsidR="00757390" w:rsidRPr="00C454AC" w:rsidRDefault="00757390" w:rsidP="00757390">
      <w:pPr>
        <w:pStyle w:val="Applicationdirecte"/>
        <w:spacing w:line="240" w:lineRule="auto"/>
      </w:pPr>
      <w:r w:rsidRPr="00C454AC">
        <w:t>Prezentul regulament este obligatoriu în toate elementele sale și se aplică direct în toate statele membre.</w:t>
      </w:r>
    </w:p>
    <w:p w:rsidR="00757390" w:rsidRPr="00C454AC" w:rsidRDefault="00757390" w:rsidP="00757390">
      <w:pPr>
        <w:pStyle w:val="Fait"/>
        <w:spacing w:line="240" w:lineRule="auto"/>
      </w:pPr>
      <w:r w:rsidRPr="00C454AC">
        <w:t>Adoptat la …,</w:t>
      </w:r>
    </w:p>
    <w:p w:rsidR="00757390" w:rsidRPr="00C454AC" w:rsidRDefault="00757390" w:rsidP="00757390">
      <w:pPr>
        <w:pStyle w:val="Institutionquisigne"/>
        <w:spacing w:line="240" w:lineRule="auto"/>
      </w:pPr>
      <w:r w:rsidRPr="00C454AC">
        <w:tab/>
        <w:t>Pentru Consiliu</w:t>
      </w:r>
    </w:p>
    <w:p w:rsidR="00757390" w:rsidRPr="00C454AC" w:rsidRDefault="00757390" w:rsidP="00757390">
      <w:pPr>
        <w:pStyle w:val="Personnequisigne"/>
        <w:spacing w:line="240" w:lineRule="auto"/>
      </w:pPr>
      <w:r w:rsidRPr="00C454AC">
        <w:tab/>
        <w:t>Președintele</w:t>
      </w:r>
    </w:p>
    <w:p w:rsidR="00757390" w:rsidRPr="00C454AC" w:rsidRDefault="00757390" w:rsidP="00757390">
      <w:pPr>
        <w:pStyle w:val="Lignefinal"/>
        <w:spacing w:line="240" w:lineRule="auto"/>
      </w:pPr>
    </w:p>
    <w:p w:rsidR="00757390" w:rsidRPr="00C454AC" w:rsidRDefault="00757390" w:rsidP="00757390">
      <w:pPr>
        <w:sectPr w:rsidR="00757390" w:rsidRPr="00C454AC" w:rsidSect="00331A2E">
          <w:footnotePr>
            <w:numRestart w:val="eachPage"/>
          </w:footnotePr>
          <w:pgSz w:w="11907" w:h="16839"/>
          <w:pgMar w:top="1134" w:right="1134" w:bottom="1134" w:left="1134" w:header="567" w:footer="567" w:gutter="0"/>
          <w:cols w:space="720"/>
          <w:docGrid w:linePitch="326"/>
        </w:sectPr>
      </w:pPr>
    </w:p>
    <w:p w:rsidR="00757390" w:rsidRPr="00C454AC" w:rsidRDefault="00757390" w:rsidP="00757390">
      <w:pPr>
        <w:pStyle w:val="Annexetitre"/>
      </w:pPr>
      <w:r w:rsidRPr="00C454AC">
        <w:lastRenderedPageBreak/>
        <w:t>ANEXĂ</w:t>
      </w:r>
    </w:p>
    <w:p w:rsidR="00757390" w:rsidRPr="00C454AC" w:rsidRDefault="00757390" w:rsidP="00757390">
      <w:pPr>
        <w:pStyle w:val="NormalCentered"/>
      </w:pPr>
      <w:r w:rsidRPr="00C454AC">
        <w:t>„ANEXA I</w:t>
      </w:r>
      <w:r w:rsidRPr="00C454AC">
        <w:br/>
        <w:t>CADRUL FINANCIAR MULTIANUAL (UE-27)</w:t>
      </w:r>
    </w:p>
    <w:tbl>
      <w:tblPr>
        <w:tblW w:w="5050" w:type="pct"/>
        <w:tblLook w:val="04A0" w:firstRow="1" w:lastRow="0" w:firstColumn="1" w:lastColumn="0" w:noHBand="0" w:noVBand="1"/>
      </w:tblPr>
      <w:tblGrid>
        <w:gridCol w:w="5768"/>
        <w:gridCol w:w="996"/>
        <w:gridCol w:w="996"/>
        <w:gridCol w:w="996"/>
        <w:gridCol w:w="996"/>
        <w:gridCol w:w="996"/>
        <w:gridCol w:w="997"/>
        <w:gridCol w:w="996"/>
        <w:gridCol w:w="1712"/>
      </w:tblGrid>
      <w:tr w:rsidR="00757390" w:rsidRPr="00C454AC" w:rsidTr="00666D6E">
        <w:trPr>
          <w:trHeight w:val="315"/>
          <w:tblHeader/>
        </w:trPr>
        <w:tc>
          <w:tcPr>
            <w:tcW w:w="1927" w:type="pct"/>
            <w:noWrap/>
            <w:vAlign w:val="bottom"/>
            <w:hideMark/>
          </w:tcPr>
          <w:p w:rsidR="00757390" w:rsidRPr="00C454AC" w:rsidRDefault="00757390" w:rsidP="00666D6E"/>
        </w:tc>
        <w:tc>
          <w:tcPr>
            <w:tcW w:w="347" w:type="pct"/>
            <w:noWrap/>
            <w:vAlign w:val="bottom"/>
            <w:hideMark/>
          </w:tcPr>
          <w:p w:rsidR="00757390" w:rsidRPr="00C454AC" w:rsidRDefault="00757390" w:rsidP="00666D6E">
            <w:pPr>
              <w:spacing w:after="160" w:line="256" w:lineRule="auto"/>
              <w:rPr>
                <w:rFonts w:asciiTheme="minorHAnsi" w:hAnsiTheme="minorHAnsi" w:cstheme="minorBidi"/>
                <w:sz w:val="20"/>
              </w:rPr>
            </w:pPr>
          </w:p>
        </w:tc>
        <w:tc>
          <w:tcPr>
            <w:tcW w:w="350" w:type="pct"/>
            <w:noWrap/>
            <w:vAlign w:val="bottom"/>
            <w:hideMark/>
          </w:tcPr>
          <w:p w:rsidR="00757390" w:rsidRPr="00C454AC" w:rsidRDefault="00757390" w:rsidP="00666D6E">
            <w:pPr>
              <w:spacing w:after="160" w:line="256" w:lineRule="auto"/>
              <w:rPr>
                <w:rFonts w:asciiTheme="minorHAnsi" w:hAnsiTheme="minorHAnsi" w:cstheme="minorBidi"/>
                <w:sz w:val="20"/>
              </w:rPr>
            </w:pPr>
          </w:p>
        </w:tc>
        <w:tc>
          <w:tcPr>
            <w:tcW w:w="350" w:type="pct"/>
            <w:noWrap/>
            <w:vAlign w:val="bottom"/>
            <w:hideMark/>
          </w:tcPr>
          <w:p w:rsidR="00757390" w:rsidRPr="00C454AC" w:rsidRDefault="00757390" w:rsidP="00666D6E">
            <w:pPr>
              <w:spacing w:after="160" w:line="256" w:lineRule="auto"/>
              <w:rPr>
                <w:rFonts w:asciiTheme="minorHAnsi" w:hAnsiTheme="minorHAnsi" w:cstheme="minorBidi"/>
                <w:sz w:val="20"/>
              </w:rPr>
            </w:pPr>
          </w:p>
        </w:tc>
        <w:tc>
          <w:tcPr>
            <w:tcW w:w="350" w:type="pct"/>
            <w:noWrap/>
            <w:vAlign w:val="bottom"/>
            <w:hideMark/>
          </w:tcPr>
          <w:p w:rsidR="00757390" w:rsidRPr="00C454AC" w:rsidRDefault="00757390" w:rsidP="00666D6E">
            <w:pPr>
              <w:spacing w:after="160" w:line="256" w:lineRule="auto"/>
              <w:rPr>
                <w:rFonts w:asciiTheme="minorHAnsi" w:hAnsiTheme="minorHAnsi" w:cstheme="minorBidi"/>
                <w:sz w:val="20"/>
              </w:rPr>
            </w:pPr>
          </w:p>
        </w:tc>
        <w:tc>
          <w:tcPr>
            <w:tcW w:w="349" w:type="pct"/>
            <w:noWrap/>
            <w:vAlign w:val="bottom"/>
            <w:hideMark/>
          </w:tcPr>
          <w:p w:rsidR="00757390" w:rsidRPr="00C454AC" w:rsidRDefault="00757390" w:rsidP="00666D6E">
            <w:pPr>
              <w:spacing w:after="160" w:line="256" w:lineRule="auto"/>
              <w:rPr>
                <w:rFonts w:asciiTheme="minorHAnsi" w:hAnsiTheme="minorHAnsi" w:cstheme="minorBidi"/>
                <w:sz w:val="20"/>
              </w:rPr>
            </w:pPr>
          </w:p>
        </w:tc>
        <w:tc>
          <w:tcPr>
            <w:tcW w:w="1327" w:type="pct"/>
            <w:gridSpan w:val="3"/>
            <w:noWrap/>
            <w:vAlign w:val="center"/>
            <w:hideMark/>
          </w:tcPr>
          <w:p w:rsidR="00757390" w:rsidRPr="00C454AC" w:rsidRDefault="00757390" w:rsidP="00666D6E">
            <w:pPr>
              <w:spacing w:before="60" w:after="60"/>
              <w:jc w:val="right"/>
              <w:rPr>
                <w:szCs w:val="22"/>
              </w:rPr>
            </w:pPr>
            <w:r w:rsidRPr="00C454AC">
              <w:rPr>
                <w:i/>
                <w:iCs/>
              </w:rPr>
              <w:t>(milioane EUR – prețuri din 2018)</w:t>
            </w:r>
          </w:p>
        </w:tc>
      </w:tr>
      <w:tr w:rsidR="00757390" w:rsidRPr="00C454AC" w:rsidTr="00666D6E">
        <w:trPr>
          <w:trHeight w:val="645"/>
          <w:tblHeader/>
        </w:trPr>
        <w:tc>
          <w:tcPr>
            <w:tcW w:w="1927" w:type="pct"/>
            <w:tcBorders>
              <w:top w:val="single" w:sz="8" w:space="0" w:color="auto"/>
              <w:left w:val="single" w:sz="8" w:space="0" w:color="auto"/>
              <w:bottom w:val="single" w:sz="8" w:space="0" w:color="auto"/>
              <w:right w:val="single" w:sz="4" w:space="0" w:color="auto"/>
            </w:tcBorders>
            <w:noWrap/>
            <w:vAlign w:val="center"/>
            <w:hideMark/>
          </w:tcPr>
          <w:p w:rsidR="00757390" w:rsidRPr="00C454AC" w:rsidRDefault="00757390" w:rsidP="00666D6E">
            <w:pPr>
              <w:spacing w:before="60" w:after="60"/>
              <w:jc w:val="center"/>
              <w:rPr>
                <w:b/>
                <w:bCs/>
              </w:rPr>
            </w:pPr>
            <w:r w:rsidRPr="00C454AC">
              <w:rPr>
                <w:b/>
              </w:rPr>
              <w:t>CREDITE DE ANGAJAMENT</w:t>
            </w:r>
          </w:p>
        </w:tc>
        <w:tc>
          <w:tcPr>
            <w:tcW w:w="347" w:type="pct"/>
            <w:tcBorders>
              <w:top w:val="single" w:sz="8" w:space="0" w:color="auto"/>
              <w:left w:val="nil"/>
              <w:bottom w:val="single" w:sz="8" w:space="0" w:color="auto"/>
              <w:right w:val="nil"/>
            </w:tcBorders>
            <w:noWrap/>
            <w:vAlign w:val="center"/>
            <w:hideMark/>
          </w:tcPr>
          <w:p w:rsidR="00757390" w:rsidRPr="00C454AC" w:rsidRDefault="00757390" w:rsidP="00666D6E">
            <w:pPr>
              <w:spacing w:before="60" w:after="60"/>
              <w:jc w:val="center"/>
              <w:rPr>
                <w:b/>
                <w:bCs/>
              </w:rPr>
            </w:pPr>
            <w:r w:rsidRPr="00C454AC">
              <w:rPr>
                <w:b/>
              </w:rPr>
              <w:t>2021</w:t>
            </w:r>
          </w:p>
        </w:tc>
        <w:tc>
          <w:tcPr>
            <w:tcW w:w="350" w:type="pct"/>
            <w:tcBorders>
              <w:top w:val="single" w:sz="8" w:space="0" w:color="auto"/>
              <w:left w:val="nil"/>
              <w:bottom w:val="single" w:sz="8" w:space="0" w:color="auto"/>
              <w:right w:val="nil"/>
            </w:tcBorders>
            <w:noWrap/>
            <w:vAlign w:val="center"/>
            <w:hideMark/>
          </w:tcPr>
          <w:p w:rsidR="00757390" w:rsidRPr="00C454AC" w:rsidRDefault="00757390" w:rsidP="00666D6E">
            <w:pPr>
              <w:spacing w:before="60" w:after="60"/>
              <w:jc w:val="center"/>
              <w:rPr>
                <w:b/>
                <w:bCs/>
              </w:rPr>
            </w:pPr>
            <w:r w:rsidRPr="00C454AC">
              <w:rPr>
                <w:b/>
              </w:rPr>
              <w:t>2022</w:t>
            </w:r>
          </w:p>
        </w:tc>
        <w:tc>
          <w:tcPr>
            <w:tcW w:w="350" w:type="pct"/>
            <w:tcBorders>
              <w:top w:val="single" w:sz="8" w:space="0" w:color="auto"/>
              <w:left w:val="nil"/>
              <w:bottom w:val="single" w:sz="8" w:space="0" w:color="auto"/>
              <w:right w:val="nil"/>
            </w:tcBorders>
            <w:noWrap/>
            <w:vAlign w:val="center"/>
            <w:hideMark/>
          </w:tcPr>
          <w:p w:rsidR="00757390" w:rsidRPr="00C454AC" w:rsidRDefault="00757390" w:rsidP="00666D6E">
            <w:pPr>
              <w:spacing w:before="60" w:after="60"/>
              <w:jc w:val="center"/>
              <w:rPr>
                <w:b/>
                <w:bCs/>
              </w:rPr>
            </w:pPr>
            <w:r w:rsidRPr="00C454AC">
              <w:rPr>
                <w:b/>
              </w:rPr>
              <w:t>2023</w:t>
            </w:r>
          </w:p>
        </w:tc>
        <w:tc>
          <w:tcPr>
            <w:tcW w:w="350" w:type="pct"/>
            <w:tcBorders>
              <w:top w:val="single" w:sz="8" w:space="0" w:color="auto"/>
              <w:left w:val="nil"/>
              <w:bottom w:val="single" w:sz="8" w:space="0" w:color="auto"/>
              <w:right w:val="nil"/>
            </w:tcBorders>
            <w:noWrap/>
            <w:vAlign w:val="center"/>
            <w:hideMark/>
          </w:tcPr>
          <w:p w:rsidR="00757390" w:rsidRPr="00C454AC" w:rsidRDefault="00757390" w:rsidP="00666D6E">
            <w:pPr>
              <w:spacing w:before="60" w:after="60"/>
              <w:jc w:val="center"/>
              <w:rPr>
                <w:b/>
                <w:bCs/>
              </w:rPr>
            </w:pPr>
            <w:r w:rsidRPr="00C454AC">
              <w:rPr>
                <w:b/>
              </w:rPr>
              <w:t>2024</w:t>
            </w:r>
          </w:p>
        </w:tc>
        <w:tc>
          <w:tcPr>
            <w:tcW w:w="349" w:type="pct"/>
            <w:tcBorders>
              <w:top w:val="single" w:sz="8" w:space="0" w:color="auto"/>
              <w:left w:val="nil"/>
              <w:bottom w:val="single" w:sz="8" w:space="0" w:color="auto"/>
              <w:right w:val="nil"/>
            </w:tcBorders>
            <w:noWrap/>
            <w:vAlign w:val="center"/>
            <w:hideMark/>
          </w:tcPr>
          <w:p w:rsidR="00757390" w:rsidRPr="00C454AC" w:rsidRDefault="00757390" w:rsidP="00666D6E">
            <w:pPr>
              <w:spacing w:before="60" w:after="60"/>
              <w:jc w:val="center"/>
              <w:rPr>
                <w:b/>
                <w:bCs/>
              </w:rPr>
            </w:pPr>
            <w:r w:rsidRPr="00C454AC">
              <w:rPr>
                <w:b/>
              </w:rPr>
              <w:t>2025</w:t>
            </w:r>
          </w:p>
        </w:tc>
        <w:tc>
          <w:tcPr>
            <w:tcW w:w="348" w:type="pct"/>
            <w:tcBorders>
              <w:top w:val="single" w:sz="8" w:space="0" w:color="auto"/>
              <w:left w:val="nil"/>
              <w:bottom w:val="single" w:sz="8" w:space="0" w:color="auto"/>
              <w:right w:val="nil"/>
            </w:tcBorders>
            <w:noWrap/>
            <w:vAlign w:val="center"/>
            <w:hideMark/>
          </w:tcPr>
          <w:p w:rsidR="00757390" w:rsidRPr="00C454AC" w:rsidRDefault="00757390" w:rsidP="00666D6E">
            <w:pPr>
              <w:spacing w:before="60" w:after="60"/>
              <w:jc w:val="center"/>
              <w:rPr>
                <w:b/>
                <w:bCs/>
              </w:rPr>
            </w:pPr>
            <w:r w:rsidRPr="00C454AC">
              <w:rPr>
                <w:b/>
              </w:rPr>
              <w:t>2026</w:t>
            </w:r>
          </w:p>
        </w:tc>
        <w:tc>
          <w:tcPr>
            <w:tcW w:w="340" w:type="pct"/>
            <w:tcBorders>
              <w:top w:val="single" w:sz="8" w:space="0" w:color="auto"/>
              <w:left w:val="nil"/>
              <w:bottom w:val="single" w:sz="8" w:space="0" w:color="auto"/>
              <w:right w:val="nil"/>
            </w:tcBorders>
            <w:noWrap/>
            <w:vAlign w:val="center"/>
            <w:hideMark/>
          </w:tcPr>
          <w:p w:rsidR="00757390" w:rsidRPr="00C454AC" w:rsidRDefault="00757390" w:rsidP="00666D6E">
            <w:pPr>
              <w:spacing w:before="60" w:after="60"/>
              <w:jc w:val="center"/>
              <w:rPr>
                <w:b/>
                <w:bCs/>
              </w:rPr>
            </w:pPr>
            <w:r w:rsidRPr="00C454AC">
              <w:rPr>
                <w:b/>
              </w:rPr>
              <w:t>2027</w:t>
            </w:r>
          </w:p>
        </w:tc>
        <w:tc>
          <w:tcPr>
            <w:tcW w:w="639" w:type="pct"/>
            <w:tcBorders>
              <w:top w:val="single" w:sz="8" w:space="0" w:color="auto"/>
              <w:left w:val="single" w:sz="4" w:space="0" w:color="auto"/>
              <w:bottom w:val="single" w:sz="8" w:space="0" w:color="auto"/>
              <w:right w:val="single" w:sz="8" w:space="0" w:color="auto"/>
            </w:tcBorders>
            <w:vAlign w:val="center"/>
            <w:hideMark/>
          </w:tcPr>
          <w:p w:rsidR="00757390" w:rsidRPr="00C454AC" w:rsidRDefault="00757390" w:rsidP="00666D6E">
            <w:pPr>
              <w:spacing w:before="60" w:after="60"/>
              <w:jc w:val="center"/>
              <w:rPr>
                <w:b/>
                <w:bCs/>
              </w:rPr>
            </w:pPr>
            <w:r w:rsidRPr="00C454AC">
              <w:rPr>
                <w:b/>
              </w:rPr>
              <w:t>Total</w:t>
            </w:r>
            <w:r w:rsidRPr="00C454AC">
              <w:rPr>
                <w:b/>
              </w:rPr>
              <w:br/>
              <w:t>2021-2027</w:t>
            </w:r>
          </w:p>
        </w:tc>
      </w:tr>
      <w:tr w:rsidR="00757390" w:rsidRPr="00C454AC" w:rsidTr="00666D6E">
        <w:trPr>
          <w:trHeight w:val="300"/>
        </w:trPr>
        <w:tc>
          <w:tcPr>
            <w:tcW w:w="1927" w:type="pct"/>
            <w:tcBorders>
              <w:top w:val="nil"/>
              <w:left w:val="single" w:sz="8" w:space="0" w:color="auto"/>
              <w:bottom w:val="nil"/>
              <w:right w:val="single" w:sz="4" w:space="0" w:color="auto"/>
            </w:tcBorders>
            <w:noWrap/>
            <w:vAlign w:val="center"/>
            <w:hideMark/>
          </w:tcPr>
          <w:p w:rsidR="00757390" w:rsidRPr="00C454AC" w:rsidRDefault="00757390" w:rsidP="00666D6E">
            <w:pPr>
              <w:spacing w:before="60" w:after="60"/>
              <w:rPr>
                <w:b/>
                <w:bCs/>
              </w:rPr>
            </w:pPr>
            <w:r w:rsidRPr="00C454AC">
              <w:rPr>
                <w:b/>
              </w:rPr>
              <w:t>1.</w:t>
            </w:r>
            <w:r w:rsidRPr="00C454AC">
              <w:rPr>
                <w:b/>
              </w:rPr>
              <w:tab/>
              <w:t>Piața unică, inovare și sectorul digital</w:t>
            </w:r>
          </w:p>
        </w:tc>
        <w:tc>
          <w:tcPr>
            <w:tcW w:w="347" w:type="pct"/>
            <w:noWrap/>
            <w:vAlign w:val="center"/>
            <w:hideMark/>
          </w:tcPr>
          <w:p w:rsidR="00757390" w:rsidRPr="00C454AC" w:rsidRDefault="00757390" w:rsidP="00666D6E">
            <w:pPr>
              <w:spacing w:before="60" w:after="60"/>
              <w:jc w:val="right"/>
              <w:rPr>
                <w:b/>
                <w:bCs/>
              </w:rPr>
            </w:pPr>
            <w:r w:rsidRPr="00C454AC">
              <w:rPr>
                <w:b/>
              </w:rPr>
              <w:t>19 712</w:t>
            </w:r>
          </w:p>
        </w:tc>
        <w:tc>
          <w:tcPr>
            <w:tcW w:w="350" w:type="pct"/>
            <w:noWrap/>
            <w:vAlign w:val="center"/>
            <w:hideMark/>
          </w:tcPr>
          <w:p w:rsidR="00757390" w:rsidRPr="00C454AC" w:rsidRDefault="00757390" w:rsidP="00666D6E">
            <w:pPr>
              <w:spacing w:before="60" w:after="60"/>
              <w:jc w:val="right"/>
              <w:rPr>
                <w:b/>
                <w:bCs/>
              </w:rPr>
            </w:pPr>
            <w:r w:rsidRPr="00C454AC">
              <w:rPr>
                <w:b/>
              </w:rPr>
              <w:t>20 211</w:t>
            </w:r>
          </w:p>
        </w:tc>
        <w:tc>
          <w:tcPr>
            <w:tcW w:w="350" w:type="pct"/>
            <w:noWrap/>
            <w:vAlign w:val="center"/>
            <w:hideMark/>
          </w:tcPr>
          <w:p w:rsidR="00757390" w:rsidRPr="00C454AC" w:rsidRDefault="00757390" w:rsidP="00666D6E">
            <w:pPr>
              <w:spacing w:before="60" w:after="60"/>
              <w:jc w:val="right"/>
              <w:rPr>
                <w:b/>
                <w:bCs/>
              </w:rPr>
            </w:pPr>
            <w:r w:rsidRPr="00C454AC">
              <w:rPr>
                <w:b/>
              </w:rPr>
              <w:t>19 678</w:t>
            </w:r>
          </w:p>
        </w:tc>
        <w:tc>
          <w:tcPr>
            <w:tcW w:w="350" w:type="pct"/>
            <w:noWrap/>
            <w:vAlign w:val="center"/>
            <w:hideMark/>
          </w:tcPr>
          <w:p w:rsidR="00757390" w:rsidRPr="00C454AC" w:rsidRDefault="00757390" w:rsidP="00666D6E">
            <w:pPr>
              <w:spacing w:before="60" w:after="60"/>
              <w:jc w:val="right"/>
              <w:rPr>
                <w:b/>
                <w:bCs/>
              </w:rPr>
            </w:pPr>
            <w:r w:rsidRPr="00C454AC">
              <w:rPr>
                <w:b/>
              </w:rPr>
              <w:t>19 178</w:t>
            </w:r>
          </w:p>
        </w:tc>
        <w:tc>
          <w:tcPr>
            <w:tcW w:w="349" w:type="pct"/>
            <w:noWrap/>
            <w:vAlign w:val="center"/>
            <w:hideMark/>
          </w:tcPr>
          <w:p w:rsidR="00757390" w:rsidRPr="00C454AC" w:rsidRDefault="00757390" w:rsidP="00666D6E">
            <w:pPr>
              <w:spacing w:before="60" w:after="60"/>
              <w:jc w:val="right"/>
              <w:rPr>
                <w:b/>
                <w:bCs/>
              </w:rPr>
            </w:pPr>
            <w:r w:rsidRPr="00C454AC">
              <w:rPr>
                <w:b/>
              </w:rPr>
              <w:t>18 173</w:t>
            </w:r>
          </w:p>
        </w:tc>
        <w:tc>
          <w:tcPr>
            <w:tcW w:w="348" w:type="pct"/>
            <w:noWrap/>
            <w:vAlign w:val="center"/>
            <w:hideMark/>
          </w:tcPr>
          <w:p w:rsidR="00757390" w:rsidRPr="00C454AC" w:rsidRDefault="00757390" w:rsidP="00666D6E">
            <w:pPr>
              <w:spacing w:before="60" w:after="60"/>
              <w:jc w:val="right"/>
              <w:rPr>
                <w:b/>
                <w:bCs/>
              </w:rPr>
            </w:pPr>
            <w:r w:rsidRPr="00C454AC">
              <w:rPr>
                <w:b/>
              </w:rPr>
              <w:t>18 120</w:t>
            </w:r>
          </w:p>
        </w:tc>
        <w:tc>
          <w:tcPr>
            <w:tcW w:w="340" w:type="pct"/>
            <w:noWrap/>
            <w:vAlign w:val="center"/>
            <w:hideMark/>
          </w:tcPr>
          <w:p w:rsidR="00757390" w:rsidRPr="00C454AC" w:rsidRDefault="00757390" w:rsidP="00666D6E">
            <w:pPr>
              <w:spacing w:before="60" w:after="60"/>
              <w:jc w:val="right"/>
              <w:rPr>
                <w:b/>
                <w:bCs/>
              </w:rPr>
            </w:pPr>
            <w:r w:rsidRPr="00C454AC">
              <w:rPr>
                <w:b/>
              </w:rPr>
              <w:t>17 565</w:t>
            </w:r>
          </w:p>
        </w:tc>
        <w:tc>
          <w:tcPr>
            <w:tcW w:w="639" w:type="pct"/>
            <w:tcBorders>
              <w:top w:val="nil"/>
              <w:left w:val="single" w:sz="4" w:space="0" w:color="auto"/>
              <w:bottom w:val="nil"/>
              <w:right w:val="single" w:sz="8" w:space="0" w:color="auto"/>
            </w:tcBorders>
            <w:noWrap/>
            <w:vAlign w:val="center"/>
            <w:hideMark/>
          </w:tcPr>
          <w:p w:rsidR="00757390" w:rsidRPr="00C454AC" w:rsidRDefault="00757390" w:rsidP="00666D6E">
            <w:pPr>
              <w:spacing w:before="60" w:after="60"/>
              <w:jc w:val="right"/>
              <w:rPr>
                <w:b/>
                <w:bCs/>
              </w:rPr>
            </w:pPr>
            <w:r w:rsidRPr="00C454AC">
              <w:rPr>
                <w:b/>
              </w:rPr>
              <w:t>132 637</w:t>
            </w:r>
          </w:p>
        </w:tc>
      </w:tr>
      <w:tr w:rsidR="00757390" w:rsidRPr="00C454AC" w:rsidTr="00666D6E">
        <w:trPr>
          <w:trHeight w:val="300"/>
        </w:trPr>
        <w:tc>
          <w:tcPr>
            <w:tcW w:w="1927" w:type="pct"/>
            <w:tcBorders>
              <w:top w:val="nil"/>
              <w:left w:val="single" w:sz="8" w:space="0" w:color="auto"/>
              <w:bottom w:val="nil"/>
              <w:right w:val="single" w:sz="4" w:space="0" w:color="auto"/>
            </w:tcBorders>
            <w:noWrap/>
            <w:vAlign w:val="center"/>
            <w:hideMark/>
          </w:tcPr>
          <w:p w:rsidR="00757390" w:rsidRPr="00C454AC" w:rsidRDefault="00757390" w:rsidP="00666D6E">
            <w:pPr>
              <w:spacing w:before="60" w:after="60"/>
              <w:rPr>
                <w:b/>
                <w:bCs/>
              </w:rPr>
            </w:pPr>
            <w:r w:rsidRPr="00C454AC">
              <w:rPr>
                <w:b/>
              </w:rPr>
              <w:t>2.</w:t>
            </w:r>
            <w:r w:rsidRPr="00C454AC">
              <w:rPr>
                <w:b/>
              </w:rPr>
              <w:tab/>
              <w:t>Coeziune, reziliență și valori</w:t>
            </w:r>
          </w:p>
        </w:tc>
        <w:tc>
          <w:tcPr>
            <w:tcW w:w="347" w:type="pct"/>
            <w:noWrap/>
            <w:vAlign w:val="center"/>
            <w:hideMark/>
          </w:tcPr>
          <w:p w:rsidR="00757390" w:rsidRPr="00C454AC" w:rsidRDefault="00757390" w:rsidP="00666D6E">
            <w:pPr>
              <w:spacing w:before="60" w:after="60"/>
              <w:jc w:val="right"/>
              <w:rPr>
                <w:b/>
                <w:bCs/>
              </w:rPr>
            </w:pPr>
            <w:r w:rsidRPr="00C454AC">
              <w:rPr>
                <w:b/>
              </w:rPr>
              <w:t>5 996</w:t>
            </w:r>
          </w:p>
        </w:tc>
        <w:tc>
          <w:tcPr>
            <w:tcW w:w="350" w:type="pct"/>
            <w:noWrap/>
            <w:vAlign w:val="center"/>
            <w:hideMark/>
          </w:tcPr>
          <w:p w:rsidR="00757390" w:rsidRPr="00C454AC" w:rsidRDefault="00757390" w:rsidP="00666D6E">
            <w:pPr>
              <w:spacing w:before="60" w:after="60"/>
              <w:jc w:val="right"/>
              <w:rPr>
                <w:b/>
                <w:bCs/>
              </w:rPr>
            </w:pPr>
            <w:r w:rsidRPr="00C454AC">
              <w:rPr>
                <w:b/>
              </w:rPr>
              <w:t>62 642</w:t>
            </w:r>
          </w:p>
        </w:tc>
        <w:tc>
          <w:tcPr>
            <w:tcW w:w="350" w:type="pct"/>
            <w:noWrap/>
            <w:vAlign w:val="center"/>
            <w:hideMark/>
          </w:tcPr>
          <w:p w:rsidR="00757390" w:rsidRPr="00C454AC" w:rsidRDefault="00757390" w:rsidP="00666D6E">
            <w:pPr>
              <w:spacing w:before="60" w:after="60"/>
              <w:jc w:val="right"/>
              <w:rPr>
                <w:b/>
                <w:bCs/>
              </w:rPr>
            </w:pPr>
            <w:r w:rsidRPr="00C454AC">
              <w:rPr>
                <w:b/>
              </w:rPr>
              <w:t>63 525</w:t>
            </w:r>
          </w:p>
        </w:tc>
        <w:tc>
          <w:tcPr>
            <w:tcW w:w="350" w:type="pct"/>
            <w:noWrap/>
            <w:vAlign w:val="center"/>
            <w:hideMark/>
          </w:tcPr>
          <w:p w:rsidR="00757390" w:rsidRPr="00C454AC" w:rsidRDefault="00757390" w:rsidP="00666D6E">
            <w:pPr>
              <w:spacing w:before="60" w:after="60"/>
              <w:jc w:val="right"/>
              <w:rPr>
                <w:b/>
                <w:bCs/>
              </w:rPr>
            </w:pPr>
            <w:r w:rsidRPr="00C454AC">
              <w:rPr>
                <w:b/>
              </w:rPr>
              <w:t>65 079</w:t>
            </w:r>
          </w:p>
        </w:tc>
        <w:tc>
          <w:tcPr>
            <w:tcW w:w="349" w:type="pct"/>
            <w:noWrap/>
            <w:vAlign w:val="center"/>
            <w:hideMark/>
          </w:tcPr>
          <w:p w:rsidR="00757390" w:rsidRPr="00C454AC" w:rsidRDefault="00757390" w:rsidP="00666D6E">
            <w:pPr>
              <w:spacing w:before="60" w:after="60"/>
              <w:jc w:val="right"/>
              <w:rPr>
                <w:b/>
                <w:bCs/>
              </w:rPr>
            </w:pPr>
            <w:r w:rsidRPr="00C454AC">
              <w:rPr>
                <w:b/>
              </w:rPr>
              <w:t>65 184</w:t>
            </w:r>
          </w:p>
        </w:tc>
        <w:tc>
          <w:tcPr>
            <w:tcW w:w="348" w:type="pct"/>
            <w:noWrap/>
            <w:vAlign w:val="center"/>
            <w:hideMark/>
          </w:tcPr>
          <w:p w:rsidR="00757390" w:rsidRPr="00C454AC" w:rsidRDefault="00757390" w:rsidP="00666D6E">
            <w:pPr>
              <w:spacing w:before="60" w:after="60"/>
              <w:jc w:val="right"/>
              <w:rPr>
                <w:b/>
                <w:bCs/>
              </w:rPr>
            </w:pPr>
            <w:r w:rsidRPr="00C454AC">
              <w:rPr>
                <w:b/>
              </w:rPr>
              <w:t>56 675</w:t>
            </w:r>
          </w:p>
        </w:tc>
        <w:tc>
          <w:tcPr>
            <w:tcW w:w="340" w:type="pct"/>
            <w:noWrap/>
            <w:vAlign w:val="center"/>
            <w:hideMark/>
          </w:tcPr>
          <w:p w:rsidR="00757390" w:rsidRPr="00C454AC" w:rsidRDefault="00757390" w:rsidP="00666D6E">
            <w:pPr>
              <w:spacing w:before="60" w:after="60"/>
              <w:jc w:val="right"/>
              <w:rPr>
                <w:b/>
                <w:bCs/>
              </w:rPr>
            </w:pPr>
            <w:r w:rsidRPr="00C454AC">
              <w:rPr>
                <w:b/>
              </w:rPr>
              <w:t>58 680</w:t>
            </w:r>
          </w:p>
        </w:tc>
        <w:tc>
          <w:tcPr>
            <w:tcW w:w="639" w:type="pct"/>
            <w:tcBorders>
              <w:top w:val="nil"/>
              <w:left w:val="single" w:sz="4" w:space="0" w:color="auto"/>
              <w:bottom w:val="nil"/>
              <w:right w:val="single" w:sz="8" w:space="0" w:color="auto"/>
            </w:tcBorders>
            <w:noWrap/>
            <w:vAlign w:val="center"/>
            <w:hideMark/>
          </w:tcPr>
          <w:p w:rsidR="00757390" w:rsidRPr="00C454AC" w:rsidRDefault="00757390" w:rsidP="00666D6E">
            <w:pPr>
              <w:spacing w:before="60" w:after="60"/>
              <w:jc w:val="right"/>
              <w:rPr>
                <w:b/>
                <w:bCs/>
              </w:rPr>
            </w:pPr>
            <w:r w:rsidRPr="00C454AC">
              <w:rPr>
                <w:b/>
              </w:rPr>
              <w:t>377 781</w:t>
            </w:r>
          </w:p>
        </w:tc>
      </w:tr>
      <w:tr w:rsidR="00757390" w:rsidRPr="00C454AC" w:rsidTr="00666D6E">
        <w:trPr>
          <w:trHeight w:val="300"/>
        </w:trPr>
        <w:tc>
          <w:tcPr>
            <w:tcW w:w="1927" w:type="pct"/>
            <w:tcBorders>
              <w:top w:val="nil"/>
              <w:left w:val="single" w:sz="8" w:space="0" w:color="auto"/>
              <w:bottom w:val="nil"/>
              <w:right w:val="single" w:sz="4" w:space="0" w:color="auto"/>
            </w:tcBorders>
            <w:noWrap/>
            <w:vAlign w:val="center"/>
            <w:hideMark/>
          </w:tcPr>
          <w:p w:rsidR="00757390" w:rsidRPr="00C454AC" w:rsidRDefault="00757390" w:rsidP="00666D6E">
            <w:pPr>
              <w:spacing w:before="60" w:after="60"/>
              <w:ind w:left="720"/>
            </w:pPr>
            <w:r w:rsidRPr="00C454AC">
              <w:t>2a.</w:t>
            </w:r>
            <w:r w:rsidRPr="00C454AC">
              <w:tab/>
              <w:t>Coeziunea economică, socială și teritorială</w:t>
            </w:r>
          </w:p>
        </w:tc>
        <w:tc>
          <w:tcPr>
            <w:tcW w:w="347" w:type="pct"/>
            <w:noWrap/>
            <w:vAlign w:val="center"/>
            <w:hideMark/>
          </w:tcPr>
          <w:p w:rsidR="00757390" w:rsidRPr="00C454AC" w:rsidRDefault="00757390" w:rsidP="00666D6E">
            <w:pPr>
              <w:spacing w:before="60" w:after="60"/>
              <w:jc w:val="right"/>
            </w:pPr>
            <w:r w:rsidRPr="00C454AC">
              <w:t>1 666</w:t>
            </w:r>
          </w:p>
        </w:tc>
        <w:tc>
          <w:tcPr>
            <w:tcW w:w="350" w:type="pct"/>
            <w:noWrap/>
            <w:vAlign w:val="center"/>
            <w:hideMark/>
          </w:tcPr>
          <w:p w:rsidR="00757390" w:rsidRPr="00C454AC" w:rsidRDefault="00757390" w:rsidP="00666D6E">
            <w:pPr>
              <w:spacing w:before="60" w:after="60"/>
              <w:jc w:val="right"/>
            </w:pPr>
            <w:r w:rsidRPr="00C454AC">
              <w:t>56 673</w:t>
            </w:r>
          </w:p>
        </w:tc>
        <w:tc>
          <w:tcPr>
            <w:tcW w:w="350" w:type="pct"/>
            <w:noWrap/>
            <w:vAlign w:val="center"/>
            <w:hideMark/>
          </w:tcPr>
          <w:p w:rsidR="00757390" w:rsidRPr="00C454AC" w:rsidRDefault="00757390" w:rsidP="00666D6E">
            <w:pPr>
              <w:spacing w:before="60" w:after="60"/>
              <w:jc w:val="right"/>
            </w:pPr>
            <w:r w:rsidRPr="00C454AC">
              <w:t>57 005</w:t>
            </w:r>
          </w:p>
        </w:tc>
        <w:tc>
          <w:tcPr>
            <w:tcW w:w="350" w:type="pct"/>
            <w:noWrap/>
            <w:vAlign w:val="center"/>
            <w:hideMark/>
          </w:tcPr>
          <w:p w:rsidR="00757390" w:rsidRPr="00C454AC" w:rsidRDefault="00757390" w:rsidP="00666D6E">
            <w:pPr>
              <w:spacing w:before="60" w:after="60"/>
              <w:jc w:val="right"/>
            </w:pPr>
            <w:r w:rsidRPr="00C454AC">
              <w:t>57 436</w:t>
            </w:r>
          </w:p>
        </w:tc>
        <w:tc>
          <w:tcPr>
            <w:tcW w:w="349" w:type="pct"/>
            <w:noWrap/>
            <w:vAlign w:val="center"/>
            <w:hideMark/>
          </w:tcPr>
          <w:p w:rsidR="00757390" w:rsidRPr="00C454AC" w:rsidRDefault="00757390" w:rsidP="00666D6E">
            <w:pPr>
              <w:spacing w:before="60" w:after="60"/>
              <w:jc w:val="right"/>
            </w:pPr>
            <w:r w:rsidRPr="00C454AC">
              <w:t>57 772</w:t>
            </w:r>
          </w:p>
        </w:tc>
        <w:tc>
          <w:tcPr>
            <w:tcW w:w="348" w:type="pct"/>
            <w:noWrap/>
            <w:vAlign w:val="center"/>
            <w:hideMark/>
          </w:tcPr>
          <w:p w:rsidR="00757390" w:rsidRPr="00C454AC" w:rsidRDefault="00757390" w:rsidP="00666D6E">
            <w:pPr>
              <w:spacing w:before="60" w:after="60"/>
              <w:jc w:val="right"/>
            </w:pPr>
            <w:r w:rsidRPr="00C454AC">
              <w:t>48 302</w:t>
            </w:r>
          </w:p>
        </w:tc>
        <w:tc>
          <w:tcPr>
            <w:tcW w:w="340" w:type="pct"/>
            <w:noWrap/>
            <w:vAlign w:val="center"/>
            <w:hideMark/>
          </w:tcPr>
          <w:p w:rsidR="00757390" w:rsidRPr="00C454AC" w:rsidRDefault="00757390" w:rsidP="00666D6E">
            <w:pPr>
              <w:spacing w:before="60" w:after="60"/>
              <w:jc w:val="right"/>
            </w:pPr>
            <w:r w:rsidRPr="00C454AC">
              <w:t>48 937</w:t>
            </w:r>
          </w:p>
        </w:tc>
        <w:tc>
          <w:tcPr>
            <w:tcW w:w="639" w:type="pct"/>
            <w:tcBorders>
              <w:top w:val="nil"/>
              <w:left w:val="single" w:sz="4" w:space="0" w:color="auto"/>
              <w:bottom w:val="nil"/>
              <w:right w:val="single" w:sz="8" w:space="0" w:color="auto"/>
            </w:tcBorders>
            <w:noWrap/>
            <w:vAlign w:val="center"/>
            <w:hideMark/>
          </w:tcPr>
          <w:p w:rsidR="00757390" w:rsidRPr="00C454AC" w:rsidRDefault="00757390" w:rsidP="00666D6E">
            <w:pPr>
              <w:spacing w:before="60" w:after="60"/>
              <w:jc w:val="right"/>
            </w:pPr>
            <w:r w:rsidRPr="00C454AC">
              <w:t>327 791</w:t>
            </w:r>
          </w:p>
        </w:tc>
      </w:tr>
      <w:tr w:rsidR="00757390" w:rsidRPr="00C454AC" w:rsidTr="00666D6E">
        <w:trPr>
          <w:trHeight w:val="300"/>
        </w:trPr>
        <w:tc>
          <w:tcPr>
            <w:tcW w:w="1927" w:type="pct"/>
            <w:tcBorders>
              <w:top w:val="nil"/>
              <w:left w:val="single" w:sz="8" w:space="0" w:color="auto"/>
              <w:bottom w:val="nil"/>
              <w:right w:val="single" w:sz="4" w:space="0" w:color="auto"/>
            </w:tcBorders>
            <w:noWrap/>
            <w:vAlign w:val="center"/>
            <w:hideMark/>
          </w:tcPr>
          <w:p w:rsidR="00757390" w:rsidRPr="00C454AC" w:rsidRDefault="00757390" w:rsidP="00666D6E">
            <w:pPr>
              <w:spacing w:before="60" w:after="60"/>
              <w:ind w:left="720"/>
            </w:pPr>
            <w:r w:rsidRPr="00C454AC">
              <w:t>2b.</w:t>
            </w:r>
            <w:r w:rsidRPr="00C454AC">
              <w:tab/>
              <w:t>Reziliență și valori</w:t>
            </w:r>
          </w:p>
        </w:tc>
        <w:tc>
          <w:tcPr>
            <w:tcW w:w="347" w:type="pct"/>
            <w:noWrap/>
            <w:vAlign w:val="center"/>
            <w:hideMark/>
          </w:tcPr>
          <w:p w:rsidR="00757390" w:rsidRPr="00C454AC" w:rsidRDefault="00757390" w:rsidP="00666D6E">
            <w:pPr>
              <w:spacing w:before="60" w:after="60"/>
              <w:jc w:val="right"/>
            </w:pPr>
            <w:r w:rsidRPr="00C454AC">
              <w:t>4 330</w:t>
            </w:r>
          </w:p>
        </w:tc>
        <w:tc>
          <w:tcPr>
            <w:tcW w:w="350" w:type="pct"/>
            <w:noWrap/>
            <w:vAlign w:val="center"/>
            <w:hideMark/>
          </w:tcPr>
          <w:p w:rsidR="00757390" w:rsidRPr="00C454AC" w:rsidRDefault="00757390" w:rsidP="00666D6E">
            <w:pPr>
              <w:spacing w:before="60" w:after="60"/>
              <w:jc w:val="right"/>
            </w:pPr>
            <w:r w:rsidRPr="00C454AC">
              <w:t>5 969</w:t>
            </w:r>
          </w:p>
        </w:tc>
        <w:tc>
          <w:tcPr>
            <w:tcW w:w="350" w:type="pct"/>
            <w:noWrap/>
            <w:vAlign w:val="center"/>
            <w:hideMark/>
          </w:tcPr>
          <w:p w:rsidR="00757390" w:rsidRPr="00C454AC" w:rsidRDefault="00757390" w:rsidP="00666D6E">
            <w:pPr>
              <w:spacing w:before="60" w:after="60"/>
              <w:jc w:val="right"/>
            </w:pPr>
            <w:r w:rsidRPr="00C454AC">
              <w:t>6 520</w:t>
            </w:r>
          </w:p>
        </w:tc>
        <w:tc>
          <w:tcPr>
            <w:tcW w:w="350" w:type="pct"/>
            <w:noWrap/>
            <w:vAlign w:val="center"/>
            <w:hideMark/>
          </w:tcPr>
          <w:p w:rsidR="00757390" w:rsidRPr="00C454AC" w:rsidRDefault="00757390" w:rsidP="00666D6E">
            <w:pPr>
              <w:spacing w:before="60" w:after="60"/>
              <w:jc w:val="right"/>
            </w:pPr>
            <w:r w:rsidRPr="00C454AC">
              <w:t>7 643</w:t>
            </w:r>
          </w:p>
        </w:tc>
        <w:tc>
          <w:tcPr>
            <w:tcW w:w="349" w:type="pct"/>
            <w:noWrap/>
            <w:vAlign w:val="center"/>
            <w:hideMark/>
          </w:tcPr>
          <w:p w:rsidR="00757390" w:rsidRPr="00C454AC" w:rsidRDefault="00757390" w:rsidP="00666D6E">
            <w:pPr>
              <w:spacing w:before="60" w:after="60"/>
              <w:jc w:val="right"/>
            </w:pPr>
            <w:r w:rsidRPr="00C454AC">
              <w:t>7 412</w:t>
            </w:r>
          </w:p>
        </w:tc>
        <w:tc>
          <w:tcPr>
            <w:tcW w:w="348" w:type="pct"/>
            <w:noWrap/>
            <w:vAlign w:val="center"/>
            <w:hideMark/>
          </w:tcPr>
          <w:p w:rsidR="00757390" w:rsidRPr="00C454AC" w:rsidRDefault="00757390" w:rsidP="00666D6E">
            <w:pPr>
              <w:spacing w:before="60" w:after="60"/>
              <w:jc w:val="right"/>
            </w:pPr>
            <w:r w:rsidRPr="00C454AC">
              <w:t>8 373</w:t>
            </w:r>
          </w:p>
        </w:tc>
        <w:tc>
          <w:tcPr>
            <w:tcW w:w="340" w:type="pct"/>
            <w:noWrap/>
            <w:vAlign w:val="center"/>
            <w:hideMark/>
          </w:tcPr>
          <w:p w:rsidR="00757390" w:rsidRPr="00C454AC" w:rsidRDefault="00757390" w:rsidP="00666D6E">
            <w:pPr>
              <w:spacing w:before="60" w:after="60"/>
              <w:jc w:val="right"/>
            </w:pPr>
            <w:r w:rsidRPr="00C454AC">
              <w:t>9 743</w:t>
            </w:r>
          </w:p>
        </w:tc>
        <w:tc>
          <w:tcPr>
            <w:tcW w:w="639" w:type="pct"/>
            <w:tcBorders>
              <w:top w:val="nil"/>
              <w:left w:val="single" w:sz="4" w:space="0" w:color="auto"/>
              <w:bottom w:val="nil"/>
              <w:right w:val="single" w:sz="8" w:space="0" w:color="auto"/>
            </w:tcBorders>
            <w:noWrap/>
            <w:vAlign w:val="center"/>
            <w:hideMark/>
          </w:tcPr>
          <w:p w:rsidR="00757390" w:rsidRPr="00C454AC" w:rsidRDefault="00757390" w:rsidP="00666D6E">
            <w:pPr>
              <w:spacing w:before="60" w:after="60"/>
              <w:jc w:val="right"/>
            </w:pPr>
            <w:r w:rsidRPr="00C454AC">
              <w:t>49 990</w:t>
            </w:r>
          </w:p>
        </w:tc>
      </w:tr>
      <w:tr w:rsidR="00757390" w:rsidRPr="00C454AC" w:rsidTr="00666D6E">
        <w:trPr>
          <w:trHeight w:val="300"/>
        </w:trPr>
        <w:tc>
          <w:tcPr>
            <w:tcW w:w="1927" w:type="pct"/>
            <w:tcBorders>
              <w:top w:val="nil"/>
              <w:left w:val="single" w:sz="8" w:space="0" w:color="auto"/>
              <w:bottom w:val="nil"/>
              <w:right w:val="single" w:sz="4" w:space="0" w:color="auto"/>
            </w:tcBorders>
            <w:noWrap/>
            <w:vAlign w:val="center"/>
            <w:hideMark/>
          </w:tcPr>
          <w:p w:rsidR="00757390" w:rsidRPr="00C454AC" w:rsidRDefault="00757390" w:rsidP="00666D6E">
            <w:pPr>
              <w:spacing w:before="60" w:after="60"/>
              <w:rPr>
                <w:b/>
                <w:bCs/>
              </w:rPr>
            </w:pPr>
            <w:r w:rsidRPr="00C454AC">
              <w:rPr>
                <w:b/>
              </w:rPr>
              <w:t>3.</w:t>
            </w:r>
            <w:r w:rsidRPr="00C454AC">
              <w:rPr>
                <w:b/>
              </w:rPr>
              <w:tab/>
              <w:t>Resurse naturale și mediu</w:t>
            </w:r>
          </w:p>
        </w:tc>
        <w:tc>
          <w:tcPr>
            <w:tcW w:w="347" w:type="pct"/>
            <w:noWrap/>
            <w:vAlign w:val="center"/>
            <w:hideMark/>
          </w:tcPr>
          <w:p w:rsidR="00757390" w:rsidRPr="00C454AC" w:rsidRDefault="00757390" w:rsidP="00666D6E">
            <w:pPr>
              <w:spacing w:before="60" w:after="60"/>
              <w:jc w:val="right"/>
              <w:rPr>
                <w:b/>
                <w:bCs/>
              </w:rPr>
            </w:pPr>
            <w:r w:rsidRPr="00C454AC">
              <w:rPr>
                <w:b/>
              </w:rPr>
              <w:t>53 562</w:t>
            </w:r>
          </w:p>
        </w:tc>
        <w:tc>
          <w:tcPr>
            <w:tcW w:w="350" w:type="pct"/>
            <w:noWrap/>
            <w:vAlign w:val="center"/>
            <w:hideMark/>
          </w:tcPr>
          <w:p w:rsidR="00757390" w:rsidRPr="00C454AC" w:rsidRDefault="00757390" w:rsidP="00666D6E">
            <w:pPr>
              <w:spacing w:before="60" w:after="60"/>
              <w:jc w:val="right"/>
              <w:rPr>
                <w:b/>
                <w:bCs/>
              </w:rPr>
            </w:pPr>
            <w:r w:rsidRPr="00C454AC">
              <w:rPr>
                <w:b/>
              </w:rPr>
              <w:t>52 626</w:t>
            </w:r>
          </w:p>
        </w:tc>
        <w:tc>
          <w:tcPr>
            <w:tcW w:w="350" w:type="pct"/>
            <w:noWrap/>
            <w:vAlign w:val="center"/>
            <w:hideMark/>
          </w:tcPr>
          <w:p w:rsidR="00757390" w:rsidRPr="00C454AC" w:rsidRDefault="00757390" w:rsidP="00666D6E">
            <w:pPr>
              <w:spacing w:before="60" w:after="60"/>
              <w:jc w:val="right"/>
              <w:rPr>
                <w:b/>
                <w:bCs/>
              </w:rPr>
            </w:pPr>
            <w:r w:rsidRPr="00C454AC">
              <w:rPr>
                <w:b/>
              </w:rPr>
              <w:t>51 893</w:t>
            </w:r>
          </w:p>
        </w:tc>
        <w:tc>
          <w:tcPr>
            <w:tcW w:w="350" w:type="pct"/>
            <w:noWrap/>
            <w:vAlign w:val="center"/>
            <w:hideMark/>
          </w:tcPr>
          <w:p w:rsidR="00757390" w:rsidRPr="00C454AC" w:rsidRDefault="00757390" w:rsidP="00666D6E">
            <w:pPr>
              <w:spacing w:before="60" w:after="60"/>
              <w:jc w:val="right"/>
              <w:rPr>
                <w:b/>
                <w:bCs/>
              </w:rPr>
            </w:pPr>
            <w:r w:rsidRPr="00C454AC">
              <w:rPr>
                <w:b/>
              </w:rPr>
              <w:t>51 013</w:t>
            </w:r>
          </w:p>
        </w:tc>
        <w:tc>
          <w:tcPr>
            <w:tcW w:w="349" w:type="pct"/>
            <w:noWrap/>
            <w:vAlign w:val="center"/>
            <w:hideMark/>
          </w:tcPr>
          <w:p w:rsidR="00757390" w:rsidRPr="00C454AC" w:rsidRDefault="00757390" w:rsidP="00666D6E">
            <w:pPr>
              <w:spacing w:before="60" w:after="60"/>
              <w:jc w:val="right"/>
              <w:rPr>
                <w:b/>
                <w:bCs/>
              </w:rPr>
            </w:pPr>
            <w:r w:rsidRPr="00C454AC">
              <w:rPr>
                <w:b/>
              </w:rPr>
              <w:t>49 914</w:t>
            </w:r>
          </w:p>
        </w:tc>
        <w:tc>
          <w:tcPr>
            <w:tcW w:w="348" w:type="pct"/>
            <w:noWrap/>
            <w:vAlign w:val="center"/>
            <w:hideMark/>
          </w:tcPr>
          <w:p w:rsidR="00757390" w:rsidRPr="00C454AC" w:rsidRDefault="00757390" w:rsidP="00666D6E">
            <w:pPr>
              <w:spacing w:before="60" w:after="60"/>
              <w:jc w:val="right"/>
              <w:rPr>
                <w:b/>
                <w:bCs/>
              </w:rPr>
            </w:pPr>
            <w:r w:rsidRPr="00C454AC">
              <w:rPr>
                <w:b/>
              </w:rPr>
              <w:t>48 734</w:t>
            </w:r>
          </w:p>
        </w:tc>
        <w:tc>
          <w:tcPr>
            <w:tcW w:w="340" w:type="pct"/>
            <w:noWrap/>
            <w:vAlign w:val="center"/>
            <w:hideMark/>
          </w:tcPr>
          <w:p w:rsidR="00757390" w:rsidRPr="00C454AC" w:rsidRDefault="00757390" w:rsidP="00666D6E">
            <w:pPr>
              <w:spacing w:before="60" w:after="60"/>
              <w:jc w:val="right"/>
              <w:rPr>
                <w:b/>
                <w:bCs/>
              </w:rPr>
            </w:pPr>
            <w:r w:rsidRPr="00C454AC">
              <w:rPr>
                <w:b/>
              </w:rPr>
              <w:t>47 960</w:t>
            </w:r>
          </w:p>
        </w:tc>
        <w:tc>
          <w:tcPr>
            <w:tcW w:w="639" w:type="pct"/>
            <w:tcBorders>
              <w:top w:val="nil"/>
              <w:left w:val="single" w:sz="4" w:space="0" w:color="auto"/>
              <w:bottom w:val="nil"/>
              <w:right w:val="single" w:sz="8" w:space="0" w:color="auto"/>
            </w:tcBorders>
            <w:noWrap/>
            <w:vAlign w:val="center"/>
            <w:hideMark/>
          </w:tcPr>
          <w:p w:rsidR="00757390" w:rsidRPr="00C454AC" w:rsidRDefault="00757390" w:rsidP="00666D6E">
            <w:pPr>
              <w:spacing w:before="60" w:after="60"/>
              <w:jc w:val="right"/>
              <w:rPr>
                <w:b/>
                <w:bCs/>
              </w:rPr>
            </w:pPr>
            <w:r w:rsidRPr="00C454AC">
              <w:rPr>
                <w:b/>
              </w:rPr>
              <w:t>355 702</w:t>
            </w:r>
          </w:p>
        </w:tc>
      </w:tr>
      <w:tr w:rsidR="00757390" w:rsidRPr="00C454AC" w:rsidTr="00666D6E">
        <w:trPr>
          <w:trHeight w:val="300"/>
        </w:trPr>
        <w:tc>
          <w:tcPr>
            <w:tcW w:w="1927" w:type="pct"/>
            <w:tcBorders>
              <w:top w:val="nil"/>
              <w:left w:val="single" w:sz="8" w:space="0" w:color="auto"/>
              <w:bottom w:val="nil"/>
              <w:right w:val="single" w:sz="4" w:space="0" w:color="auto"/>
            </w:tcBorders>
            <w:noWrap/>
            <w:vAlign w:val="center"/>
            <w:hideMark/>
          </w:tcPr>
          <w:p w:rsidR="00757390" w:rsidRPr="00C454AC" w:rsidRDefault="00757390" w:rsidP="00666D6E">
            <w:pPr>
              <w:spacing w:before="60" w:after="60"/>
              <w:ind w:left="720"/>
            </w:pPr>
            <w:r w:rsidRPr="00C454AC">
              <w:t>din care: Cheltuieli de piață și plăți directe</w:t>
            </w:r>
          </w:p>
        </w:tc>
        <w:tc>
          <w:tcPr>
            <w:tcW w:w="347" w:type="pct"/>
            <w:noWrap/>
            <w:vAlign w:val="center"/>
            <w:hideMark/>
          </w:tcPr>
          <w:p w:rsidR="00757390" w:rsidRPr="00C454AC" w:rsidRDefault="00757390" w:rsidP="00666D6E">
            <w:pPr>
              <w:spacing w:before="60" w:after="60"/>
              <w:jc w:val="right"/>
            </w:pPr>
            <w:r w:rsidRPr="00C454AC">
              <w:t>38 040</w:t>
            </w:r>
          </w:p>
        </w:tc>
        <w:tc>
          <w:tcPr>
            <w:tcW w:w="350" w:type="pct"/>
            <w:noWrap/>
            <w:vAlign w:val="center"/>
            <w:hideMark/>
          </w:tcPr>
          <w:p w:rsidR="00757390" w:rsidRPr="00C454AC" w:rsidRDefault="00757390" w:rsidP="00666D6E">
            <w:pPr>
              <w:spacing w:before="60" w:after="60"/>
              <w:jc w:val="right"/>
            </w:pPr>
            <w:r w:rsidRPr="00C454AC">
              <w:t>37 544</w:t>
            </w:r>
          </w:p>
        </w:tc>
        <w:tc>
          <w:tcPr>
            <w:tcW w:w="350" w:type="pct"/>
            <w:noWrap/>
            <w:vAlign w:val="center"/>
            <w:hideMark/>
          </w:tcPr>
          <w:p w:rsidR="00757390" w:rsidRPr="00C454AC" w:rsidRDefault="00757390" w:rsidP="00666D6E">
            <w:pPr>
              <w:spacing w:before="60" w:after="60"/>
              <w:jc w:val="right"/>
            </w:pPr>
            <w:r w:rsidRPr="00C454AC">
              <w:t>36 857</w:t>
            </w:r>
          </w:p>
        </w:tc>
        <w:tc>
          <w:tcPr>
            <w:tcW w:w="350" w:type="pct"/>
            <w:noWrap/>
            <w:vAlign w:val="center"/>
            <w:hideMark/>
          </w:tcPr>
          <w:p w:rsidR="00757390" w:rsidRPr="00C454AC" w:rsidRDefault="00757390" w:rsidP="00666D6E">
            <w:pPr>
              <w:spacing w:before="60" w:after="60"/>
              <w:jc w:val="right"/>
            </w:pPr>
            <w:r w:rsidRPr="00C454AC">
              <w:t>36 054</w:t>
            </w:r>
          </w:p>
        </w:tc>
        <w:tc>
          <w:tcPr>
            <w:tcW w:w="349" w:type="pct"/>
            <w:noWrap/>
            <w:vAlign w:val="center"/>
            <w:hideMark/>
          </w:tcPr>
          <w:p w:rsidR="00757390" w:rsidRPr="00C454AC" w:rsidRDefault="00757390" w:rsidP="00666D6E">
            <w:pPr>
              <w:spacing w:before="60" w:after="60"/>
              <w:jc w:val="right"/>
            </w:pPr>
            <w:r w:rsidRPr="00C454AC">
              <w:t>35 283</w:t>
            </w:r>
          </w:p>
        </w:tc>
        <w:tc>
          <w:tcPr>
            <w:tcW w:w="348" w:type="pct"/>
            <w:noWrap/>
            <w:vAlign w:val="center"/>
            <w:hideMark/>
          </w:tcPr>
          <w:p w:rsidR="00757390" w:rsidRPr="00C454AC" w:rsidRDefault="00757390" w:rsidP="00666D6E">
            <w:pPr>
              <w:spacing w:before="60" w:after="60"/>
              <w:jc w:val="right"/>
            </w:pPr>
            <w:r w:rsidRPr="00C454AC">
              <w:t>34 602</w:t>
            </w:r>
          </w:p>
        </w:tc>
        <w:tc>
          <w:tcPr>
            <w:tcW w:w="340" w:type="pct"/>
            <w:noWrap/>
            <w:vAlign w:val="center"/>
            <w:hideMark/>
          </w:tcPr>
          <w:p w:rsidR="00757390" w:rsidRPr="00C454AC" w:rsidRDefault="00757390" w:rsidP="00666D6E">
            <w:pPr>
              <w:spacing w:before="60" w:after="60"/>
              <w:jc w:val="right"/>
            </w:pPr>
            <w:r w:rsidRPr="00C454AC">
              <w:t>33 886</w:t>
            </w:r>
          </w:p>
        </w:tc>
        <w:tc>
          <w:tcPr>
            <w:tcW w:w="639" w:type="pct"/>
            <w:tcBorders>
              <w:top w:val="nil"/>
              <w:left w:val="single" w:sz="4" w:space="0" w:color="auto"/>
              <w:bottom w:val="nil"/>
              <w:right w:val="single" w:sz="8" w:space="0" w:color="auto"/>
            </w:tcBorders>
            <w:noWrap/>
            <w:vAlign w:val="center"/>
            <w:hideMark/>
          </w:tcPr>
          <w:p w:rsidR="00757390" w:rsidRPr="00C454AC" w:rsidRDefault="00757390" w:rsidP="00666D6E">
            <w:pPr>
              <w:spacing w:before="60" w:after="60"/>
              <w:jc w:val="right"/>
            </w:pPr>
            <w:r w:rsidRPr="00C454AC">
              <w:t>252 266</w:t>
            </w:r>
          </w:p>
        </w:tc>
      </w:tr>
      <w:tr w:rsidR="00757390" w:rsidRPr="00C454AC" w:rsidTr="00666D6E">
        <w:trPr>
          <w:trHeight w:val="300"/>
        </w:trPr>
        <w:tc>
          <w:tcPr>
            <w:tcW w:w="1927" w:type="pct"/>
            <w:tcBorders>
              <w:top w:val="nil"/>
              <w:left w:val="single" w:sz="8" w:space="0" w:color="auto"/>
              <w:bottom w:val="nil"/>
              <w:right w:val="single" w:sz="4" w:space="0" w:color="auto"/>
            </w:tcBorders>
            <w:noWrap/>
            <w:vAlign w:val="center"/>
            <w:hideMark/>
          </w:tcPr>
          <w:p w:rsidR="00757390" w:rsidRPr="00C454AC" w:rsidRDefault="00757390" w:rsidP="00666D6E">
            <w:pPr>
              <w:pageBreakBefore/>
              <w:spacing w:before="60" w:after="60"/>
              <w:rPr>
                <w:b/>
                <w:bCs/>
              </w:rPr>
            </w:pPr>
            <w:r w:rsidRPr="00C454AC">
              <w:rPr>
                <w:b/>
              </w:rPr>
              <w:lastRenderedPageBreak/>
              <w:t>4.</w:t>
            </w:r>
            <w:r w:rsidRPr="00C454AC">
              <w:rPr>
                <w:b/>
              </w:rPr>
              <w:tab/>
              <w:t>Migrație și gestionarea frontierelor</w:t>
            </w:r>
          </w:p>
        </w:tc>
        <w:tc>
          <w:tcPr>
            <w:tcW w:w="347" w:type="pct"/>
            <w:noWrap/>
            <w:vAlign w:val="center"/>
            <w:hideMark/>
          </w:tcPr>
          <w:p w:rsidR="00757390" w:rsidRPr="00C454AC" w:rsidRDefault="00757390" w:rsidP="00666D6E">
            <w:pPr>
              <w:spacing w:before="60" w:after="60"/>
              <w:jc w:val="right"/>
              <w:rPr>
                <w:b/>
                <w:bCs/>
              </w:rPr>
            </w:pPr>
            <w:r w:rsidRPr="00C454AC">
              <w:rPr>
                <w:b/>
              </w:rPr>
              <w:t>1 687</w:t>
            </w:r>
          </w:p>
        </w:tc>
        <w:tc>
          <w:tcPr>
            <w:tcW w:w="350" w:type="pct"/>
            <w:noWrap/>
            <w:vAlign w:val="center"/>
            <w:hideMark/>
          </w:tcPr>
          <w:p w:rsidR="00757390" w:rsidRPr="00C454AC" w:rsidRDefault="00757390" w:rsidP="00666D6E">
            <w:pPr>
              <w:spacing w:before="60" w:after="60"/>
              <w:jc w:val="right"/>
              <w:rPr>
                <w:b/>
                <w:bCs/>
              </w:rPr>
            </w:pPr>
            <w:r w:rsidRPr="00C454AC">
              <w:rPr>
                <w:b/>
              </w:rPr>
              <w:t>3 104</w:t>
            </w:r>
          </w:p>
        </w:tc>
        <w:tc>
          <w:tcPr>
            <w:tcW w:w="350" w:type="pct"/>
            <w:noWrap/>
            <w:vAlign w:val="center"/>
            <w:hideMark/>
          </w:tcPr>
          <w:p w:rsidR="00757390" w:rsidRPr="00C454AC" w:rsidRDefault="00757390" w:rsidP="00666D6E">
            <w:pPr>
              <w:spacing w:before="60" w:after="60"/>
              <w:jc w:val="right"/>
              <w:rPr>
                <w:b/>
                <w:bCs/>
              </w:rPr>
            </w:pPr>
            <w:r w:rsidRPr="00C454AC">
              <w:rPr>
                <w:b/>
              </w:rPr>
              <w:t>3 454</w:t>
            </w:r>
          </w:p>
        </w:tc>
        <w:tc>
          <w:tcPr>
            <w:tcW w:w="350" w:type="pct"/>
            <w:noWrap/>
            <w:vAlign w:val="center"/>
            <w:hideMark/>
          </w:tcPr>
          <w:p w:rsidR="00757390" w:rsidRPr="00C454AC" w:rsidRDefault="00757390" w:rsidP="00666D6E">
            <w:pPr>
              <w:spacing w:before="60" w:after="60"/>
              <w:jc w:val="right"/>
              <w:rPr>
                <w:b/>
                <w:bCs/>
              </w:rPr>
            </w:pPr>
            <w:r w:rsidRPr="00C454AC">
              <w:rPr>
                <w:b/>
              </w:rPr>
              <w:t>3 569</w:t>
            </w:r>
          </w:p>
        </w:tc>
        <w:tc>
          <w:tcPr>
            <w:tcW w:w="349" w:type="pct"/>
            <w:noWrap/>
            <w:vAlign w:val="center"/>
            <w:hideMark/>
          </w:tcPr>
          <w:p w:rsidR="00757390" w:rsidRPr="00C454AC" w:rsidRDefault="00757390" w:rsidP="00666D6E">
            <w:pPr>
              <w:spacing w:before="60" w:after="60"/>
              <w:jc w:val="right"/>
              <w:rPr>
                <w:b/>
                <w:bCs/>
              </w:rPr>
            </w:pPr>
            <w:r w:rsidRPr="00C454AC">
              <w:rPr>
                <w:b/>
              </w:rPr>
              <w:t>4 083</w:t>
            </w:r>
          </w:p>
        </w:tc>
        <w:tc>
          <w:tcPr>
            <w:tcW w:w="348" w:type="pct"/>
            <w:noWrap/>
            <w:vAlign w:val="center"/>
            <w:hideMark/>
          </w:tcPr>
          <w:p w:rsidR="00757390" w:rsidRPr="00C454AC" w:rsidRDefault="00757390" w:rsidP="00666D6E">
            <w:pPr>
              <w:spacing w:before="60" w:after="60"/>
              <w:jc w:val="right"/>
              <w:rPr>
                <w:b/>
                <w:bCs/>
              </w:rPr>
            </w:pPr>
            <w:r w:rsidRPr="00C454AC">
              <w:rPr>
                <w:b/>
              </w:rPr>
              <w:t>4 145</w:t>
            </w:r>
          </w:p>
        </w:tc>
        <w:tc>
          <w:tcPr>
            <w:tcW w:w="340" w:type="pct"/>
            <w:noWrap/>
            <w:vAlign w:val="center"/>
            <w:hideMark/>
          </w:tcPr>
          <w:p w:rsidR="00757390" w:rsidRPr="00C454AC" w:rsidRDefault="00757390" w:rsidP="00666D6E">
            <w:pPr>
              <w:spacing w:before="60" w:after="60"/>
              <w:jc w:val="right"/>
              <w:rPr>
                <w:b/>
                <w:bCs/>
              </w:rPr>
            </w:pPr>
            <w:r w:rsidRPr="00C454AC">
              <w:rPr>
                <w:b/>
              </w:rPr>
              <w:t>4 701</w:t>
            </w:r>
          </w:p>
        </w:tc>
        <w:tc>
          <w:tcPr>
            <w:tcW w:w="639" w:type="pct"/>
            <w:tcBorders>
              <w:top w:val="nil"/>
              <w:left w:val="single" w:sz="4" w:space="0" w:color="auto"/>
              <w:bottom w:val="nil"/>
              <w:right w:val="single" w:sz="8" w:space="0" w:color="auto"/>
            </w:tcBorders>
            <w:noWrap/>
            <w:vAlign w:val="center"/>
            <w:hideMark/>
          </w:tcPr>
          <w:p w:rsidR="00757390" w:rsidRPr="00C454AC" w:rsidRDefault="00757390" w:rsidP="00666D6E">
            <w:pPr>
              <w:spacing w:before="60" w:after="60"/>
              <w:jc w:val="right"/>
              <w:rPr>
                <w:b/>
                <w:bCs/>
              </w:rPr>
            </w:pPr>
            <w:r w:rsidRPr="00C454AC">
              <w:rPr>
                <w:b/>
              </w:rPr>
              <w:t>24 743</w:t>
            </w:r>
          </w:p>
        </w:tc>
      </w:tr>
      <w:tr w:rsidR="00757390" w:rsidRPr="00C454AC" w:rsidTr="00666D6E">
        <w:trPr>
          <w:trHeight w:val="300"/>
        </w:trPr>
        <w:tc>
          <w:tcPr>
            <w:tcW w:w="1927" w:type="pct"/>
            <w:tcBorders>
              <w:top w:val="nil"/>
              <w:left w:val="single" w:sz="8" w:space="0" w:color="auto"/>
              <w:bottom w:val="nil"/>
              <w:right w:val="single" w:sz="4" w:space="0" w:color="auto"/>
            </w:tcBorders>
            <w:noWrap/>
            <w:vAlign w:val="center"/>
            <w:hideMark/>
          </w:tcPr>
          <w:p w:rsidR="00757390" w:rsidRPr="00C454AC" w:rsidRDefault="00757390" w:rsidP="00666D6E">
            <w:pPr>
              <w:spacing w:before="60" w:after="60"/>
              <w:rPr>
                <w:b/>
                <w:bCs/>
              </w:rPr>
            </w:pPr>
            <w:r w:rsidRPr="00C454AC">
              <w:rPr>
                <w:b/>
              </w:rPr>
              <w:t>5.</w:t>
            </w:r>
            <w:r w:rsidRPr="00C454AC">
              <w:rPr>
                <w:b/>
              </w:rPr>
              <w:tab/>
              <w:t>Securitate și apărare</w:t>
            </w:r>
          </w:p>
        </w:tc>
        <w:tc>
          <w:tcPr>
            <w:tcW w:w="347" w:type="pct"/>
            <w:noWrap/>
            <w:vAlign w:val="center"/>
            <w:hideMark/>
          </w:tcPr>
          <w:p w:rsidR="00757390" w:rsidRPr="00C454AC" w:rsidRDefault="00757390" w:rsidP="00666D6E">
            <w:pPr>
              <w:spacing w:before="60" w:after="60"/>
              <w:jc w:val="right"/>
              <w:rPr>
                <w:b/>
                <w:bCs/>
              </w:rPr>
            </w:pPr>
            <w:r w:rsidRPr="00C454AC">
              <w:rPr>
                <w:b/>
              </w:rPr>
              <w:t>1 598</w:t>
            </w:r>
          </w:p>
        </w:tc>
        <w:tc>
          <w:tcPr>
            <w:tcW w:w="350" w:type="pct"/>
            <w:noWrap/>
            <w:vAlign w:val="center"/>
            <w:hideMark/>
          </w:tcPr>
          <w:p w:rsidR="00757390" w:rsidRPr="00C454AC" w:rsidRDefault="00757390" w:rsidP="00666D6E">
            <w:pPr>
              <w:spacing w:before="60" w:after="60"/>
              <w:jc w:val="right"/>
              <w:rPr>
                <w:b/>
                <w:bCs/>
              </w:rPr>
            </w:pPr>
            <w:r w:rsidRPr="00C454AC">
              <w:rPr>
                <w:b/>
              </w:rPr>
              <w:t>1 750</w:t>
            </w:r>
          </w:p>
        </w:tc>
        <w:tc>
          <w:tcPr>
            <w:tcW w:w="350" w:type="pct"/>
            <w:noWrap/>
            <w:vAlign w:val="center"/>
            <w:hideMark/>
          </w:tcPr>
          <w:p w:rsidR="00757390" w:rsidRPr="00C454AC" w:rsidRDefault="00757390" w:rsidP="00666D6E">
            <w:pPr>
              <w:spacing w:before="60" w:after="60"/>
              <w:jc w:val="right"/>
              <w:rPr>
                <w:b/>
                <w:bCs/>
              </w:rPr>
            </w:pPr>
            <w:r w:rsidRPr="00C454AC">
              <w:rPr>
                <w:b/>
              </w:rPr>
              <w:t>1 762</w:t>
            </w:r>
          </w:p>
        </w:tc>
        <w:tc>
          <w:tcPr>
            <w:tcW w:w="350" w:type="pct"/>
            <w:noWrap/>
            <w:vAlign w:val="center"/>
            <w:hideMark/>
          </w:tcPr>
          <w:p w:rsidR="00757390" w:rsidRPr="00C454AC" w:rsidRDefault="00757390" w:rsidP="00666D6E">
            <w:pPr>
              <w:spacing w:before="60" w:after="60"/>
              <w:jc w:val="right"/>
              <w:rPr>
                <w:b/>
                <w:bCs/>
              </w:rPr>
            </w:pPr>
            <w:r w:rsidRPr="00C454AC">
              <w:rPr>
                <w:b/>
              </w:rPr>
              <w:t>2 112</w:t>
            </w:r>
          </w:p>
        </w:tc>
        <w:tc>
          <w:tcPr>
            <w:tcW w:w="349" w:type="pct"/>
            <w:noWrap/>
            <w:vAlign w:val="center"/>
            <w:hideMark/>
          </w:tcPr>
          <w:p w:rsidR="00757390" w:rsidRPr="00C454AC" w:rsidRDefault="00757390" w:rsidP="00666D6E">
            <w:pPr>
              <w:spacing w:before="60" w:after="60"/>
              <w:jc w:val="right"/>
              <w:rPr>
                <w:b/>
                <w:bCs/>
              </w:rPr>
            </w:pPr>
            <w:r w:rsidRPr="00C454AC">
              <w:rPr>
                <w:b/>
              </w:rPr>
              <w:t>2 277</w:t>
            </w:r>
          </w:p>
        </w:tc>
        <w:tc>
          <w:tcPr>
            <w:tcW w:w="348" w:type="pct"/>
            <w:noWrap/>
            <w:vAlign w:val="center"/>
            <w:hideMark/>
          </w:tcPr>
          <w:p w:rsidR="00757390" w:rsidRPr="00C454AC" w:rsidRDefault="00757390" w:rsidP="00666D6E">
            <w:pPr>
              <w:spacing w:before="60" w:after="60"/>
              <w:jc w:val="right"/>
              <w:rPr>
                <w:b/>
                <w:bCs/>
              </w:rPr>
            </w:pPr>
            <w:r w:rsidRPr="00C454AC">
              <w:rPr>
                <w:b/>
              </w:rPr>
              <w:t>2 398</w:t>
            </w:r>
          </w:p>
        </w:tc>
        <w:tc>
          <w:tcPr>
            <w:tcW w:w="340" w:type="pct"/>
            <w:noWrap/>
            <w:vAlign w:val="center"/>
            <w:hideMark/>
          </w:tcPr>
          <w:p w:rsidR="00757390" w:rsidRPr="00C454AC" w:rsidRDefault="00757390" w:rsidP="00666D6E">
            <w:pPr>
              <w:spacing w:before="60" w:after="60"/>
              <w:jc w:val="right"/>
              <w:rPr>
                <w:b/>
                <w:bCs/>
              </w:rPr>
            </w:pPr>
            <w:r w:rsidRPr="00C454AC">
              <w:rPr>
                <w:b/>
              </w:rPr>
              <w:t>2 576</w:t>
            </w:r>
          </w:p>
        </w:tc>
        <w:tc>
          <w:tcPr>
            <w:tcW w:w="639" w:type="pct"/>
            <w:tcBorders>
              <w:top w:val="nil"/>
              <w:left w:val="single" w:sz="4" w:space="0" w:color="auto"/>
              <w:bottom w:val="nil"/>
              <w:right w:val="single" w:sz="8" w:space="0" w:color="auto"/>
            </w:tcBorders>
            <w:noWrap/>
            <w:vAlign w:val="center"/>
            <w:hideMark/>
          </w:tcPr>
          <w:p w:rsidR="00757390" w:rsidRPr="00C454AC" w:rsidRDefault="00757390" w:rsidP="00666D6E">
            <w:pPr>
              <w:spacing w:before="60" w:after="60"/>
              <w:jc w:val="right"/>
              <w:rPr>
                <w:b/>
                <w:bCs/>
              </w:rPr>
            </w:pPr>
            <w:r w:rsidRPr="00C454AC">
              <w:rPr>
                <w:b/>
              </w:rPr>
              <w:t>14 473</w:t>
            </w:r>
          </w:p>
        </w:tc>
      </w:tr>
      <w:tr w:rsidR="00757390" w:rsidRPr="00C454AC" w:rsidTr="00666D6E">
        <w:trPr>
          <w:trHeight w:val="300"/>
        </w:trPr>
        <w:tc>
          <w:tcPr>
            <w:tcW w:w="1927" w:type="pct"/>
            <w:tcBorders>
              <w:top w:val="nil"/>
              <w:left w:val="single" w:sz="8" w:space="0" w:color="auto"/>
              <w:bottom w:val="nil"/>
              <w:right w:val="single" w:sz="4" w:space="0" w:color="auto"/>
            </w:tcBorders>
            <w:noWrap/>
            <w:vAlign w:val="center"/>
            <w:hideMark/>
          </w:tcPr>
          <w:p w:rsidR="00757390" w:rsidRPr="00C454AC" w:rsidRDefault="00757390" w:rsidP="00666D6E">
            <w:pPr>
              <w:spacing w:before="60" w:after="60"/>
              <w:rPr>
                <w:b/>
                <w:bCs/>
              </w:rPr>
            </w:pPr>
            <w:r w:rsidRPr="00C454AC">
              <w:rPr>
                <w:b/>
              </w:rPr>
              <w:t>6.</w:t>
            </w:r>
            <w:r w:rsidRPr="00C454AC">
              <w:rPr>
                <w:b/>
              </w:rPr>
              <w:tab/>
              <w:t>Vecinătate și întreaga lume</w:t>
            </w:r>
          </w:p>
        </w:tc>
        <w:tc>
          <w:tcPr>
            <w:tcW w:w="347" w:type="pct"/>
            <w:noWrap/>
            <w:vAlign w:val="center"/>
            <w:hideMark/>
          </w:tcPr>
          <w:p w:rsidR="00757390" w:rsidRPr="00C454AC" w:rsidRDefault="00757390" w:rsidP="00666D6E">
            <w:pPr>
              <w:spacing w:before="60" w:after="60"/>
              <w:jc w:val="right"/>
              <w:rPr>
                <w:b/>
                <w:bCs/>
              </w:rPr>
            </w:pPr>
            <w:r w:rsidRPr="00C454AC">
              <w:rPr>
                <w:b/>
              </w:rPr>
              <w:t>15 309</w:t>
            </w:r>
          </w:p>
        </w:tc>
        <w:tc>
          <w:tcPr>
            <w:tcW w:w="350" w:type="pct"/>
            <w:noWrap/>
            <w:vAlign w:val="center"/>
            <w:hideMark/>
          </w:tcPr>
          <w:p w:rsidR="00757390" w:rsidRPr="00C454AC" w:rsidRDefault="00757390" w:rsidP="00666D6E">
            <w:pPr>
              <w:spacing w:before="60" w:after="60"/>
              <w:jc w:val="right"/>
              <w:rPr>
                <w:b/>
                <w:bCs/>
              </w:rPr>
            </w:pPr>
            <w:r w:rsidRPr="00C454AC">
              <w:rPr>
                <w:b/>
              </w:rPr>
              <w:t>15 522</w:t>
            </w:r>
          </w:p>
        </w:tc>
        <w:tc>
          <w:tcPr>
            <w:tcW w:w="350" w:type="pct"/>
            <w:noWrap/>
            <w:vAlign w:val="center"/>
            <w:hideMark/>
          </w:tcPr>
          <w:p w:rsidR="00757390" w:rsidRPr="00C454AC" w:rsidRDefault="00757390" w:rsidP="00666D6E">
            <w:pPr>
              <w:spacing w:before="60" w:after="60"/>
              <w:jc w:val="right"/>
              <w:rPr>
                <w:b/>
                <w:bCs/>
              </w:rPr>
            </w:pPr>
            <w:r w:rsidRPr="00C454AC">
              <w:rPr>
                <w:b/>
              </w:rPr>
              <w:t>14 789</w:t>
            </w:r>
          </w:p>
        </w:tc>
        <w:tc>
          <w:tcPr>
            <w:tcW w:w="350" w:type="pct"/>
            <w:noWrap/>
            <w:vAlign w:val="center"/>
            <w:hideMark/>
          </w:tcPr>
          <w:p w:rsidR="00757390" w:rsidRPr="00C454AC" w:rsidRDefault="00757390" w:rsidP="00666D6E">
            <w:pPr>
              <w:spacing w:before="60" w:after="60"/>
              <w:jc w:val="right"/>
              <w:rPr>
                <w:b/>
                <w:bCs/>
              </w:rPr>
            </w:pPr>
            <w:r w:rsidRPr="00C454AC">
              <w:rPr>
                <w:b/>
              </w:rPr>
              <w:t>14 500</w:t>
            </w:r>
          </w:p>
        </w:tc>
        <w:tc>
          <w:tcPr>
            <w:tcW w:w="349" w:type="pct"/>
            <w:noWrap/>
            <w:vAlign w:val="center"/>
            <w:hideMark/>
          </w:tcPr>
          <w:p w:rsidR="00757390" w:rsidRPr="00C454AC" w:rsidRDefault="00757390" w:rsidP="00666D6E">
            <w:pPr>
              <w:spacing w:before="60" w:after="60"/>
              <w:jc w:val="right"/>
              <w:rPr>
                <w:b/>
                <w:bCs/>
              </w:rPr>
            </w:pPr>
            <w:r w:rsidRPr="00C454AC">
              <w:rPr>
                <w:b/>
              </w:rPr>
              <w:t>14 192</w:t>
            </w:r>
          </w:p>
        </w:tc>
        <w:tc>
          <w:tcPr>
            <w:tcW w:w="348" w:type="pct"/>
            <w:noWrap/>
            <w:vAlign w:val="center"/>
            <w:hideMark/>
          </w:tcPr>
          <w:p w:rsidR="00757390" w:rsidRPr="00C454AC" w:rsidRDefault="00757390" w:rsidP="00666D6E">
            <w:pPr>
              <w:spacing w:before="60" w:after="60"/>
              <w:jc w:val="right"/>
              <w:rPr>
                <w:b/>
                <w:bCs/>
              </w:rPr>
            </w:pPr>
            <w:r w:rsidRPr="00C454AC">
              <w:rPr>
                <w:b/>
              </w:rPr>
              <w:t>13 326</w:t>
            </w:r>
          </w:p>
        </w:tc>
        <w:tc>
          <w:tcPr>
            <w:tcW w:w="340" w:type="pct"/>
            <w:noWrap/>
            <w:vAlign w:val="center"/>
            <w:hideMark/>
          </w:tcPr>
          <w:p w:rsidR="00757390" w:rsidRPr="00C454AC" w:rsidRDefault="00757390" w:rsidP="00666D6E">
            <w:pPr>
              <w:spacing w:before="60" w:after="60"/>
              <w:jc w:val="right"/>
              <w:rPr>
                <w:b/>
                <w:bCs/>
              </w:rPr>
            </w:pPr>
            <w:r w:rsidRPr="00C454AC">
              <w:rPr>
                <w:b/>
              </w:rPr>
              <w:t>13 447</w:t>
            </w:r>
          </w:p>
        </w:tc>
        <w:tc>
          <w:tcPr>
            <w:tcW w:w="639" w:type="pct"/>
            <w:tcBorders>
              <w:top w:val="nil"/>
              <w:left w:val="single" w:sz="4" w:space="0" w:color="auto"/>
              <w:bottom w:val="nil"/>
              <w:right w:val="single" w:sz="8" w:space="0" w:color="auto"/>
            </w:tcBorders>
            <w:noWrap/>
            <w:vAlign w:val="center"/>
            <w:hideMark/>
          </w:tcPr>
          <w:p w:rsidR="00757390" w:rsidRPr="00C454AC" w:rsidRDefault="00757390" w:rsidP="00666D6E">
            <w:pPr>
              <w:spacing w:before="60" w:after="60"/>
              <w:jc w:val="right"/>
              <w:rPr>
                <w:b/>
                <w:bCs/>
              </w:rPr>
            </w:pPr>
            <w:r w:rsidRPr="00C454AC">
              <w:rPr>
                <w:b/>
              </w:rPr>
              <w:t>101 085</w:t>
            </w:r>
          </w:p>
        </w:tc>
      </w:tr>
      <w:tr w:rsidR="00757390" w:rsidRPr="00C454AC" w:rsidTr="00666D6E">
        <w:trPr>
          <w:trHeight w:val="300"/>
        </w:trPr>
        <w:tc>
          <w:tcPr>
            <w:tcW w:w="1927" w:type="pct"/>
            <w:tcBorders>
              <w:top w:val="nil"/>
              <w:left w:val="single" w:sz="8" w:space="0" w:color="auto"/>
              <w:bottom w:val="nil"/>
              <w:right w:val="single" w:sz="4" w:space="0" w:color="auto"/>
            </w:tcBorders>
            <w:noWrap/>
            <w:vAlign w:val="center"/>
            <w:hideMark/>
          </w:tcPr>
          <w:p w:rsidR="00757390" w:rsidRPr="00C454AC" w:rsidRDefault="00757390" w:rsidP="00666D6E">
            <w:pPr>
              <w:spacing w:before="60" w:after="60"/>
              <w:rPr>
                <w:b/>
                <w:bCs/>
              </w:rPr>
            </w:pPr>
            <w:r w:rsidRPr="00C454AC">
              <w:rPr>
                <w:b/>
              </w:rPr>
              <w:t>7.</w:t>
            </w:r>
            <w:r w:rsidRPr="00C454AC">
              <w:rPr>
                <w:b/>
              </w:rPr>
              <w:tab/>
              <w:t>Administrația publică europeană</w:t>
            </w:r>
          </w:p>
        </w:tc>
        <w:tc>
          <w:tcPr>
            <w:tcW w:w="347" w:type="pct"/>
            <w:noWrap/>
            <w:vAlign w:val="center"/>
            <w:hideMark/>
          </w:tcPr>
          <w:p w:rsidR="00757390" w:rsidRPr="00C454AC" w:rsidRDefault="00757390" w:rsidP="00666D6E">
            <w:pPr>
              <w:spacing w:before="60" w:after="60"/>
              <w:jc w:val="right"/>
              <w:rPr>
                <w:b/>
                <w:bCs/>
              </w:rPr>
            </w:pPr>
            <w:r w:rsidRPr="00C454AC">
              <w:rPr>
                <w:b/>
              </w:rPr>
              <w:t>10 021</w:t>
            </w:r>
          </w:p>
        </w:tc>
        <w:tc>
          <w:tcPr>
            <w:tcW w:w="350" w:type="pct"/>
            <w:noWrap/>
            <w:vAlign w:val="center"/>
            <w:hideMark/>
          </w:tcPr>
          <w:p w:rsidR="00757390" w:rsidRPr="00C454AC" w:rsidRDefault="00757390" w:rsidP="00666D6E">
            <w:pPr>
              <w:spacing w:before="60" w:after="60"/>
              <w:jc w:val="right"/>
              <w:rPr>
                <w:b/>
                <w:bCs/>
              </w:rPr>
            </w:pPr>
            <w:r w:rsidRPr="00C454AC">
              <w:rPr>
                <w:b/>
              </w:rPr>
              <w:t>10 215</w:t>
            </w:r>
          </w:p>
        </w:tc>
        <w:tc>
          <w:tcPr>
            <w:tcW w:w="350" w:type="pct"/>
            <w:noWrap/>
            <w:vAlign w:val="center"/>
            <w:hideMark/>
          </w:tcPr>
          <w:p w:rsidR="00757390" w:rsidRPr="00C454AC" w:rsidRDefault="00757390" w:rsidP="00666D6E">
            <w:pPr>
              <w:spacing w:before="60" w:after="60"/>
              <w:jc w:val="right"/>
              <w:rPr>
                <w:b/>
                <w:bCs/>
              </w:rPr>
            </w:pPr>
            <w:r w:rsidRPr="00C454AC">
              <w:rPr>
                <w:b/>
              </w:rPr>
              <w:t>10 342</w:t>
            </w:r>
          </w:p>
        </w:tc>
        <w:tc>
          <w:tcPr>
            <w:tcW w:w="350" w:type="pct"/>
            <w:noWrap/>
            <w:vAlign w:val="center"/>
            <w:hideMark/>
          </w:tcPr>
          <w:p w:rsidR="00757390" w:rsidRPr="00C454AC" w:rsidRDefault="00757390" w:rsidP="00666D6E">
            <w:pPr>
              <w:spacing w:before="60" w:after="60"/>
              <w:jc w:val="right"/>
              <w:rPr>
                <w:b/>
                <w:bCs/>
              </w:rPr>
            </w:pPr>
            <w:r w:rsidRPr="00C454AC">
              <w:rPr>
                <w:b/>
              </w:rPr>
              <w:t>10 454</w:t>
            </w:r>
          </w:p>
        </w:tc>
        <w:tc>
          <w:tcPr>
            <w:tcW w:w="349" w:type="pct"/>
            <w:noWrap/>
            <w:vAlign w:val="center"/>
            <w:hideMark/>
          </w:tcPr>
          <w:p w:rsidR="00757390" w:rsidRPr="00C454AC" w:rsidRDefault="00757390" w:rsidP="00666D6E">
            <w:pPr>
              <w:spacing w:before="60" w:after="60"/>
              <w:jc w:val="right"/>
              <w:rPr>
                <w:b/>
                <w:bCs/>
              </w:rPr>
            </w:pPr>
            <w:r w:rsidRPr="00C454AC">
              <w:rPr>
                <w:b/>
              </w:rPr>
              <w:t>10 554</w:t>
            </w:r>
          </w:p>
        </w:tc>
        <w:tc>
          <w:tcPr>
            <w:tcW w:w="348" w:type="pct"/>
            <w:noWrap/>
            <w:vAlign w:val="center"/>
            <w:hideMark/>
          </w:tcPr>
          <w:p w:rsidR="00757390" w:rsidRPr="00C454AC" w:rsidRDefault="00757390" w:rsidP="00666D6E">
            <w:pPr>
              <w:spacing w:before="60" w:after="60"/>
              <w:jc w:val="right"/>
              <w:rPr>
                <w:b/>
                <w:bCs/>
              </w:rPr>
            </w:pPr>
            <w:r w:rsidRPr="00C454AC">
              <w:rPr>
                <w:b/>
              </w:rPr>
              <w:t>10 673</w:t>
            </w:r>
          </w:p>
        </w:tc>
        <w:tc>
          <w:tcPr>
            <w:tcW w:w="340" w:type="pct"/>
            <w:noWrap/>
            <w:vAlign w:val="center"/>
            <w:hideMark/>
          </w:tcPr>
          <w:p w:rsidR="00757390" w:rsidRPr="00C454AC" w:rsidRDefault="00757390" w:rsidP="00666D6E">
            <w:pPr>
              <w:spacing w:before="60" w:after="60"/>
              <w:jc w:val="right"/>
              <w:rPr>
                <w:b/>
                <w:bCs/>
              </w:rPr>
            </w:pPr>
            <w:r w:rsidRPr="00C454AC">
              <w:rPr>
                <w:b/>
              </w:rPr>
              <w:t>10 843</w:t>
            </w:r>
          </w:p>
        </w:tc>
        <w:tc>
          <w:tcPr>
            <w:tcW w:w="639" w:type="pct"/>
            <w:tcBorders>
              <w:top w:val="nil"/>
              <w:left w:val="single" w:sz="4" w:space="0" w:color="auto"/>
              <w:bottom w:val="nil"/>
              <w:right w:val="single" w:sz="8" w:space="0" w:color="auto"/>
            </w:tcBorders>
            <w:noWrap/>
            <w:vAlign w:val="center"/>
            <w:hideMark/>
          </w:tcPr>
          <w:p w:rsidR="00757390" w:rsidRPr="00C454AC" w:rsidRDefault="00757390" w:rsidP="00666D6E">
            <w:pPr>
              <w:spacing w:before="60" w:after="60"/>
              <w:jc w:val="right"/>
              <w:rPr>
                <w:b/>
                <w:bCs/>
              </w:rPr>
            </w:pPr>
            <w:r w:rsidRPr="00C454AC">
              <w:rPr>
                <w:b/>
              </w:rPr>
              <w:t>73 102</w:t>
            </w:r>
          </w:p>
        </w:tc>
      </w:tr>
      <w:tr w:rsidR="00757390" w:rsidRPr="00C454AC" w:rsidTr="00666D6E">
        <w:trPr>
          <w:trHeight w:val="315"/>
        </w:trPr>
        <w:tc>
          <w:tcPr>
            <w:tcW w:w="1927" w:type="pct"/>
            <w:tcBorders>
              <w:top w:val="nil"/>
              <w:left w:val="single" w:sz="8" w:space="0" w:color="auto"/>
              <w:bottom w:val="single" w:sz="8" w:space="0" w:color="auto"/>
              <w:right w:val="single" w:sz="4" w:space="0" w:color="auto"/>
            </w:tcBorders>
            <w:noWrap/>
            <w:vAlign w:val="center"/>
            <w:hideMark/>
          </w:tcPr>
          <w:p w:rsidR="00757390" w:rsidRPr="00C454AC" w:rsidRDefault="00757390" w:rsidP="00666D6E">
            <w:pPr>
              <w:spacing w:before="60" w:after="60"/>
              <w:ind w:left="720"/>
            </w:pPr>
            <w:r w:rsidRPr="00C454AC">
              <w:t>din care: Cheltuieli administrative ale instituțiilor</w:t>
            </w:r>
          </w:p>
        </w:tc>
        <w:tc>
          <w:tcPr>
            <w:tcW w:w="347" w:type="pct"/>
            <w:tcBorders>
              <w:top w:val="nil"/>
              <w:left w:val="nil"/>
              <w:bottom w:val="single" w:sz="8" w:space="0" w:color="auto"/>
              <w:right w:val="nil"/>
            </w:tcBorders>
            <w:noWrap/>
            <w:vAlign w:val="center"/>
            <w:hideMark/>
          </w:tcPr>
          <w:p w:rsidR="00757390" w:rsidRPr="00C454AC" w:rsidRDefault="00757390" w:rsidP="00666D6E">
            <w:pPr>
              <w:spacing w:before="60" w:after="60"/>
              <w:jc w:val="right"/>
            </w:pPr>
            <w:r w:rsidRPr="00C454AC">
              <w:t>7 742</w:t>
            </w:r>
          </w:p>
        </w:tc>
        <w:tc>
          <w:tcPr>
            <w:tcW w:w="350" w:type="pct"/>
            <w:tcBorders>
              <w:top w:val="nil"/>
              <w:left w:val="nil"/>
              <w:bottom w:val="single" w:sz="8" w:space="0" w:color="auto"/>
              <w:right w:val="nil"/>
            </w:tcBorders>
            <w:noWrap/>
            <w:vAlign w:val="center"/>
            <w:hideMark/>
          </w:tcPr>
          <w:p w:rsidR="00757390" w:rsidRPr="00C454AC" w:rsidRDefault="00757390" w:rsidP="00666D6E">
            <w:pPr>
              <w:spacing w:before="60" w:after="60"/>
              <w:jc w:val="right"/>
            </w:pPr>
            <w:r w:rsidRPr="00C454AC">
              <w:t>7 878</w:t>
            </w:r>
          </w:p>
        </w:tc>
        <w:tc>
          <w:tcPr>
            <w:tcW w:w="350" w:type="pct"/>
            <w:tcBorders>
              <w:top w:val="nil"/>
              <w:left w:val="nil"/>
              <w:bottom w:val="single" w:sz="8" w:space="0" w:color="auto"/>
              <w:right w:val="nil"/>
            </w:tcBorders>
            <w:noWrap/>
            <w:vAlign w:val="center"/>
            <w:hideMark/>
          </w:tcPr>
          <w:p w:rsidR="00757390" w:rsidRPr="00C454AC" w:rsidRDefault="00757390" w:rsidP="00666D6E">
            <w:pPr>
              <w:spacing w:before="60" w:after="60"/>
              <w:jc w:val="right"/>
            </w:pPr>
            <w:r w:rsidRPr="00C454AC">
              <w:t>7 945</w:t>
            </w:r>
          </w:p>
        </w:tc>
        <w:tc>
          <w:tcPr>
            <w:tcW w:w="350" w:type="pct"/>
            <w:tcBorders>
              <w:top w:val="nil"/>
              <w:left w:val="nil"/>
              <w:bottom w:val="single" w:sz="8" w:space="0" w:color="auto"/>
              <w:right w:val="nil"/>
            </w:tcBorders>
            <w:noWrap/>
            <w:vAlign w:val="center"/>
            <w:hideMark/>
          </w:tcPr>
          <w:p w:rsidR="00757390" w:rsidRPr="00C454AC" w:rsidRDefault="00757390" w:rsidP="00666D6E">
            <w:pPr>
              <w:spacing w:before="60" w:after="60"/>
              <w:jc w:val="right"/>
            </w:pPr>
            <w:r w:rsidRPr="00C454AC">
              <w:t>7 997</w:t>
            </w:r>
          </w:p>
        </w:tc>
        <w:tc>
          <w:tcPr>
            <w:tcW w:w="349" w:type="pct"/>
            <w:tcBorders>
              <w:top w:val="nil"/>
              <w:left w:val="nil"/>
              <w:bottom w:val="single" w:sz="8" w:space="0" w:color="auto"/>
              <w:right w:val="nil"/>
            </w:tcBorders>
            <w:noWrap/>
            <w:vAlign w:val="center"/>
            <w:hideMark/>
          </w:tcPr>
          <w:p w:rsidR="00757390" w:rsidRPr="00C454AC" w:rsidRDefault="00757390" w:rsidP="00666D6E">
            <w:pPr>
              <w:spacing w:before="60" w:after="60"/>
              <w:jc w:val="right"/>
            </w:pPr>
            <w:r w:rsidRPr="00C454AC">
              <w:t>8 025</w:t>
            </w:r>
          </w:p>
        </w:tc>
        <w:tc>
          <w:tcPr>
            <w:tcW w:w="348" w:type="pct"/>
            <w:tcBorders>
              <w:top w:val="nil"/>
              <w:left w:val="nil"/>
              <w:bottom w:val="single" w:sz="8" w:space="0" w:color="auto"/>
              <w:right w:val="nil"/>
            </w:tcBorders>
            <w:noWrap/>
            <w:vAlign w:val="center"/>
            <w:hideMark/>
          </w:tcPr>
          <w:p w:rsidR="00757390" w:rsidRPr="00C454AC" w:rsidRDefault="00757390" w:rsidP="00666D6E">
            <w:pPr>
              <w:spacing w:before="60" w:after="60"/>
              <w:jc w:val="right"/>
            </w:pPr>
            <w:r w:rsidRPr="00C454AC">
              <w:t>8 077</w:t>
            </w:r>
          </w:p>
        </w:tc>
        <w:tc>
          <w:tcPr>
            <w:tcW w:w="340" w:type="pct"/>
            <w:tcBorders>
              <w:top w:val="nil"/>
              <w:left w:val="nil"/>
              <w:bottom w:val="single" w:sz="8" w:space="0" w:color="auto"/>
              <w:right w:val="nil"/>
            </w:tcBorders>
            <w:noWrap/>
            <w:vAlign w:val="center"/>
            <w:hideMark/>
          </w:tcPr>
          <w:p w:rsidR="00757390" w:rsidRPr="00C454AC" w:rsidRDefault="00757390" w:rsidP="00666D6E">
            <w:pPr>
              <w:spacing w:before="60" w:after="60"/>
              <w:jc w:val="right"/>
            </w:pPr>
            <w:r w:rsidRPr="00C454AC">
              <w:t>8 188</w:t>
            </w:r>
          </w:p>
        </w:tc>
        <w:tc>
          <w:tcPr>
            <w:tcW w:w="639" w:type="pct"/>
            <w:tcBorders>
              <w:top w:val="nil"/>
              <w:left w:val="single" w:sz="4" w:space="0" w:color="auto"/>
              <w:bottom w:val="single" w:sz="8" w:space="0" w:color="auto"/>
              <w:right w:val="single" w:sz="8" w:space="0" w:color="auto"/>
            </w:tcBorders>
            <w:noWrap/>
            <w:vAlign w:val="center"/>
            <w:hideMark/>
          </w:tcPr>
          <w:p w:rsidR="00757390" w:rsidRPr="00C454AC" w:rsidRDefault="00757390" w:rsidP="00666D6E">
            <w:pPr>
              <w:spacing w:before="60" w:after="60"/>
              <w:jc w:val="right"/>
            </w:pPr>
            <w:r w:rsidRPr="00C454AC">
              <w:t>55 852</w:t>
            </w:r>
          </w:p>
        </w:tc>
      </w:tr>
      <w:tr w:rsidR="00757390" w:rsidRPr="00C454AC" w:rsidTr="00666D6E">
        <w:trPr>
          <w:trHeight w:val="315"/>
        </w:trPr>
        <w:tc>
          <w:tcPr>
            <w:tcW w:w="1927" w:type="pct"/>
            <w:tcBorders>
              <w:top w:val="nil"/>
              <w:left w:val="single" w:sz="8" w:space="0" w:color="auto"/>
              <w:bottom w:val="single" w:sz="8" w:space="0" w:color="auto"/>
              <w:right w:val="nil"/>
            </w:tcBorders>
            <w:noWrap/>
            <w:vAlign w:val="center"/>
            <w:hideMark/>
          </w:tcPr>
          <w:p w:rsidR="00757390" w:rsidRPr="00C454AC" w:rsidRDefault="00757390" w:rsidP="00666D6E">
            <w:pPr>
              <w:spacing w:before="60" w:after="60"/>
              <w:jc w:val="right"/>
              <w:rPr>
                <w:b/>
                <w:bCs/>
              </w:rPr>
            </w:pPr>
            <w:r w:rsidRPr="00C454AC">
              <w:rPr>
                <w:b/>
              </w:rPr>
              <w:t>TOTAL CREDITE DE ANGAJAMENT</w:t>
            </w:r>
          </w:p>
        </w:tc>
        <w:tc>
          <w:tcPr>
            <w:tcW w:w="347" w:type="pct"/>
            <w:tcBorders>
              <w:top w:val="nil"/>
              <w:left w:val="single" w:sz="4" w:space="0" w:color="auto"/>
              <w:bottom w:val="single" w:sz="8" w:space="0" w:color="auto"/>
              <w:right w:val="nil"/>
            </w:tcBorders>
            <w:noWrap/>
            <w:vAlign w:val="center"/>
            <w:hideMark/>
          </w:tcPr>
          <w:p w:rsidR="00757390" w:rsidRPr="00C454AC" w:rsidRDefault="00757390" w:rsidP="00666D6E">
            <w:pPr>
              <w:spacing w:before="60" w:after="60"/>
              <w:jc w:val="right"/>
              <w:rPr>
                <w:b/>
                <w:bCs/>
              </w:rPr>
            </w:pPr>
            <w:r w:rsidRPr="00C454AC">
              <w:rPr>
                <w:b/>
              </w:rPr>
              <w:t>107 885</w:t>
            </w:r>
          </w:p>
        </w:tc>
        <w:tc>
          <w:tcPr>
            <w:tcW w:w="350" w:type="pct"/>
            <w:tcBorders>
              <w:top w:val="nil"/>
              <w:left w:val="nil"/>
              <w:bottom w:val="single" w:sz="8" w:space="0" w:color="auto"/>
              <w:right w:val="nil"/>
            </w:tcBorders>
            <w:noWrap/>
            <w:vAlign w:val="center"/>
            <w:hideMark/>
          </w:tcPr>
          <w:p w:rsidR="00757390" w:rsidRPr="00C454AC" w:rsidRDefault="00757390" w:rsidP="00666D6E">
            <w:pPr>
              <w:spacing w:before="60" w:after="60"/>
              <w:jc w:val="right"/>
              <w:rPr>
                <w:b/>
                <w:bCs/>
              </w:rPr>
            </w:pPr>
            <w:r w:rsidRPr="00C454AC">
              <w:rPr>
                <w:b/>
              </w:rPr>
              <w:t>166 070</w:t>
            </w:r>
          </w:p>
        </w:tc>
        <w:tc>
          <w:tcPr>
            <w:tcW w:w="350" w:type="pct"/>
            <w:tcBorders>
              <w:top w:val="nil"/>
              <w:left w:val="nil"/>
              <w:bottom w:val="single" w:sz="8" w:space="0" w:color="auto"/>
              <w:right w:val="nil"/>
            </w:tcBorders>
            <w:noWrap/>
            <w:vAlign w:val="center"/>
            <w:hideMark/>
          </w:tcPr>
          <w:p w:rsidR="00757390" w:rsidRPr="00C454AC" w:rsidRDefault="00757390" w:rsidP="00666D6E">
            <w:pPr>
              <w:spacing w:before="60" w:after="60"/>
              <w:jc w:val="right"/>
              <w:rPr>
                <w:b/>
                <w:bCs/>
              </w:rPr>
            </w:pPr>
            <w:r w:rsidRPr="00C454AC">
              <w:rPr>
                <w:b/>
              </w:rPr>
              <w:t>165 443</w:t>
            </w:r>
          </w:p>
        </w:tc>
        <w:tc>
          <w:tcPr>
            <w:tcW w:w="350" w:type="pct"/>
            <w:tcBorders>
              <w:top w:val="nil"/>
              <w:left w:val="nil"/>
              <w:bottom w:val="single" w:sz="8" w:space="0" w:color="auto"/>
              <w:right w:val="nil"/>
            </w:tcBorders>
            <w:noWrap/>
            <w:vAlign w:val="center"/>
            <w:hideMark/>
          </w:tcPr>
          <w:p w:rsidR="00757390" w:rsidRPr="00C454AC" w:rsidRDefault="00757390" w:rsidP="00666D6E">
            <w:pPr>
              <w:spacing w:before="60" w:after="60"/>
              <w:jc w:val="right"/>
              <w:rPr>
                <w:b/>
                <w:bCs/>
              </w:rPr>
            </w:pPr>
            <w:r w:rsidRPr="00C454AC">
              <w:rPr>
                <w:b/>
              </w:rPr>
              <w:t>165 905</w:t>
            </w:r>
          </w:p>
        </w:tc>
        <w:tc>
          <w:tcPr>
            <w:tcW w:w="349" w:type="pct"/>
            <w:tcBorders>
              <w:top w:val="nil"/>
              <w:left w:val="nil"/>
              <w:bottom w:val="single" w:sz="8" w:space="0" w:color="auto"/>
              <w:right w:val="nil"/>
            </w:tcBorders>
            <w:noWrap/>
            <w:vAlign w:val="center"/>
            <w:hideMark/>
          </w:tcPr>
          <w:p w:rsidR="00757390" w:rsidRPr="00C454AC" w:rsidRDefault="00757390" w:rsidP="00666D6E">
            <w:pPr>
              <w:spacing w:before="60" w:after="60"/>
              <w:jc w:val="right"/>
              <w:rPr>
                <w:b/>
                <w:bCs/>
              </w:rPr>
            </w:pPr>
            <w:r w:rsidRPr="00C454AC">
              <w:rPr>
                <w:b/>
              </w:rPr>
              <w:t>164 377</w:t>
            </w:r>
          </w:p>
        </w:tc>
        <w:tc>
          <w:tcPr>
            <w:tcW w:w="348" w:type="pct"/>
            <w:tcBorders>
              <w:top w:val="nil"/>
              <w:left w:val="nil"/>
              <w:bottom w:val="single" w:sz="8" w:space="0" w:color="auto"/>
              <w:right w:val="nil"/>
            </w:tcBorders>
            <w:noWrap/>
            <w:vAlign w:val="center"/>
            <w:hideMark/>
          </w:tcPr>
          <w:p w:rsidR="00757390" w:rsidRPr="00C454AC" w:rsidRDefault="00757390" w:rsidP="00666D6E">
            <w:pPr>
              <w:spacing w:before="60" w:after="60"/>
              <w:jc w:val="right"/>
              <w:rPr>
                <w:b/>
                <w:bCs/>
              </w:rPr>
            </w:pPr>
            <w:r w:rsidRPr="00C454AC">
              <w:rPr>
                <w:b/>
              </w:rPr>
              <w:t>154 071</w:t>
            </w:r>
          </w:p>
        </w:tc>
        <w:tc>
          <w:tcPr>
            <w:tcW w:w="340" w:type="pct"/>
            <w:tcBorders>
              <w:top w:val="nil"/>
              <w:left w:val="nil"/>
              <w:bottom w:val="single" w:sz="8" w:space="0" w:color="auto"/>
              <w:right w:val="nil"/>
            </w:tcBorders>
            <w:noWrap/>
            <w:vAlign w:val="center"/>
            <w:hideMark/>
          </w:tcPr>
          <w:p w:rsidR="00757390" w:rsidRPr="00C454AC" w:rsidRDefault="00757390" w:rsidP="00666D6E">
            <w:pPr>
              <w:spacing w:before="60" w:after="60"/>
              <w:jc w:val="right"/>
              <w:rPr>
                <w:b/>
                <w:bCs/>
              </w:rPr>
            </w:pPr>
            <w:r w:rsidRPr="00C454AC">
              <w:rPr>
                <w:b/>
              </w:rPr>
              <w:t>155 772</w:t>
            </w:r>
          </w:p>
        </w:tc>
        <w:tc>
          <w:tcPr>
            <w:tcW w:w="639" w:type="pct"/>
            <w:tcBorders>
              <w:top w:val="nil"/>
              <w:left w:val="single" w:sz="4" w:space="0" w:color="auto"/>
              <w:bottom w:val="single" w:sz="8" w:space="0" w:color="auto"/>
              <w:right w:val="single" w:sz="8" w:space="0" w:color="auto"/>
            </w:tcBorders>
            <w:noWrap/>
            <w:vAlign w:val="center"/>
            <w:hideMark/>
          </w:tcPr>
          <w:p w:rsidR="00757390" w:rsidRPr="00C454AC" w:rsidRDefault="00757390" w:rsidP="00666D6E">
            <w:pPr>
              <w:spacing w:before="60" w:after="60"/>
              <w:jc w:val="right"/>
              <w:rPr>
                <w:b/>
                <w:bCs/>
              </w:rPr>
            </w:pPr>
            <w:r w:rsidRPr="00C454AC">
              <w:rPr>
                <w:b/>
              </w:rPr>
              <w:t>1 079 523</w:t>
            </w:r>
          </w:p>
        </w:tc>
      </w:tr>
      <w:tr w:rsidR="00757390" w:rsidRPr="00C454AC" w:rsidTr="00666D6E">
        <w:trPr>
          <w:trHeight w:val="315"/>
        </w:trPr>
        <w:tc>
          <w:tcPr>
            <w:tcW w:w="1927" w:type="pct"/>
            <w:tcBorders>
              <w:top w:val="single" w:sz="8" w:space="0" w:color="auto"/>
              <w:left w:val="nil"/>
              <w:bottom w:val="single" w:sz="8" w:space="0" w:color="auto"/>
              <w:right w:val="nil"/>
            </w:tcBorders>
            <w:noWrap/>
            <w:vAlign w:val="center"/>
          </w:tcPr>
          <w:p w:rsidR="00757390" w:rsidRPr="00C454AC" w:rsidRDefault="00757390" w:rsidP="00666D6E">
            <w:pPr>
              <w:spacing w:before="60" w:after="60"/>
            </w:pPr>
          </w:p>
        </w:tc>
        <w:tc>
          <w:tcPr>
            <w:tcW w:w="347" w:type="pct"/>
            <w:tcBorders>
              <w:top w:val="single" w:sz="8" w:space="0" w:color="auto"/>
              <w:left w:val="nil"/>
              <w:bottom w:val="single" w:sz="8" w:space="0" w:color="auto"/>
              <w:right w:val="nil"/>
            </w:tcBorders>
            <w:noWrap/>
            <w:vAlign w:val="center"/>
          </w:tcPr>
          <w:p w:rsidR="00757390" w:rsidRPr="00C454AC" w:rsidRDefault="00757390" w:rsidP="00666D6E">
            <w:pPr>
              <w:spacing w:before="60" w:after="60"/>
              <w:jc w:val="right"/>
            </w:pPr>
          </w:p>
        </w:tc>
        <w:tc>
          <w:tcPr>
            <w:tcW w:w="350" w:type="pct"/>
            <w:tcBorders>
              <w:top w:val="single" w:sz="8" w:space="0" w:color="auto"/>
              <w:left w:val="nil"/>
              <w:bottom w:val="single" w:sz="8" w:space="0" w:color="auto"/>
              <w:right w:val="nil"/>
            </w:tcBorders>
            <w:noWrap/>
            <w:vAlign w:val="center"/>
          </w:tcPr>
          <w:p w:rsidR="00757390" w:rsidRPr="00C454AC" w:rsidRDefault="00757390" w:rsidP="00666D6E">
            <w:pPr>
              <w:spacing w:before="60" w:after="60"/>
              <w:jc w:val="right"/>
            </w:pPr>
          </w:p>
        </w:tc>
        <w:tc>
          <w:tcPr>
            <w:tcW w:w="350" w:type="pct"/>
            <w:tcBorders>
              <w:top w:val="single" w:sz="8" w:space="0" w:color="auto"/>
              <w:left w:val="nil"/>
              <w:bottom w:val="single" w:sz="8" w:space="0" w:color="auto"/>
              <w:right w:val="nil"/>
            </w:tcBorders>
            <w:noWrap/>
            <w:vAlign w:val="center"/>
          </w:tcPr>
          <w:p w:rsidR="00757390" w:rsidRPr="00C454AC" w:rsidRDefault="00757390" w:rsidP="00666D6E">
            <w:pPr>
              <w:spacing w:before="60" w:after="60"/>
              <w:jc w:val="right"/>
            </w:pPr>
          </w:p>
        </w:tc>
        <w:tc>
          <w:tcPr>
            <w:tcW w:w="350" w:type="pct"/>
            <w:tcBorders>
              <w:top w:val="single" w:sz="8" w:space="0" w:color="auto"/>
              <w:left w:val="nil"/>
              <w:bottom w:val="single" w:sz="8" w:space="0" w:color="auto"/>
              <w:right w:val="nil"/>
            </w:tcBorders>
            <w:noWrap/>
            <w:vAlign w:val="center"/>
          </w:tcPr>
          <w:p w:rsidR="00757390" w:rsidRPr="00C454AC" w:rsidRDefault="00757390" w:rsidP="00666D6E">
            <w:pPr>
              <w:spacing w:before="60" w:after="60"/>
              <w:jc w:val="right"/>
            </w:pPr>
          </w:p>
        </w:tc>
        <w:tc>
          <w:tcPr>
            <w:tcW w:w="349" w:type="pct"/>
            <w:tcBorders>
              <w:top w:val="single" w:sz="8" w:space="0" w:color="auto"/>
              <w:left w:val="nil"/>
              <w:bottom w:val="single" w:sz="8" w:space="0" w:color="auto"/>
              <w:right w:val="nil"/>
            </w:tcBorders>
            <w:noWrap/>
            <w:vAlign w:val="center"/>
          </w:tcPr>
          <w:p w:rsidR="00757390" w:rsidRPr="00C454AC" w:rsidRDefault="00757390" w:rsidP="00666D6E">
            <w:pPr>
              <w:spacing w:before="60" w:after="60"/>
              <w:jc w:val="right"/>
            </w:pPr>
          </w:p>
        </w:tc>
        <w:tc>
          <w:tcPr>
            <w:tcW w:w="348" w:type="pct"/>
            <w:tcBorders>
              <w:top w:val="single" w:sz="8" w:space="0" w:color="auto"/>
              <w:left w:val="nil"/>
              <w:bottom w:val="single" w:sz="8" w:space="0" w:color="auto"/>
              <w:right w:val="nil"/>
            </w:tcBorders>
            <w:noWrap/>
            <w:vAlign w:val="center"/>
          </w:tcPr>
          <w:p w:rsidR="00757390" w:rsidRPr="00C454AC" w:rsidRDefault="00757390" w:rsidP="00666D6E">
            <w:pPr>
              <w:spacing w:before="60" w:after="60"/>
              <w:jc w:val="right"/>
            </w:pPr>
          </w:p>
        </w:tc>
        <w:tc>
          <w:tcPr>
            <w:tcW w:w="340" w:type="pct"/>
            <w:tcBorders>
              <w:top w:val="single" w:sz="8" w:space="0" w:color="auto"/>
              <w:left w:val="nil"/>
              <w:bottom w:val="single" w:sz="8" w:space="0" w:color="auto"/>
              <w:right w:val="nil"/>
            </w:tcBorders>
            <w:noWrap/>
            <w:vAlign w:val="center"/>
          </w:tcPr>
          <w:p w:rsidR="00757390" w:rsidRPr="00C454AC" w:rsidRDefault="00757390" w:rsidP="00666D6E">
            <w:pPr>
              <w:spacing w:before="60" w:after="60"/>
              <w:jc w:val="right"/>
            </w:pPr>
          </w:p>
        </w:tc>
        <w:tc>
          <w:tcPr>
            <w:tcW w:w="639" w:type="pct"/>
            <w:tcBorders>
              <w:top w:val="single" w:sz="8" w:space="0" w:color="auto"/>
              <w:left w:val="nil"/>
              <w:bottom w:val="single" w:sz="8" w:space="0" w:color="auto"/>
              <w:right w:val="nil"/>
            </w:tcBorders>
            <w:noWrap/>
            <w:vAlign w:val="center"/>
          </w:tcPr>
          <w:p w:rsidR="00757390" w:rsidRPr="00C454AC" w:rsidRDefault="00757390" w:rsidP="00666D6E">
            <w:pPr>
              <w:spacing w:before="60" w:after="60"/>
              <w:jc w:val="right"/>
            </w:pPr>
          </w:p>
        </w:tc>
      </w:tr>
      <w:tr w:rsidR="00757390" w:rsidRPr="00C454AC" w:rsidTr="00666D6E">
        <w:trPr>
          <w:trHeight w:val="315"/>
        </w:trPr>
        <w:tc>
          <w:tcPr>
            <w:tcW w:w="1927" w:type="pct"/>
            <w:tcBorders>
              <w:top w:val="single" w:sz="8" w:space="0" w:color="auto"/>
              <w:left w:val="single" w:sz="8" w:space="0" w:color="auto"/>
              <w:bottom w:val="single" w:sz="8" w:space="0" w:color="auto"/>
              <w:right w:val="nil"/>
            </w:tcBorders>
            <w:noWrap/>
            <w:vAlign w:val="center"/>
            <w:hideMark/>
          </w:tcPr>
          <w:p w:rsidR="00757390" w:rsidRPr="00C454AC" w:rsidRDefault="00757390" w:rsidP="00666D6E">
            <w:pPr>
              <w:spacing w:before="60" w:after="60"/>
              <w:jc w:val="right"/>
              <w:rPr>
                <w:b/>
                <w:bCs/>
              </w:rPr>
            </w:pPr>
            <w:r w:rsidRPr="00C454AC">
              <w:rPr>
                <w:b/>
              </w:rPr>
              <w:t>TOTAL CREDITE DE PLATĂ</w:t>
            </w:r>
          </w:p>
        </w:tc>
        <w:tc>
          <w:tcPr>
            <w:tcW w:w="347" w:type="pct"/>
            <w:tcBorders>
              <w:top w:val="single" w:sz="8" w:space="0" w:color="auto"/>
              <w:left w:val="single" w:sz="4" w:space="0" w:color="auto"/>
              <w:bottom w:val="single" w:sz="8" w:space="0" w:color="auto"/>
              <w:right w:val="nil"/>
            </w:tcBorders>
            <w:noWrap/>
            <w:vAlign w:val="center"/>
            <w:hideMark/>
          </w:tcPr>
          <w:p w:rsidR="00757390" w:rsidRPr="00C454AC" w:rsidRDefault="00757390" w:rsidP="00666D6E">
            <w:pPr>
              <w:spacing w:before="60" w:after="60"/>
              <w:jc w:val="right"/>
              <w:rPr>
                <w:b/>
                <w:bCs/>
              </w:rPr>
            </w:pPr>
            <w:r w:rsidRPr="00C454AC">
              <w:rPr>
                <w:b/>
              </w:rPr>
              <w:t>154 065</w:t>
            </w:r>
          </w:p>
        </w:tc>
        <w:tc>
          <w:tcPr>
            <w:tcW w:w="350" w:type="pct"/>
            <w:tcBorders>
              <w:top w:val="single" w:sz="8" w:space="0" w:color="auto"/>
              <w:left w:val="nil"/>
              <w:bottom w:val="single" w:sz="8" w:space="0" w:color="auto"/>
              <w:right w:val="nil"/>
            </w:tcBorders>
            <w:noWrap/>
            <w:vAlign w:val="center"/>
            <w:hideMark/>
          </w:tcPr>
          <w:p w:rsidR="00757390" w:rsidRPr="00C454AC" w:rsidRDefault="00757390" w:rsidP="00666D6E">
            <w:pPr>
              <w:spacing w:before="60" w:after="60"/>
              <w:jc w:val="right"/>
              <w:rPr>
                <w:b/>
                <w:bCs/>
              </w:rPr>
            </w:pPr>
            <w:r w:rsidRPr="00C454AC">
              <w:rPr>
                <w:b/>
              </w:rPr>
              <w:t>153 850</w:t>
            </w:r>
          </w:p>
        </w:tc>
        <w:tc>
          <w:tcPr>
            <w:tcW w:w="350" w:type="pct"/>
            <w:tcBorders>
              <w:top w:val="single" w:sz="8" w:space="0" w:color="auto"/>
              <w:left w:val="nil"/>
              <w:bottom w:val="single" w:sz="8" w:space="0" w:color="auto"/>
              <w:right w:val="nil"/>
            </w:tcBorders>
            <w:noWrap/>
            <w:vAlign w:val="center"/>
            <w:hideMark/>
          </w:tcPr>
          <w:p w:rsidR="00757390" w:rsidRPr="00C454AC" w:rsidRDefault="00757390" w:rsidP="00666D6E">
            <w:pPr>
              <w:spacing w:before="60" w:after="60"/>
              <w:jc w:val="right"/>
              <w:rPr>
                <w:b/>
                <w:bCs/>
              </w:rPr>
            </w:pPr>
            <w:r w:rsidRPr="00C454AC">
              <w:rPr>
                <w:b/>
              </w:rPr>
              <w:t>152 682</w:t>
            </w:r>
          </w:p>
        </w:tc>
        <w:tc>
          <w:tcPr>
            <w:tcW w:w="350" w:type="pct"/>
            <w:tcBorders>
              <w:top w:val="single" w:sz="8" w:space="0" w:color="auto"/>
              <w:left w:val="nil"/>
              <w:bottom w:val="single" w:sz="8" w:space="0" w:color="auto"/>
              <w:right w:val="nil"/>
            </w:tcBorders>
            <w:noWrap/>
            <w:vAlign w:val="center"/>
            <w:hideMark/>
          </w:tcPr>
          <w:p w:rsidR="00757390" w:rsidRPr="00C454AC" w:rsidRDefault="00757390" w:rsidP="00666D6E">
            <w:pPr>
              <w:spacing w:before="60" w:after="60"/>
              <w:jc w:val="right"/>
              <w:rPr>
                <w:b/>
                <w:bCs/>
              </w:rPr>
            </w:pPr>
            <w:r w:rsidRPr="00C454AC">
              <w:rPr>
                <w:b/>
              </w:rPr>
              <w:t>151 436</w:t>
            </w:r>
          </w:p>
        </w:tc>
        <w:tc>
          <w:tcPr>
            <w:tcW w:w="349" w:type="pct"/>
            <w:tcBorders>
              <w:top w:val="single" w:sz="8" w:space="0" w:color="auto"/>
              <w:left w:val="nil"/>
              <w:bottom w:val="single" w:sz="8" w:space="0" w:color="auto"/>
              <w:right w:val="nil"/>
            </w:tcBorders>
            <w:noWrap/>
            <w:vAlign w:val="center"/>
            <w:hideMark/>
          </w:tcPr>
          <w:p w:rsidR="00757390" w:rsidRPr="00C454AC" w:rsidRDefault="00757390" w:rsidP="00666D6E">
            <w:pPr>
              <w:spacing w:before="60" w:after="60"/>
              <w:jc w:val="right"/>
              <w:rPr>
                <w:b/>
                <w:bCs/>
              </w:rPr>
            </w:pPr>
            <w:r w:rsidRPr="00C454AC">
              <w:rPr>
                <w:b/>
              </w:rPr>
              <w:t>151 175</w:t>
            </w:r>
          </w:p>
        </w:tc>
        <w:tc>
          <w:tcPr>
            <w:tcW w:w="348" w:type="pct"/>
            <w:tcBorders>
              <w:top w:val="single" w:sz="8" w:space="0" w:color="auto"/>
              <w:left w:val="nil"/>
              <w:bottom w:val="single" w:sz="8" w:space="0" w:color="auto"/>
              <w:right w:val="nil"/>
            </w:tcBorders>
            <w:noWrap/>
            <w:vAlign w:val="center"/>
            <w:hideMark/>
          </w:tcPr>
          <w:p w:rsidR="00757390" w:rsidRPr="00C454AC" w:rsidRDefault="00757390" w:rsidP="00666D6E">
            <w:pPr>
              <w:spacing w:before="60" w:after="60"/>
              <w:jc w:val="right"/>
              <w:rPr>
                <w:b/>
                <w:bCs/>
              </w:rPr>
            </w:pPr>
            <w:r w:rsidRPr="00C454AC">
              <w:rPr>
                <w:b/>
              </w:rPr>
              <w:t>151 175</w:t>
            </w:r>
          </w:p>
        </w:tc>
        <w:tc>
          <w:tcPr>
            <w:tcW w:w="340" w:type="pct"/>
            <w:tcBorders>
              <w:top w:val="single" w:sz="8" w:space="0" w:color="auto"/>
              <w:left w:val="nil"/>
              <w:bottom w:val="single" w:sz="8" w:space="0" w:color="auto"/>
              <w:right w:val="nil"/>
            </w:tcBorders>
            <w:noWrap/>
            <w:vAlign w:val="center"/>
            <w:hideMark/>
          </w:tcPr>
          <w:p w:rsidR="00757390" w:rsidRPr="00C454AC" w:rsidRDefault="00757390" w:rsidP="00666D6E">
            <w:pPr>
              <w:spacing w:before="60" w:after="60"/>
              <w:jc w:val="right"/>
              <w:rPr>
                <w:b/>
                <w:bCs/>
              </w:rPr>
            </w:pPr>
            <w:r w:rsidRPr="00C454AC">
              <w:rPr>
                <w:b/>
              </w:rPr>
              <w:t>151 175</w:t>
            </w:r>
          </w:p>
        </w:tc>
        <w:tc>
          <w:tcPr>
            <w:tcW w:w="639" w:type="pct"/>
            <w:tcBorders>
              <w:top w:val="single" w:sz="8" w:space="0" w:color="auto"/>
              <w:left w:val="single" w:sz="4" w:space="0" w:color="auto"/>
              <w:bottom w:val="single" w:sz="8" w:space="0" w:color="auto"/>
              <w:right w:val="single" w:sz="8" w:space="0" w:color="auto"/>
            </w:tcBorders>
            <w:noWrap/>
            <w:vAlign w:val="center"/>
            <w:hideMark/>
          </w:tcPr>
          <w:p w:rsidR="00757390" w:rsidRPr="00C454AC" w:rsidRDefault="00757390" w:rsidP="00666D6E">
            <w:pPr>
              <w:spacing w:before="60" w:after="60"/>
              <w:jc w:val="right"/>
              <w:rPr>
                <w:b/>
                <w:bCs/>
              </w:rPr>
            </w:pPr>
            <w:r w:rsidRPr="00C454AC">
              <w:rPr>
                <w:b/>
              </w:rPr>
              <w:t>1 065 558</w:t>
            </w:r>
          </w:p>
        </w:tc>
      </w:tr>
    </w:tbl>
    <w:p w:rsidR="00757390" w:rsidRPr="00C454AC" w:rsidRDefault="00757390" w:rsidP="00757390">
      <w:pPr>
        <w:pStyle w:val="NormalRight"/>
      </w:pPr>
    </w:p>
    <w:p w:rsidR="00757390" w:rsidRPr="00C454AC" w:rsidRDefault="00757390" w:rsidP="00757390">
      <w:pPr>
        <w:pStyle w:val="NormalCentered"/>
      </w:pPr>
      <w:r w:rsidRPr="00C454AC">
        <w:br w:type="page"/>
      </w:r>
      <w:r w:rsidRPr="00C454AC">
        <w:lastRenderedPageBreak/>
        <w:t>ANEXA II</w:t>
      </w:r>
      <w:r w:rsidRPr="00C454AC">
        <w:br/>
        <w:t>AJUSTAREA SPECIFICĂ FIECĂRUI PROGRAM – LISTA PROGRAMELOR, CHEIA DE REPARTIZARE ȘI TOTALUL ALOCĂRII SUPLIMENTARE DE CREDITE DE ANGAJAMENT</w:t>
      </w:r>
    </w:p>
    <w:tbl>
      <w:tblPr>
        <w:tblW w:w="5000" w:type="pct"/>
        <w:tblLook w:val="04A0" w:firstRow="1" w:lastRow="0" w:firstColumn="1" w:lastColumn="0" w:noHBand="0" w:noVBand="1"/>
      </w:tblPr>
      <w:tblGrid>
        <w:gridCol w:w="5298"/>
        <w:gridCol w:w="2286"/>
        <w:gridCol w:w="2424"/>
        <w:gridCol w:w="4278"/>
      </w:tblGrid>
      <w:tr w:rsidR="00757390" w:rsidRPr="00C454AC" w:rsidTr="00666D6E">
        <w:trPr>
          <w:trHeight w:val="20"/>
        </w:trPr>
        <w:tc>
          <w:tcPr>
            <w:tcW w:w="1810" w:type="pct"/>
            <w:tcBorders>
              <w:top w:val="nil"/>
              <w:left w:val="nil"/>
              <w:bottom w:val="single" w:sz="8" w:space="0" w:color="auto"/>
              <w:right w:val="nil"/>
            </w:tcBorders>
            <w:noWrap/>
            <w:hideMark/>
          </w:tcPr>
          <w:p w:rsidR="00757390" w:rsidRPr="00C454AC" w:rsidRDefault="00757390" w:rsidP="00666D6E"/>
        </w:tc>
        <w:tc>
          <w:tcPr>
            <w:tcW w:w="815" w:type="pct"/>
            <w:tcBorders>
              <w:top w:val="nil"/>
              <w:left w:val="nil"/>
              <w:bottom w:val="single" w:sz="8" w:space="0" w:color="auto"/>
              <w:right w:val="nil"/>
            </w:tcBorders>
            <w:noWrap/>
            <w:hideMark/>
          </w:tcPr>
          <w:p w:rsidR="00757390" w:rsidRPr="00C454AC" w:rsidRDefault="00757390" w:rsidP="00666D6E">
            <w:pPr>
              <w:spacing w:after="160" w:line="256" w:lineRule="auto"/>
              <w:rPr>
                <w:rFonts w:asciiTheme="minorHAnsi" w:hAnsiTheme="minorHAnsi" w:cstheme="minorBidi"/>
                <w:sz w:val="20"/>
              </w:rPr>
            </w:pPr>
          </w:p>
        </w:tc>
        <w:tc>
          <w:tcPr>
            <w:tcW w:w="863" w:type="pct"/>
            <w:tcBorders>
              <w:top w:val="nil"/>
              <w:left w:val="nil"/>
              <w:bottom w:val="single" w:sz="8" w:space="0" w:color="auto"/>
              <w:right w:val="nil"/>
            </w:tcBorders>
          </w:tcPr>
          <w:p w:rsidR="00757390" w:rsidRPr="00C454AC" w:rsidRDefault="00757390" w:rsidP="00666D6E">
            <w:pPr>
              <w:spacing w:before="60" w:after="60"/>
              <w:jc w:val="right"/>
              <w:rPr>
                <w:szCs w:val="22"/>
                <w:lang w:eastAsia="en-US"/>
              </w:rPr>
            </w:pPr>
          </w:p>
        </w:tc>
        <w:tc>
          <w:tcPr>
            <w:tcW w:w="1512" w:type="pct"/>
            <w:tcBorders>
              <w:top w:val="nil"/>
              <w:left w:val="nil"/>
              <w:bottom w:val="single" w:sz="8" w:space="0" w:color="auto"/>
              <w:right w:val="nil"/>
            </w:tcBorders>
            <w:noWrap/>
            <w:hideMark/>
          </w:tcPr>
          <w:p w:rsidR="00757390" w:rsidRPr="00C454AC" w:rsidRDefault="00757390" w:rsidP="00666D6E">
            <w:pPr>
              <w:spacing w:before="60" w:after="60"/>
              <w:jc w:val="right"/>
            </w:pPr>
            <w:r w:rsidRPr="00C454AC">
              <w:rPr>
                <w:i/>
                <w:iCs/>
              </w:rPr>
              <w:t>(milioane EUR – prețuri din 2018)</w:t>
            </w:r>
          </w:p>
        </w:tc>
      </w:tr>
      <w:tr w:rsidR="00757390" w:rsidRPr="00C454AC" w:rsidTr="00666D6E">
        <w:trPr>
          <w:trHeight w:val="20"/>
        </w:trPr>
        <w:tc>
          <w:tcPr>
            <w:tcW w:w="1810" w:type="pct"/>
            <w:tcBorders>
              <w:top w:val="single" w:sz="8" w:space="0" w:color="auto"/>
              <w:left w:val="nil"/>
              <w:bottom w:val="single" w:sz="8" w:space="0" w:color="auto"/>
              <w:right w:val="nil"/>
            </w:tcBorders>
            <w:noWrap/>
            <w:hideMark/>
          </w:tcPr>
          <w:p w:rsidR="00757390" w:rsidRPr="00C454AC" w:rsidRDefault="00757390" w:rsidP="00666D6E"/>
        </w:tc>
        <w:tc>
          <w:tcPr>
            <w:tcW w:w="1678" w:type="pct"/>
            <w:gridSpan w:val="2"/>
            <w:tcBorders>
              <w:top w:val="single" w:sz="4" w:space="0" w:color="auto"/>
              <w:left w:val="nil"/>
              <w:bottom w:val="single" w:sz="8" w:space="0" w:color="auto"/>
              <w:right w:val="nil"/>
            </w:tcBorders>
            <w:noWrap/>
            <w:hideMark/>
          </w:tcPr>
          <w:p w:rsidR="00757390" w:rsidRPr="00C454AC" w:rsidRDefault="00757390" w:rsidP="00666D6E">
            <w:pPr>
              <w:spacing w:before="60" w:after="60"/>
              <w:jc w:val="center"/>
              <w:rPr>
                <w:szCs w:val="22"/>
              </w:rPr>
            </w:pPr>
            <w:r w:rsidRPr="00C454AC">
              <w:t>Cheia de repartizare</w:t>
            </w:r>
          </w:p>
        </w:tc>
        <w:tc>
          <w:tcPr>
            <w:tcW w:w="1512" w:type="pct"/>
            <w:tcBorders>
              <w:top w:val="single" w:sz="8" w:space="0" w:color="auto"/>
              <w:left w:val="nil"/>
              <w:bottom w:val="single" w:sz="8" w:space="0" w:color="auto"/>
              <w:right w:val="nil"/>
            </w:tcBorders>
            <w:hideMark/>
          </w:tcPr>
          <w:p w:rsidR="00757390" w:rsidRPr="00C454AC" w:rsidRDefault="00757390" w:rsidP="00666D6E">
            <w:pPr>
              <w:spacing w:before="60" w:after="60"/>
              <w:jc w:val="center"/>
            </w:pPr>
            <w:r w:rsidRPr="00C454AC">
              <w:t>Totalul alocării suplimentare de credite de angajament în temeiul articolului 5</w:t>
            </w:r>
          </w:p>
        </w:tc>
      </w:tr>
      <w:tr w:rsidR="00757390" w:rsidRPr="00C454AC" w:rsidTr="00666D6E">
        <w:trPr>
          <w:trHeight w:val="20"/>
        </w:trPr>
        <w:tc>
          <w:tcPr>
            <w:tcW w:w="1810" w:type="pct"/>
            <w:tcBorders>
              <w:top w:val="single" w:sz="8" w:space="0" w:color="auto"/>
              <w:left w:val="nil"/>
              <w:bottom w:val="nil"/>
              <w:right w:val="nil"/>
            </w:tcBorders>
            <w:noWrap/>
          </w:tcPr>
          <w:p w:rsidR="00757390" w:rsidRPr="00C454AC" w:rsidRDefault="00757390" w:rsidP="00666D6E">
            <w:pPr>
              <w:spacing w:before="60" w:after="60"/>
              <w:jc w:val="center"/>
            </w:pPr>
          </w:p>
        </w:tc>
        <w:tc>
          <w:tcPr>
            <w:tcW w:w="815" w:type="pct"/>
            <w:tcBorders>
              <w:top w:val="single" w:sz="8" w:space="0" w:color="auto"/>
              <w:left w:val="nil"/>
              <w:bottom w:val="nil"/>
              <w:right w:val="nil"/>
            </w:tcBorders>
            <w:noWrap/>
            <w:hideMark/>
          </w:tcPr>
          <w:p w:rsidR="00757390" w:rsidRPr="00C454AC" w:rsidRDefault="00757390" w:rsidP="00666D6E">
            <w:pPr>
              <w:spacing w:before="60" w:after="60"/>
              <w:jc w:val="center"/>
              <w:rPr>
                <w:b/>
              </w:rPr>
            </w:pPr>
            <w:r w:rsidRPr="00C454AC">
              <w:rPr>
                <w:b/>
              </w:rPr>
              <w:t>2022-2024</w:t>
            </w:r>
          </w:p>
        </w:tc>
        <w:tc>
          <w:tcPr>
            <w:tcW w:w="863" w:type="pct"/>
            <w:tcBorders>
              <w:top w:val="single" w:sz="8" w:space="0" w:color="auto"/>
              <w:left w:val="nil"/>
              <w:bottom w:val="nil"/>
              <w:right w:val="nil"/>
            </w:tcBorders>
            <w:hideMark/>
          </w:tcPr>
          <w:p w:rsidR="00757390" w:rsidRPr="00C454AC" w:rsidRDefault="00757390" w:rsidP="00666D6E">
            <w:pPr>
              <w:spacing w:before="60" w:after="60"/>
              <w:jc w:val="center"/>
              <w:rPr>
                <w:b/>
              </w:rPr>
            </w:pPr>
            <w:r w:rsidRPr="00C454AC">
              <w:rPr>
                <w:b/>
              </w:rPr>
              <w:t>2025-2027</w:t>
            </w:r>
          </w:p>
        </w:tc>
        <w:tc>
          <w:tcPr>
            <w:tcW w:w="1512" w:type="pct"/>
            <w:tcBorders>
              <w:top w:val="single" w:sz="8" w:space="0" w:color="auto"/>
              <w:left w:val="nil"/>
              <w:bottom w:val="nil"/>
              <w:right w:val="nil"/>
            </w:tcBorders>
          </w:tcPr>
          <w:p w:rsidR="00757390" w:rsidRPr="00C454AC" w:rsidRDefault="00757390" w:rsidP="00666D6E">
            <w:pPr>
              <w:spacing w:before="60" w:after="60"/>
              <w:jc w:val="center"/>
            </w:pPr>
          </w:p>
        </w:tc>
      </w:tr>
      <w:tr w:rsidR="00757390" w:rsidRPr="00C454AC" w:rsidTr="00666D6E">
        <w:trPr>
          <w:trHeight w:val="20"/>
        </w:trPr>
        <w:tc>
          <w:tcPr>
            <w:tcW w:w="1810" w:type="pct"/>
            <w:noWrap/>
            <w:hideMark/>
          </w:tcPr>
          <w:p w:rsidR="00757390" w:rsidRPr="00C454AC" w:rsidRDefault="00757390" w:rsidP="00666D6E">
            <w:pPr>
              <w:pStyle w:val="Point0"/>
              <w:spacing w:before="60" w:after="60" w:line="240" w:lineRule="auto"/>
              <w:rPr>
                <w:b/>
                <w:bCs/>
              </w:rPr>
            </w:pPr>
            <w:r w:rsidRPr="00C454AC">
              <w:rPr>
                <w:b/>
              </w:rPr>
              <w:t>1.</w:t>
            </w:r>
            <w:r w:rsidRPr="00C454AC">
              <w:rPr>
                <w:b/>
              </w:rPr>
              <w:tab/>
              <w:t>Piața unică, inovare și sectorul digital</w:t>
            </w:r>
          </w:p>
        </w:tc>
        <w:tc>
          <w:tcPr>
            <w:tcW w:w="815" w:type="pct"/>
            <w:noWrap/>
            <w:hideMark/>
          </w:tcPr>
          <w:p w:rsidR="00757390" w:rsidRPr="00C454AC" w:rsidRDefault="00757390" w:rsidP="00666D6E">
            <w:pPr>
              <w:spacing w:before="60" w:after="60"/>
              <w:ind w:right="567"/>
              <w:jc w:val="right"/>
              <w:rPr>
                <w:b/>
              </w:rPr>
            </w:pPr>
            <w:r w:rsidRPr="00C454AC">
              <w:rPr>
                <w:b/>
              </w:rPr>
              <w:t>36,36 %</w:t>
            </w:r>
          </w:p>
        </w:tc>
        <w:tc>
          <w:tcPr>
            <w:tcW w:w="863" w:type="pct"/>
            <w:hideMark/>
          </w:tcPr>
          <w:p w:rsidR="00757390" w:rsidRPr="00C454AC" w:rsidRDefault="00757390" w:rsidP="00666D6E">
            <w:pPr>
              <w:spacing w:before="60" w:after="60"/>
              <w:ind w:right="567"/>
              <w:jc w:val="right"/>
              <w:rPr>
                <w:b/>
              </w:rPr>
            </w:pPr>
            <w:r w:rsidRPr="00C454AC">
              <w:rPr>
                <w:b/>
              </w:rPr>
              <w:t>41,79 %</w:t>
            </w:r>
          </w:p>
        </w:tc>
        <w:tc>
          <w:tcPr>
            <w:tcW w:w="1512" w:type="pct"/>
            <w:noWrap/>
            <w:hideMark/>
          </w:tcPr>
          <w:p w:rsidR="00757390" w:rsidRPr="00C454AC" w:rsidRDefault="00757390" w:rsidP="00666D6E">
            <w:pPr>
              <w:spacing w:before="60" w:after="60"/>
              <w:ind w:right="1134"/>
              <w:jc w:val="right"/>
              <w:rPr>
                <w:b/>
              </w:rPr>
            </w:pPr>
            <w:r w:rsidRPr="00C454AC">
              <w:rPr>
                <w:b/>
              </w:rPr>
              <w:t>4 000</w:t>
            </w:r>
          </w:p>
        </w:tc>
      </w:tr>
      <w:tr w:rsidR="00757390" w:rsidRPr="00C454AC" w:rsidTr="00666D6E">
        <w:trPr>
          <w:trHeight w:val="20"/>
        </w:trPr>
        <w:tc>
          <w:tcPr>
            <w:tcW w:w="1810" w:type="pct"/>
            <w:noWrap/>
            <w:hideMark/>
          </w:tcPr>
          <w:p w:rsidR="00757390" w:rsidRPr="00C454AC" w:rsidRDefault="00757390" w:rsidP="00666D6E">
            <w:pPr>
              <w:pStyle w:val="Text1"/>
              <w:spacing w:before="60" w:after="60" w:line="240" w:lineRule="auto"/>
            </w:pPr>
            <w:r w:rsidRPr="00C454AC">
              <w:t>Orizont Europa</w:t>
            </w:r>
          </w:p>
        </w:tc>
        <w:tc>
          <w:tcPr>
            <w:tcW w:w="815" w:type="pct"/>
            <w:noWrap/>
            <w:hideMark/>
          </w:tcPr>
          <w:p w:rsidR="00757390" w:rsidRPr="00C454AC" w:rsidRDefault="00757390" w:rsidP="00666D6E">
            <w:pPr>
              <w:spacing w:before="60" w:after="60"/>
              <w:ind w:left="-156" w:right="567" w:firstLine="156"/>
              <w:jc w:val="right"/>
            </w:pPr>
            <w:r w:rsidRPr="00C454AC">
              <w:t>27,27 %</w:t>
            </w:r>
          </w:p>
        </w:tc>
        <w:tc>
          <w:tcPr>
            <w:tcW w:w="863" w:type="pct"/>
            <w:hideMark/>
          </w:tcPr>
          <w:p w:rsidR="00757390" w:rsidRPr="00C454AC" w:rsidRDefault="00757390" w:rsidP="00666D6E">
            <w:pPr>
              <w:spacing w:before="60" w:after="60"/>
              <w:ind w:right="567"/>
              <w:jc w:val="right"/>
            </w:pPr>
            <w:r w:rsidRPr="00C454AC">
              <w:t>31,34 %</w:t>
            </w:r>
          </w:p>
        </w:tc>
        <w:tc>
          <w:tcPr>
            <w:tcW w:w="1512" w:type="pct"/>
            <w:noWrap/>
            <w:hideMark/>
          </w:tcPr>
          <w:p w:rsidR="00757390" w:rsidRPr="00C454AC" w:rsidRDefault="00757390" w:rsidP="00666D6E">
            <w:pPr>
              <w:spacing w:before="60" w:after="60"/>
              <w:ind w:right="1134"/>
              <w:jc w:val="right"/>
            </w:pPr>
            <w:r w:rsidRPr="00C454AC">
              <w:t>3 000</w:t>
            </w:r>
          </w:p>
        </w:tc>
      </w:tr>
      <w:tr w:rsidR="00757390" w:rsidRPr="00C454AC" w:rsidTr="00666D6E">
        <w:trPr>
          <w:trHeight w:val="20"/>
        </w:trPr>
        <w:tc>
          <w:tcPr>
            <w:tcW w:w="1810" w:type="pct"/>
            <w:noWrap/>
            <w:hideMark/>
          </w:tcPr>
          <w:p w:rsidR="00757390" w:rsidRPr="00C454AC" w:rsidRDefault="00757390" w:rsidP="00666D6E">
            <w:pPr>
              <w:pStyle w:val="Text1"/>
              <w:spacing w:before="60" w:after="60" w:line="240" w:lineRule="auto"/>
            </w:pPr>
            <w:r w:rsidRPr="00C454AC">
              <w:t xml:space="preserve">Fondul </w:t>
            </w:r>
            <w:proofErr w:type="spellStart"/>
            <w:r w:rsidRPr="00C454AC">
              <w:t>InvestEU</w:t>
            </w:r>
            <w:proofErr w:type="spellEnd"/>
          </w:p>
        </w:tc>
        <w:tc>
          <w:tcPr>
            <w:tcW w:w="815" w:type="pct"/>
            <w:noWrap/>
            <w:hideMark/>
          </w:tcPr>
          <w:p w:rsidR="00757390" w:rsidRPr="00C454AC" w:rsidRDefault="00757390" w:rsidP="00666D6E">
            <w:pPr>
              <w:spacing w:before="60" w:after="60"/>
              <w:ind w:right="567"/>
              <w:jc w:val="right"/>
            </w:pPr>
            <w:r w:rsidRPr="00C454AC">
              <w:t>9,09 %</w:t>
            </w:r>
          </w:p>
        </w:tc>
        <w:tc>
          <w:tcPr>
            <w:tcW w:w="863" w:type="pct"/>
            <w:hideMark/>
          </w:tcPr>
          <w:p w:rsidR="00757390" w:rsidRPr="00C454AC" w:rsidRDefault="00757390" w:rsidP="00666D6E">
            <w:pPr>
              <w:spacing w:before="60" w:after="60"/>
              <w:ind w:right="567"/>
              <w:jc w:val="right"/>
            </w:pPr>
            <w:r w:rsidRPr="00C454AC">
              <w:t>10,45 %</w:t>
            </w:r>
          </w:p>
        </w:tc>
        <w:tc>
          <w:tcPr>
            <w:tcW w:w="1512" w:type="pct"/>
            <w:noWrap/>
            <w:hideMark/>
          </w:tcPr>
          <w:p w:rsidR="00757390" w:rsidRPr="00C454AC" w:rsidRDefault="00757390" w:rsidP="00666D6E">
            <w:pPr>
              <w:spacing w:before="60" w:after="60"/>
              <w:ind w:right="1134"/>
              <w:jc w:val="right"/>
            </w:pPr>
            <w:r w:rsidRPr="00C454AC">
              <w:t>1 000</w:t>
            </w:r>
          </w:p>
        </w:tc>
      </w:tr>
      <w:tr w:rsidR="00757390" w:rsidRPr="00C454AC" w:rsidTr="00666D6E">
        <w:trPr>
          <w:trHeight w:val="20"/>
        </w:trPr>
        <w:tc>
          <w:tcPr>
            <w:tcW w:w="1810" w:type="pct"/>
            <w:noWrap/>
            <w:hideMark/>
          </w:tcPr>
          <w:p w:rsidR="00757390" w:rsidRPr="00C454AC" w:rsidRDefault="00757390" w:rsidP="00666D6E">
            <w:pPr>
              <w:pStyle w:val="Point0"/>
              <w:spacing w:before="60" w:after="60" w:line="240" w:lineRule="auto"/>
              <w:rPr>
                <w:b/>
                <w:bCs/>
              </w:rPr>
            </w:pPr>
            <w:r w:rsidRPr="00C454AC">
              <w:rPr>
                <w:b/>
              </w:rPr>
              <w:t>2b.</w:t>
            </w:r>
            <w:r w:rsidRPr="00C454AC">
              <w:rPr>
                <w:b/>
              </w:rPr>
              <w:tab/>
              <w:t>Reziliență și valori</w:t>
            </w:r>
          </w:p>
        </w:tc>
        <w:tc>
          <w:tcPr>
            <w:tcW w:w="815" w:type="pct"/>
            <w:noWrap/>
            <w:hideMark/>
          </w:tcPr>
          <w:p w:rsidR="00757390" w:rsidRPr="00C454AC" w:rsidRDefault="00757390" w:rsidP="00666D6E">
            <w:pPr>
              <w:spacing w:before="60" w:after="60"/>
              <w:ind w:right="567"/>
              <w:jc w:val="right"/>
              <w:rPr>
                <w:b/>
              </w:rPr>
            </w:pPr>
            <w:r w:rsidRPr="00C454AC">
              <w:rPr>
                <w:b/>
              </w:rPr>
              <w:t>54,55 %</w:t>
            </w:r>
          </w:p>
        </w:tc>
        <w:tc>
          <w:tcPr>
            <w:tcW w:w="863" w:type="pct"/>
            <w:hideMark/>
          </w:tcPr>
          <w:p w:rsidR="00757390" w:rsidRPr="00C454AC" w:rsidRDefault="00757390" w:rsidP="00666D6E">
            <w:pPr>
              <w:spacing w:before="60" w:after="60"/>
              <w:ind w:right="567"/>
              <w:jc w:val="right"/>
              <w:rPr>
                <w:b/>
              </w:rPr>
            </w:pPr>
            <w:r w:rsidRPr="00C454AC">
              <w:rPr>
                <w:b/>
              </w:rPr>
              <w:t>47,76 %</w:t>
            </w:r>
          </w:p>
        </w:tc>
        <w:tc>
          <w:tcPr>
            <w:tcW w:w="1512" w:type="pct"/>
            <w:noWrap/>
            <w:hideMark/>
          </w:tcPr>
          <w:p w:rsidR="00757390" w:rsidRPr="00C454AC" w:rsidRDefault="00757390" w:rsidP="00666D6E">
            <w:pPr>
              <w:spacing w:before="60" w:after="60"/>
              <w:ind w:right="1134"/>
              <w:jc w:val="right"/>
              <w:rPr>
                <w:b/>
              </w:rPr>
            </w:pPr>
            <w:r w:rsidRPr="00C454AC">
              <w:rPr>
                <w:b/>
              </w:rPr>
              <w:t>5 155</w:t>
            </w:r>
          </w:p>
        </w:tc>
      </w:tr>
      <w:tr w:rsidR="00757390" w:rsidRPr="00C454AC" w:rsidTr="00666D6E">
        <w:trPr>
          <w:trHeight w:val="20"/>
        </w:trPr>
        <w:tc>
          <w:tcPr>
            <w:tcW w:w="1810" w:type="pct"/>
            <w:noWrap/>
            <w:hideMark/>
          </w:tcPr>
          <w:p w:rsidR="00757390" w:rsidRPr="00C454AC" w:rsidRDefault="00757390" w:rsidP="00666D6E">
            <w:pPr>
              <w:pStyle w:val="Text1"/>
              <w:spacing w:before="60" w:after="60" w:line="240" w:lineRule="auto"/>
            </w:pPr>
            <w:r w:rsidRPr="00C454AC">
              <w:t>UE pentru sănătate (EU4Health)</w:t>
            </w:r>
          </w:p>
        </w:tc>
        <w:tc>
          <w:tcPr>
            <w:tcW w:w="815" w:type="pct"/>
            <w:noWrap/>
            <w:hideMark/>
          </w:tcPr>
          <w:p w:rsidR="00757390" w:rsidRPr="00C454AC" w:rsidRDefault="00757390" w:rsidP="00666D6E">
            <w:pPr>
              <w:spacing w:before="60" w:after="60"/>
              <w:ind w:right="567"/>
              <w:jc w:val="right"/>
            </w:pPr>
            <w:r w:rsidRPr="00C454AC">
              <w:t>26,37 %</w:t>
            </w:r>
          </w:p>
        </w:tc>
        <w:tc>
          <w:tcPr>
            <w:tcW w:w="863" w:type="pct"/>
            <w:hideMark/>
          </w:tcPr>
          <w:p w:rsidR="00757390" w:rsidRPr="00C454AC" w:rsidRDefault="00757390" w:rsidP="00666D6E">
            <w:pPr>
              <w:spacing w:before="60" w:after="60"/>
              <w:ind w:right="567"/>
              <w:jc w:val="right"/>
            </w:pPr>
            <w:r w:rsidRPr="00C454AC">
              <w:t>15,37 %</w:t>
            </w:r>
          </w:p>
        </w:tc>
        <w:tc>
          <w:tcPr>
            <w:tcW w:w="1512" w:type="pct"/>
            <w:noWrap/>
            <w:hideMark/>
          </w:tcPr>
          <w:p w:rsidR="00757390" w:rsidRPr="00C454AC" w:rsidRDefault="00757390" w:rsidP="00666D6E">
            <w:pPr>
              <w:spacing w:before="60" w:after="60"/>
              <w:ind w:right="1134"/>
              <w:jc w:val="right"/>
              <w:rPr>
                <w:bCs/>
              </w:rPr>
            </w:pPr>
            <w:r w:rsidRPr="00C454AC">
              <w:t>2 055</w:t>
            </w:r>
          </w:p>
        </w:tc>
      </w:tr>
      <w:tr w:rsidR="00757390" w:rsidRPr="00C454AC" w:rsidTr="00666D6E">
        <w:trPr>
          <w:trHeight w:val="20"/>
        </w:trPr>
        <w:tc>
          <w:tcPr>
            <w:tcW w:w="1810" w:type="pct"/>
            <w:noWrap/>
            <w:hideMark/>
          </w:tcPr>
          <w:p w:rsidR="00757390" w:rsidRPr="00C454AC" w:rsidRDefault="00757390" w:rsidP="00666D6E">
            <w:pPr>
              <w:pStyle w:val="Text1"/>
              <w:spacing w:before="60" w:after="60" w:line="240" w:lineRule="auto"/>
            </w:pPr>
            <w:r w:rsidRPr="00C454AC">
              <w:t>Programul Erasmus+</w:t>
            </w:r>
          </w:p>
        </w:tc>
        <w:tc>
          <w:tcPr>
            <w:tcW w:w="815" w:type="pct"/>
            <w:noWrap/>
            <w:hideMark/>
          </w:tcPr>
          <w:p w:rsidR="00757390" w:rsidRPr="00C454AC" w:rsidRDefault="00757390" w:rsidP="00666D6E">
            <w:pPr>
              <w:spacing w:before="60" w:after="60"/>
              <w:ind w:right="567"/>
              <w:jc w:val="right"/>
            </w:pPr>
            <w:r w:rsidRPr="00C454AC">
              <w:t>15,46 %</w:t>
            </w:r>
          </w:p>
        </w:tc>
        <w:tc>
          <w:tcPr>
            <w:tcW w:w="863" w:type="pct"/>
            <w:hideMark/>
          </w:tcPr>
          <w:p w:rsidR="00757390" w:rsidRPr="00C454AC" w:rsidRDefault="00757390" w:rsidP="00666D6E">
            <w:pPr>
              <w:spacing w:before="60" w:after="60"/>
              <w:ind w:right="567"/>
              <w:jc w:val="right"/>
            </w:pPr>
            <w:r w:rsidRPr="00C454AC">
              <w:t>17,77 %</w:t>
            </w:r>
          </w:p>
        </w:tc>
        <w:tc>
          <w:tcPr>
            <w:tcW w:w="1512" w:type="pct"/>
            <w:noWrap/>
            <w:hideMark/>
          </w:tcPr>
          <w:p w:rsidR="00757390" w:rsidRPr="00C454AC" w:rsidRDefault="00757390" w:rsidP="00666D6E">
            <w:pPr>
              <w:spacing w:before="60" w:after="60"/>
              <w:ind w:right="1134"/>
              <w:jc w:val="right"/>
            </w:pPr>
            <w:r w:rsidRPr="00C454AC">
              <w:t>1 700</w:t>
            </w:r>
          </w:p>
        </w:tc>
      </w:tr>
      <w:tr w:rsidR="00757390" w:rsidRPr="00C454AC" w:rsidTr="00666D6E">
        <w:trPr>
          <w:trHeight w:val="20"/>
        </w:trPr>
        <w:tc>
          <w:tcPr>
            <w:tcW w:w="1810" w:type="pct"/>
            <w:noWrap/>
            <w:hideMark/>
          </w:tcPr>
          <w:p w:rsidR="00757390" w:rsidRPr="00C454AC" w:rsidRDefault="00757390" w:rsidP="00666D6E">
            <w:pPr>
              <w:pStyle w:val="Text1"/>
              <w:spacing w:before="60" w:after="60" w:line="240" w:lineRule="auto"/>
            </w:pPr>
            <w:r w:rsidRPr="00C454AC">
              <w:t>Europa creativă (Creative Europe)</w:t>
            </w:r>
          </w:p>
        </w:tc>
        <w:tc>
          <w:tcPr>
            <w:tcW w:w="815" w:type="pct"/>
            <w:noWrap/>
            <w:hideMark/>
          </w:tcPr>
          <w:p w:rsidR="00757390" w:rsidRPr="00C454AC" w:rsidRDefault="00757390" w:rsidP="00666D6E">
            <w:pPr>
              <w:spacing w:before="60" w:after="60"/>
              <w:ind w:right="567"/>
              <w:jc w:val="right"/>
            </w:pPr>
            <w:r w:rsidRPr="00C454AC">
              <w:t>5,45 %</w:t>
            </w:r>
          </w:p>
        </w:tc>
        <w:tc>
          <w:tcPr>
            <w:tcW w:w="863" w:type="pct"/>
            <w:hideMark/>
          </w:tcPr>
          <w:p w:rsidR="00757390" w:rsidRPr="00C454AC" w:rsidRDefault="00757390" w:rsidP="00666D6E">
            <w:pPr>
              <w:spacing w:before="60" w:after="60"/>
              <w:ind w:right="567"/>
              <w:jc w:val="right"/>
            </w:pPr>
            <w:r w:rsidRPr="00C454AC">
              <w:t>6,26 %</w:t>
            </w:r>
          </w:p>
        </w:tc>
        <w:tc>
          <w:tcPr>
            <w:tcW w:w="1512" w:type="pct"/>
            <w:noWrap/>
            <w:hideMark/>
          </w:tcPr>
          <w:p w:rsidR="00757390" w:rsidRPr="00C454AC" w:rsidRDefault="00757390" w:rsidP="00666D6E">
            <w:pPr>
              <w:spacing w:before="60" w:after="60"/>
              <w:ind w:right="1134"/>
              <w:jc w:val="right"/>
            </w:pPr>
            <w:r w:rsidRPr="00C454AC">
              <w:t>600</w:t>
            </w:r>
          </w:p>
        </w:tc>
      </w:tr>
      <w:tr w:rsidR="00757390" w:rsidRPr="00C454AC" w:rsidTr="00666D6E">
        <w:trPr>
          <w:trHeight w:val="20"/>
        </w:trPr>
        <w:tc>
          <w:tcPr>
            <w:tcW w:w="1810" w:type="pct"/>
            <w:noWrap/>
            <w:hideMark/>
          </w:tcPr>
          <w:p w:rsidR="00757390" w:rsidRPr="00C454AC" w:rsidRDefault="00757390" w:rsidP="00666D6E">
            <w:pPr>
              <w:pStyle w:val="Text1"/>
              <w:spacing w:before="60" w:after="60" w:line="240" w:lineRule="auto"/>
            </w:pPr>
            <w:r w:rsidRPr="00C454AC">
              <w:t>Drepturi și valori (</w:t>
            </w:r>
            <w:proofErr w:type="spellStart"/>
            <w:r w:rsidRPr="00C454AC">
              <w:t>Rights</w:t>
            </w:r>
            <w:proofErr w:type="spellEnd"/>
            <w:r w:rsidRPr="00C454AC">
              <w:t xml:space="preserve"> </w:t>
            </w:r>
            <w:proofErr w:type="spellStart"/>
            <w:r w:rsidRPr="00C454AC">
              <w:t>and</w:t>
            </w:r>
            <w:proofErr w:type="spellEnd"/>
            <w:r w:rsidRPr="00C454AC">
              <w:t xml:space="preserve"> </w:t>
            </w:r>
            <w:proofErr w:type="spellStart"/>
            <w:r w:rsidRPr="00C454AC">
              <w:t>Values</w:t>
            </w:r>
            <w:proofErr w:type="spellEnd"/>
            <w:r w:rsidRPr="00C454AC">
              <w:t>)</w:t>
            </w:r>
          </w:p>
        </w:tc>
        <w:tc>
          <w:tcPr>
            <w:tcW w:w="815" w:type="pct"/>
            <w:noWrap/>
            <w:hideMark/>
          </w:tcPr>
          <w:p w:rsidR="00757390" w:rsidRPr="00C454AC" w:rsidRDefault="00757390" w:rsidP="00666D6E">
            <w:pPr>
              <w:spacing w:before="60" w:after="60"/>
              <w:ind w:right="567"/>
              <w:jc w:val="right"/>
            </w:pPr>
            <w:r w:rsidRPr="00C454AC">
              <w:t>7,27 %</w:t>
            </w:r>
          </w:p>
        </w:tc>
        <w:tc>
          <w:tcPr>
            <w:tcW w:w="863" w:type="pct"/>
            <w:hideMark/>
          </w:tcPr>
          <w:p w:rsidR="00757390" w:rsidRPr="00C454AC" w:rsidRDefault="00757390" w:rsidP="00666D6E">
            <w:pPr>
              <w:spacing w:before="60" w:after="60"/>
              <w:ind w:right="567"/>
              <w:jc w:val="right"/>
              <w:rPr>
                <w:b/>
              </w:rPr>
            </w:pPr>
            <w:r w:rsidRPr="00C454AC">
              <w:rPr>
                <w:b/>
              </w:rPr>
              <w:t>8,36 %</w:t>
            </w:r>
          </w:p>
        </w:tc>
        <w:tc>
          <w:tcPr>
            <w:tcW w:w="1512" w:type="pct"/>
            <w:noWrap/>
            <w:hideMark/>
          </w:tcPr>
          <w:p w:rsidR="00757390" w:rsidRPr="00C454AC" w:rsidRDefault="00757390" w:rsidP="00666D6E">
            <w:pPr>
              <w:spacing w:before="60" w:after="60"/>
              <w:ind w:right="1134"/>
              <w:jc w:val="right"/>
            </w:pPr>
            <w:r w:rsidRPr="00C454AC">
              <w:t>800</w:t>
            </w:r>
          </w:p>
        </w:tc>
      </w:tr>
      <w:tr w:rsidR="00757390" w:rsidRPr="00C454AC" w:rsidTr="00666D6E">
        <w:trPr>
          <w:trHeight w:val="20"/>
        </w:trPr>
        <w:tc>
          <w:tcPr>
            <w:tcW w:w="1810" w:type="pct"/>
            <w:noWrap/>
            <w:hideMark/>
          </w:tcPr>
          <w:p w:rsidR="00757390" w:rsidRPr="00C454AC" w:rsidRDefault="00757390" w:rsidP="00666D6E">
            <w:pPr>
              <w:pStyle w:val="Point0"/>
              <w:spacing w:before="60" w:after="60" w:line="240" w:lineRule="auto"/>
              <w:rPr>
                <w:b/>
                <w:bCs/>
              </w:rPr>
            </w:pPr>
            <w:r w:rsidRPr="00C454AC">
              <w:rPr>
                <w:b/>
              </w:rPr>
              <w:t>4.</w:t>
            </w:r>
            <w:r w:rsidRPr="00C454AC">
              <w:rPr>
                <w:b/>
              </w:rPr>
              <w:tab/>
              <w:t>Migrație și gestionarea frontierelor</w:t>
            </w:r>
          </w:p>
        </w:tc>
        <w:tc>
          <w:tcPr>
            <w:tcW w:w="815" w:type="pct"/>
            <w:noWrap/>
            <w:hideMark/>
          </w:tcPr>
          <w:p w:rsidR="00757390" w:rsidRPr="00C454AC" w:rsidRDefault="00757390" w:rsidP="00666D6E">
            <w:pPr>
              <w:spacing w:before="60" w:after="60"/>
              <w:ind w:right="567"/>
              <w:jc w:val="right"/>
              <w:rPr>
                <w:b/>
              </w:rPr>
            </w:pPr>
            <w:r w:rsidRPr="00C454AC">
              <w:rPr>
                <w:b/>
              </w:rPr>
              <w:t>9,09 %</w:t>
            </w:r>
          </w:p>
        </w:tc>
        <w:tc>
          <w:tcPr>
            <w:tcW w:w="863" w:type="pct"/>
            <w:hideMark/>
          </w:tcPr>
          <w:p w:rsidR="00757390" w:rsidRPr="00C454AC" w:rsidRDefault="00757390" w:rsidP="00666D6E">
            <w:pPr>
              <w:spacing w:before="60" w:after="60"/>
              <w:ind w:right="567"/>
              <w:jc w:val="right"/>
              <w:rPr>
                <w:b/>
              </w:rPr>
            </w:pPr>
            <w:r w:rsidRPr="00C454AC">
              <w:rPr>
                <w:b/>
              </w:rPr>
              <w:t>10,45 %</w:t>
            </w:r>
          </w:p>
        </w:tc>
        <w:tc>
          <w:tcPr>
            <w:tcW w:w="1512" w:type="pct"/>
            <w:noWrap/>
            <w:hideMark/>
          </w:tcPr>
          <w:p w:rsidR="00757390" w:rsidRPr="00C454AC" w:rsidRDefault="00757390" w:rsidP="00666D6E">
            <w:pPr>
              <w:spacing w:before="60" w:after="60"/>
              <w:ind w:right="1134"/>
              <w:jc w:val="right"/>
              <w:rPr>
                <w:b/>
              </w:rPr>
            </w:pPr>
            <w:r w:rsidRPr="00C454AC">
              <w:rPr>
                <w:b/>
              </w:rPr>
              <w:t>1 000</w:t>
            </w:r>
          </w:p>
        </w:tc>
      </w:tr>
      <w:tr w:rsidR="00757390" w:rsidRPr="00C454AC" w:rsidTr="00666D6E">
        <w:trPr>
          <w:trHeight w:val="20"/>
        </w:trPr>
        <w:tc>
          <w:tcPr>
            <w:tcW w:w="1810" w:type="pct"/>
            <w:noWrap/>
            <w:hideMark/>
          </w:tcPr>
          <w:p w:rsidR="00757390" w:rsidRPr="00C454AC" w:rsidRDefault="00757390" w:rsidP="00666D6E">
            <w:pPr>
              <w:pStyle w:val="Text1"/>
              <w:spacing w:before="60" w:after="60" w:line="240" w:lineRule="auto"/>
            </w:pPr>
            <w:r w:rsidRPr="00C454AC">
              <w:t>Fondul de gestionare integrată a frontierelor</w:t>
            </w:r>
          </w:p>
        </w:tc>
        <w:tc>
          <w:tcPr>
            <w:tcW w:w="815" w:type="pct"/>
            <w:noWrap/>
            <w:hideMark/>
          </w:tcPr>
          <w:p w:rsidR="00757390" w:rsidRPr="00C454AC" w:rsidRDefault="00757390" w:rsidP="00666D6E">
            <w:pPr>
              <w:spacing w:before="60" w:after="60"/>
              <w:ind w:right="567"/>
              <w:jc w:val="right"/>
            </w:pPr>
            <w:r w:rsidRPr="00C454AC">
              <w:t>9,09 %</w:t>
            </w:r>
          </w:p>
        </w:tc>
        <w:tc>
          <w:tcPr>
            <w:tcW w:w="863" w:type="pct"/>
            <w:hideMark/>
          </w:tcPr>
          <w:p w:rsidR="00757390" w:rsidRPr="00C454AC" w:rsidRDefault="00757390" w:rsidP="00666D6E">
            <w:pPr>
              <w:spacing w:before="60" w:after="60"/>
              <w:ind w:right="567"/>
              <w:jc w:val="right"/>
            </w:pPr>
            <w:r w:rsidRPr="00C454AC">
              <w:t>10,45 %</w:t>
            </w:r>
          </w:p>
        </w:tc>
        <w:tc>
          <w:tcPr>
            <w:tcW w:w="1512" w:type="pct"/>
            <w:noWrap/>
            <w:hideMark/>
          </w:tcPr>
          <w:p w:rsidR="00757390" w:rsidRPr="00C454AC" w:rsidRDefault="00757390" w:rsidP="00666D6E">
            <w:pPr>
              <w:spacing w:before="60" w:after="60"/>
              <w:ind w:right="1134"/>
              <w:jc w:val="right"/>
            </w:pPr>
            <w:r w:rsidRPr="00C454AC">
              <w:t>1 000</w:t>
            </w:r>
          </w:p>
        </w:tc>
      </w:tr>
      <w:tr w:rsidR="00757390" w:rsidRPr="00C454AC" w:rsidTr="00666D6E">
        <w:trPr>
          <w:trHeight w:val="20"/>
        </w:trPr>
        <w:tc>
          <w:tcPr>
            <w:tcW w:w="1810" w:type="pct"/>
            <w:tcBorders>
              <w:top w:val="nil"/>
              <w:left w:val="nil"/>
              <w:bottom w:val="single" w:sz="4" w:space="0" w:color="auto"/>
              <w:right w:val="nil"/>
            </w:tcBorders>
            <w:noWrap/>
            <w:hideMark/>
          </w:tcPr>
          <w:p w:rsidR="00757390" w:rsidRPr="00C454AC" w:rsidRDefault="00757390" w:rsidP="00666D6E">
            <w:pPr>
              <w:spacing w:before="60" w:after="60"/>
              <w:rPr>
                <w:b/>
              </w:rPr>
            </w:pPr>
            <w:r w:rsidRPr="00C454AC">
              <w:rPr>
                <w:b/>
              </w:rPr>
              <w:t>TOTAL</w:t>
            </w:r>
          </w:p>
        </w:tc>
        <w:tc>
          <w:tcPr>
            <w:tcW w:w="815" w:type="pct"/>
            <w:tcBorders>
              <w:top w:val="nil"/>
              <w:left w:val="nil"/>
              <w:bottom w:val="single" w:sz="4" w:space="0" w:color="auto"/>
              <w:right w:val="nil"/>
            </w:tcBorders>
            <w:noWrap/>
            <w:hideMark/>
          </w:tcPr>
          <w:p w:rsidR="00757390" w:rsidRPr="00C454AC" w:rsidRDefault="00757390" w:rsidP="00666D6E">
            <w:pPr>
              <w:spacing w:before="60" w:after="60"/>
              <w:ind w:right="567"/>
              <w:jc w:val="right"/>
              <w:rPr>
                <w:b/>
              </w:rPr>
            </w:pPr>
            <w:r w:rsidRPr="00C454AC">
              <w:rPr>
                <w:b/>
              </w:rPr>
              <w:t>100,00 %</w:t>
            </w:r>
          </w:p>
        </w:tc>
        <w:tc>
          <w:tcPr>
            <w:tcW w:w="863" w:type="pct"/>
            <w:tcBorders>
              <w:top w:val="nil"/>
              <w:left w:val="nil"/>
              <w:bottom w:val="single" w:sz="4" w:space="0" w:color="auto"/>
              <w:right w:val="nil"/>
            </w:tcBorders>
            <w:hideMark/>
          </w:tcPr>
          <w:p w:rsidR="00757390" w:rsidRPr="00C454AC" w:rsidRDefault="00757390" w:rsidP="00666D6E">
            <w:pPr>
              <w:spacing w:before="60" w:after="60"/>
              <w:ind w:right="567"/>
              <w:jc w:val="right"/>
              <w:rPr>
                <w:b/>
              </w:rPr>
            </w:pPr>
            <w:r w:rsidRPr="00C454AC">
              <w:rPr>
                <w:b/>
              </w:rPr>
              <w:t>100,00 %</w:t>
            </w:r>
          </w:p>
        </w:tc>
        <w:tc>
          <w:tcPr>
            <w:tcW w:w="1512" w:type="pct"/>
            <w:tcBorders>
              <w:top w:val="nil"/>
              <w:left w:val="nil"/>
              <w:bottom w:val="single" w:sz="4" w:space="0" w:color="auto"/>
              <w:right w:val="nil"/>
            </w:tcBorders>
            <w:noWrap/>
            <w:hideMark/>
          </w:tcPr>
          <w:p w:rsidR="00757390" w:rsidRPr="00C454AC" w:rsidRDefault="00757390" w:rsidP="00666D6E">
            <w:pPr>
              <w:spacing w:before="60" w:after="60"/>
              <w:ind w:right="1134"/>
              <w:jc w:val="right"/>
              <w:rPr>
                <w:b/>
              </w:rPr>
            </w:pPr>
            <w:r w:rsidRPr="00C454AC">
              <w:rPr>
                <w:b/>
              </w:rPr>
              <w:t>10 155</w:t>
            </w:r>
          </w:p>
        </w:tc>
      </w:tr>
    </w:tbl>
    <w:p w:rsidR="00757390" w:rsidRPr="00C454AC" w:rsidRDefault="00757390" w:rsidP="00757390">
      <w:pPr>
        <w:pStyle w:val="NormalRight"/>
      </w:pPr>
      <w:r w:rsidRPr="00C454AC">
        <w:t>”.</w:t>
      </w:r>
    </w:p>
    <w:p w:rsidR="00757390" w:rsidRPr="00C454AC" w:rsidRDefault="00757390" w:rsidP="00757390">
      <w:pPr>
        <w:pStyle w:val="LignefinalLandscape"/>
      </w:pPr>
    </w:p>
    <w:p w:rsidR="00757390" w:rsidRPr="00C454AC" w:rsidRDefault="00757390" w:rsidP="00757390">
      <w:pPr>
        <w:sectPr w:rsidR="00757390" w:rsidRPr="00C454AC" w:rsidSect="00331A2E">
          <w:headerReference w:type="even" r:id="rId12"/>
          <w:headerReference w:type="default" r:id="rId13"/>
          <w:headerReference w:type="first" r:id="rId14"/>
          <w:footerReference w:type="first" r:id="rId15"/>
          <w:footnotePr>
            <w:numRestart w:val="eachPage"/>
          </w:footnotePr>
          <w:endnotePr>
            <w:numFmt w:val="decimal"/>
          </w:endnotePr>
          <w:pgSz w:w="16838" w:h="11906" w:orient="landscape" w:code="9"/>
          <w:pgMar w:top="1418" w:right="1134" w:bottom="1418" w:left="1418" w:header="1134" w:footer="567" w:gutter="0"/>
          <w:cols w:space="720"/>
          <w:noEndnote/>
          <w:docGrid w:linePitch="326"/>
        </w:sectPr>
      </w:pPr>
    </w:p>
    <w:p w:rsidR="00757390" w:rsidRPr="00C454AC" w:rsidRDefault="00757390" w:rsidP="00757390">
      <w:pPr>
        <w:pStyle w:val="PageHeading"/>
        <w:rPr>
          <w:caps/>
        </w:rPr>
      </w:pPr>
      <w:bookmarkStart w:id="10" w:name="_Toc159577457"/>
      <w:r w:rsidRPr="00C454AC">
        <w:lastRenderedPageBreak/>
        <w:t xml:space="preserve">ANEXA 2: </w:t>
      </w:r>
      <w:r w:rsidRPr="00C454AC">
        <w:rPr>
          <w:caps/>
        </w:rPr>
        <w:t>Declarația comună a Parlamentului European, a Consiliului și a Comisiei privind reutilizarea fondurilor dezangajate pentru programul de cercetare</w:t>
      </w:r>
      <w:bookmarkEnd w:id="10"/>
    </w:p>
    <w:p w:rsidR="00757390" w:rsidRPr="00C454AC" w:rsidRDefault="00757390" w:rsidP="00757390">
      <w:pPr>
        <w:pStyle w:val="NormalWeb"/>
        <w:shd w:val="clear" w:color="auto" w:fill="FFFFFF" w:themeFill="background1"/>
        <w:spacing w:before="0" w:beforeAutospacing="0" w:after="240" w:afterAutospacing="0"/>
        <w:jc w:val="both"/>
      </w:pPr>
      <w:r w:rsidRPr="00C454AC">
        <w:t>În Declarația comună din 22 decembrie 2020 privind reutilizarea fondurilor dezangajate pentru programul de cercetare</w:t>
      </w:r>
      <w:r w:rsidRPr="00C454AC">
        <w:rPr>
          <w:rStyle w:val="FootnoteReference"/>
        </w:rPr>
        <w:footnoteReference w:id="12"/>
      </w:r>
      <w:r w:rsidRPr="00C454AC">
        <w:t>, Parlamentul European, Consiliul și Comisia au convenit să pună din nou la dispoziție, în beneficiul programului de cercetare, în perioada 2021-2027, credite de angajament corespunzătoare unui cuantum de până la 0,5 miliarde EUR (la prețurile din 2018) provenit din dezangajări, care rezultă din neimplementarea totală sau parțială a unor proiecte aparținând respectivului program sau predecesorului acestuia, astfel cum se prevede la articolul 15 alineatul (3) din Regulamentul financiar.</w:t>
      </w:r>
    </w:p>
    <w:p w:rsidR="00757390" w:rsidRPr="00C454AC" w:rsidRDefault="00757390" w:rsidP="00757390">
      <w:pPr>
        <w:pStyle w:val="NormalWeb"/>
        <w:shd w:val="clear" w:color="auto" w:fill="FFFFFF" w:themeFill="background1"/>
        <w:spacing w:before="0" w:beforeAutospacing="0" w:after="240" w:afterAutospacing="0"/>
        <w:jc w:val="both"/>
      </w:pPr>
      <w:r w:rsidRPr="00C454AC">
        <w:t>Fără a aduce atingere competențelor autorității bugetare în cadrul procedurii bugetare anuale și competențelor Comisiei de a executa bugetul, Parlamentul European, Consiliul și Comisia convin că un cuantum suplimentar de 100 de milioane EUR (la prețurile din 2018) va fi pus din nou la dispoziție în beneficiul programului de cercetare în perioada 2025-2027, corespunzător dezangajărilor efectuate în perioada 2019-2020 care rezultă din neimplementarea totală sau parțială a unor proiecte aparținând programului respectiv sau predecesorului acestuia și care nu au fost puse din nou la dispoziție în temeiul articolului 15 alineatul (3) din Regulamentul financiar în urma declarației comune din 22 decembrie 2020. Acest lucru nu afectează cuantumurile disponibile ale dezangajărilor pentru instrumentul EURI menționate la articolul 10a din Regulamentul (UE, Euratom) 2020/2093.</w:t>
      </w:r>
    </w:p>
    <w:p w:rsidR="00E365E1" w:rsidRPr="00C454AC" w:rsidRDefault="00E365E1" w:rsidP="00702897">
      <w:bookmarkStart w:id="11" w:name="TextBodyEnd"/>
      <w:bookmarkEnd w:id="11"/>
    </w:p>
    <w:sectPr w:rsidR="00E365E1" w:rsidRPr="00C454AC" w:rsidSect="00331A2E">
      <w:headerReference w:type="even" r:id="rId16"/>
      <w:headerReference w:type="default" r:id="rId17"/>
      <w:footerReference w:type="even" r:id="rId18"/>
      <w:footerReference w:type="default" r:id="rId19"/>
      <w:headerReference w:type="first" r:id="rId20"/>
      <w:footerReference w:type="first" r:id="rId2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2897" w:rsidRPr="00331A2E" w:rsidRDefault="00702897">
      <w:r w:rsidRPr="00331A2E">
        <w:separator/>
      </w:r>
    </w:p>
  </w:endnote>
  <w:endnote w:type="continuationSeparator" w:id="0">
    <w:p w:rsidR="00702897" w:rsidRPr="00331A2E" w:rsidRDefault="00702897">
      <w:r w:rsidRPr="00331A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7390" w:rsidRPr="00331A2E" w:rsidRDefault="00757390" w:rsidP="007E023E">
    <w:pPr>
      <w:pStyle w:val="EPFooter"/>
    </w:pPr>
    <w:r w:rsidRPr="00331A2E">
      <w:t>PE</w:t>
    </w:r>
    <w:r w:rsidRPr="00331A2E">
      <w:rPr>
        <w:rStyle w:val="HideTWBExt"/>
      </w:rPr>
      <w:t>&lt;NoPE&gt;</w:t>
    </w:r>
    <w:r w:rsidRPr="00331A2E">
      <w:t>758.992</w:t>
    </w:r>
    <w:r w:rsidRPr="00331A2E">
      <w:rPr>
        <w:rStyle w:val="HideTWBExt"/>
      </w:rPr>
      <w:t>&lt;/NoPE&gt;&lt;Version&gt;</w:t>
    </w:r>
    <w:r w:rsidRPr="00331A2E">
      <w:t>v02-00</w:t>
    </w:r>
    <w:r w:rsidRPr="00331A2E">
      <w:rPr>
        <w:rStyle w:val="HideTWBExt"/>
      </w:rPr>
      <w:t>&lt;/Version&gt;</w:t>
    </w:r>
    <w:r w:rsidRPr="00331A2E">
      <w:tab/>
    </w:r>
    <w:r w:rsidRPr="00331A2E">
      <w:fldChar w:fldCharType="begin"/>
    </w:r>
    <w:r w:rsidRPr="00331A2E">
      <w:instrText xml:space="preserve"> PAGE  \* MERGEFORMAT </w:instrText>
    </w:r>
    <w:r w:rsidRPr="00331A2E">
      <w:fldChar w:fldCharType="separate"/>
    </w:r>
    <w:r w:rsidR="00331A2E" w:rsidRPr="00331A2E">
      <w:rPr>
        <w:noProof/>
      </w:rPr>
      <w:t>2</w:t>
    </w:r>
    <w:r w:rsidRPr="00331A2E">
      <w:fldChar w:fldCharType="end"/>
    </w:r>
    <w:r w:rsidRPr="00331A2E">
      <w:t>/</w:t>
    </w:r>
    <w:r w:rsidR="00C454AC">
      <w:fldChar w:fldCharType="begin"/>
    </w:r>
    <w:r w:rsidR="00C454AC">
      <w:instrText xml:space="preserve"> NUMPAGES  \* MERGEFORMAT </w:instrText>
    </w:r>
    <w:r w:rsidR="00C454AC">
      <w:fldChar w:fldCharType="separate"/>
    </w:r>
    <w:r w:rsidR="00331A2E" w:rsidRPr="00331A2E">
      <w:rPr>
        <w:noProof/>
      </w:rPr>
      <w:t>3</w:t>
    </w:r>
    <w:r w:rsidR="00C454AC">
      <w:rPr>
        <w:noProof/>
      </w:rPr>
      <w:fldChar w:fldCharType="end"/>
    </w:r>
    <w:r w:rsidRPr="00331A2E">
      <w:tab/>
    </w:r>
    <w:r w:rsidRPr="00331A2E">
      <w:rPr>
        <w:rStyle w:val="HideTWBExt"/>
      </w:rPr>
      <w:t>&lt;PathFdR&gt;</w:t>
    </w:r>
    <w:r w:rsidRPr="00331A2E">
      <w:t>RR\1297557RO.docx</w:t>
    </w:r>
    <w:r w:rsidRPr="00331A2E">
      <w:rPr>
        <w:rStyle w:val="HideTWBExt"/>
      </w:rPr>
      <w:t>&lt;/PathFdR&gt;</w:t>
    </w:r>
  </w:p>
  <w:p w:rsidR="00757390" w:rsidRPr="00331A2E" w:rsidRDefault="00757390" w:rsidP="007E023E">
    <w:pPr>
      <w:pStyle w:val="EPFooter2"/>
    </w:pPr>
    <w:r w:rsidRPr="00331A2E">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7390" w:rsidRPr="00D62458" w:rsidRDefault="00757390" w:rsidP="00C454AC">
    <w:pPr>
      <w:pStyle w:val="Lignefinal"/>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7390" w:rsidRPr="00331A2E" w:rsidRDefault="00757390" w:rsidP="007E023E">
    <w:pPr>
      <w:pStyle w:val="EPFooter"/>
    </w:pPr>
    <w:r w:rsidRPr="00331A2E">
      <w:rPr>
        <w:rStyle w:val="HideTWBExt"/>
      </w:rPr>
      <w:t>&lt;PathFdR&gt;</w:t>
    </w:r>
    <w:r w:rsidRPr="00331A2E">
      <w:t>RR\1297557RO.docx</w:t>
    </w:r>
    <w:r w:rsidRPr="00331A2E">
      <w:rPr>
        <w:rStyle w:val="HideTWBExt"/>
      </w:rPr>
      <w:t>&lt;/PathFdR&gt;</w:t>
    </w:r>
    <w:r w:rsidRPr="00331A2E">
      <w:tab/>
    </w:r>
    <w:r w:rsidRPr="00331A2E">
      <w:tab/>
      <w:t>PE</w:t>
    </w:r>
    <w:r w:rsidRPr="00331A2E">
      <w:rPr>
        <w:rStyle w:val="HideTWBExt"/>
      </w:rPr>
      <w:t>&lt;NoPE&gt;</w:t>
    </w:r>
    <w:r w:rsidRPr="00331A2E">
      <w:t>758.992</w:t>
    </w:r>
    <w:r w:rsidRPr="00331A2E">
      <w:rPr>
        <w:rStyle w:val="HideTWBExt"/>
      </w:rPr>
      <w:t>&lt;/NoPE&gt;&lt;Version&gt;</w:t>
    </w:r>
    <w:r w:rsidRPr="00331A2E">
      <w:t>v02-00</w:t>
    </w:r>
    <w:r w:rsidRPr="00331A2E">
      <w:rPr>
        <w:rStyle w:val="HideTWBExt"/>
      </w:rPr>
      <w:t>&lt;/Version&gt;</w:t>
    </w:r>
  </w:p>
  <w:p w:rsidR="00757390" w:rsidRPr="00331A2E" w:rsidRDefault="00757390" w:rsidP="007E023E">
    <w:pPr>
      <w:pStyle w:val="EPFooter2"/>
    </w:pPr>
    <w:r w:rsidRPr="00331A2E">
      <w:t>RO</w:t>
    </w:r>
    <w:r w:rsidRPr="00331A2E">
      <w:tab/>
    </w:r>
    <w:r w:rsidRPr="00331A2E">
      <w:rPr>
        <w:b w:val="0"/>
        <w:i/>
        <w:color w:val="C0C0C0"/>
        <w:sz w:val="22"/>
      </w:rPr>
      <w:t>Unită în diversitate</w:t>
    </w:r>
    <w:r w:rsidRPr="00331A2E">
      <w:tab/>
      <w:t>RO</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7390" w:rsidRPr="00331A2E" w:rsidRDefault="00757390" w:rsidP="00FA76F5">
    <w:pPr>
      <w:pStyle w:val="EPFooter"/>
    </w:pPr>
    <w:r w:rsidRPr="00331A2E">
      <w:rPr>
        <w:rStyle w:val="HideTWBExt"/>
      </w:rPr>
      <w:t>&lt;PathFdR&gt;</w:t>
    </w:r>
    <w:r w:rsidRPr="00331A2E">
      <w:t>RR\1297557RO.docx</w:t>
    </w:r>
    <w:r w:rsidRPr="00331A2E">
      <w:rPr>
        <w:rStyle w:val="HideTWBExt"/>
      </w:rPr>
      <w:t>&lt;/PathFdR&gt;</w:t>
    </w:r>
    <w:r w:rsidRPr="00331A2E">
      <w:tab/>
    </w:r>
    <w:r w:rsidRPr="00331A2E">
      <w:tab/>
      <w:t>PE</w:t>
    </w:r>
    <w:r w:rsidRPr="00331A2E">
      <w:rPr>
        <w:rStyle w:val="HideTWBExt"/>
      </w:rPr>
      <w:t>&lt;NoPE&gt;</w:t>
    </w:r>
    <w:r w:rsidRPr="00331A2E">
      <w:t>758.992</w:t>
    </w:r>
    <w:r w:rsidRPr="00331A2E">
      <w:rPr>
        <w:rStyle w:val="HideTWBExt"/>
      </w:rPr>
      <w:t>&lt;/NoPE&gt;&lt;Version&gt;</w:t>
    </w:r>
    <w:r w:rsidRPr="00331A2E">
      <w:t>v02-00</w:t>
    </w:r>
    <w:r w:rsidRPr="00331A2E">
      <w:rPr>
        <w:rStyle w:val="HideTWBExt"/>
      </w:rPr>
      <w:t>&lt;/Version&gt;</w:t>
    </w:r>
  </w:p>
  <w:p w:rsidR="00757390" w:rsidRPr="00331A2E" w:rsidRDefault="00757390" w:rsidP="00FA76F5">
    <w:pPr>
      <w:pStyle w:val="EPFooter2"/>
    </w:pPr>
    <w:r w:rsidRPr="00331A2E">
      <w:t>XT</w:t>
    </w:r>
    <w:r w:rsidRPr="00331A2E">
      <w:tab/>
    </w:r>
    <w:r w:rsidRPr="00331A2E">
      <w:rPr>
        <w:b w:val="0"/>
        <w:i/>
        <w:color w:val="C0C0C0"/>
        <w:sz w:val="22"/>
      </w:rPr>
      <w:t xml:space="preserve">United in </w:t>
    </w:r>
    <w:proofErr w:type="spellStart"/>
    <w:r w:rsidRPr="00331A2E">
      <w:rPr>
        <w:b w:val="0"/>
        <w:i/>
        <w:color w:val="C0C0C0"/>
        <w:sz w:val="22"/>
      </w:rPr>
      <w:t>diversity</w:t>
    </w:r>
    <w:proofErr w:type="spellEnd"/>
    <w:r w:rsidRPr="00331A2E">
      <w:tab/>
      <w:t>XT</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1A2E"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1A2E" w:rsidRDefault="00064002"/>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1A2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2897" w:rsidRPr="00331A2E" w:rsidRDefault="00702897">
      <w:r w:rsidRPr="00331A2E">
        <w:separator/>
      </w:r>
    </w:p>
  </w:footnote>
  <w:footnote w:type="continuationSeparator" w:id="0">
    <w:p w:rsidR="00702897" w:rsidRPr="00331A2E" w:rsidRDefault="00702897">
      <w:r w:rsidRPr="00331A2E">
        <w:continuationSeparator/>
      </w:r>
    </w:p>
  </w:footnote>
  <w:footnote w:id="1">
    <w:p w:rsidR="00757390" w:rsidRPr="00331A2E" w:rsidRDefault="00757390" w:rsidP="00331A2E">
      <w:pPr>
        <w:pStyle w:val="FootnoteText"/>
        <w:ind w:left="567" w:hanging="567"/>
        <w:rPr>
          <w:sz w:val="24"/>
          <w:lang w:val="ro-RO"/>
        </w:rPr>
      </w:pPr>
      <w:r w:rsidRPr="00331A2E">
        <w:rPr>
          <w:rStyle w:val="FootnoteReference"/>
          <w:sz w:val="24"/>
          <w:lang w:val="ro-RO"/>
        </w:rPr>
        <w:footnoteRef/>
      </w:r>
      <w:r w:rsidR="00331A2E" w:rsidRPr="00331A2E">
        <w:rPr>
          <w:sz w:val="24"/>
          <w:lang w:val="ro-RO"/>
        </w:rPr>
        <w:t xml:space="preserve"> </w:t>
      </w:r>
      <w:r w:rsidR="00331A2E" w:rsidRPr="00331A2E">
        <w:rPr>
          <w:sz w:val="24"/>
          <w:lang w:val="ro-RO"/>
        </w:rPr>
        <w:tab/>
      </w:r>
      <w:r w:rsidRPr="00331A2E">
        <w:rPr>
          <w:sz w:val="24"/>
          <w:lang w:val="ro-RO"/>
        </w:rPr>
        <w:t>Texte adoptate, P9_TA(2023)0335.</w:t>
      </w:r>
    </w:p>
  </w:footnote>
  <w:footnote w:id="2">
    <w:p w:rsidR="00757390" w:rsidRPr="00331A2E" w:rsidRDefault="00757390" w:rsidP="00331A2E">
      <w:pPr>
        <w:pStyle w:val="FootnoteText"/>
        <w:ind w:left="567" w:hanging="567"/>
        <w:rPr>
          <w:sz w:val="24"/>
          <w:lang w:val="ro-RO"/>
        </w:rPr>
      </w:pPr>
      <w:r w:rsidRPr="00331A2E">
        <w:rPr>
          <w:rStyle w:val="FootnoteReference"/>
          <w:sz w:val="24"/>
          <w:lang w:val="ro-RO"/>
        </w:rPr>
        <w:footnoteRef/>
      </w:r>
      <w:r w:rsidR="00331A2E" w:rsidRPr="00331A2E">
        <w:rPr>
          <w:sz w:val="24"/>
          <w:lang w:val="ro-RO"/>
        </w:rPr>
        <w:t xml:space="preserve"> </w:t>
      </w:r>
      <w:r w:rsidR="00331A2E" w:rsidRPr="00331A2E">
        <w:rPr>
          <w:sz w:val="24"/>
          <w:lang w:val="ro-RO"/>
        </w:rPr>
        <w:tab/>
      </w:r>
      <w:r w:rsidRPr="00331A2E">
        <w:rPr>
          <w:sz w:val="24"/>
          <w:lang w:val="ro-RO"/>
        </w:rPr>
        <w:t>Aprobarea din 27 februarie 2024 (nepublicată încă în Jurnalul Oficial).</w:t>
      </w:r>
    </w:p>
  </w:footnote>
  <w:footnote w:id="3">
    <w:p w:rsidR="00757390" w:rsidRPr="00331A2E" w:rsidRDefault="00757390" w:rsidP="00331A2E">
      <w:pPr>
        <w:pStyle w:val="FootnoteText"/>
        <w:ind w:left="567" w:hanging="567"/>
        <w:rPr>
          <w:sz w:val="24"/>
          <w:lang w:val="ro-RO"/>
        </w:rPr>
      </w:pPr>
      <w:r w:rsidRPr="00331A2E">
        <w:rPr>
          <w:rStyle w:val="FootnoteReference"/>
          <w:sz w:val="24"/>
          <w:lang w:val="ro-RO"/>
        </w:rPr>
        <w:footnoteRef/>
      </w:r>
      <w:r w:rsidR="00331A2E" w:rsidRPr="00331A2E">
        <w:rPr>
          <w:sz w:val="24"/>
          <w:lang w:val="ro-RO"/>
        </w:rPr>
        <w:t xml:space="preserve"> </w:t>
      </w:r>
      <w:r w:rsidR="00331A2E" w:rsidRPr="00331A2E">
        <w:rPr>
          <w:sz w:val="24"/>
          <w:lang w:val="ro-RO"/>
        </w:rPr>
        <w:tab/>
      </w:r>
      <w:r w:rsidRPr="00331A2E">
        <w:rPr>
          <w:sz w:val="24"/>
          <w:lang w:val="ro-RO"/>
        </w:rPr>
        <w:t>Regulamentul (UE, Euratom) 2020/2093 al Consiliului din 17 decembrie 2020 de stabilire a cadrului financiar multianual pentru perioada 2021-2027 (JO L 433 I, 22.12.2020, p. 11).</w:t>
      </w:r>
    </w:p>
  </w:footnote>
  <w:footnote w:id="4">
    <w:p w:rsidR="00757390" w:rsidRPr="00331A2E" w:rsidRDefault="00757390" w:rsidP="00331A2E">
      <w:pPr>
        <w:pStyle w:val="FootnoteText"/>
        <w:ind w:left="567" w:hanging="567"/>
        <w:rPr>
          <w:sz w:val="24"/>
          <w:lang w:val="ro-RO"/>
        </w:rPr>
      </w:pPr>
      <w:r w:rsidRPr="00331A2E">
        <w:rPr>
          <w:rStyle w:val="FootnoteReference"/>
          <w:sz w:val="24"/>
          <w:lang w:val="ro-RO"/>
        </w:rPr>
        <w:footnoteRef/>
      </w:r>
      <w:r w:rsidR="00331A2E" w:rsidRPr="00331A2E">
        <w:rPr>
          <w:sz w:val="24"/>
          <w:lang w:val="ro-RO"/>
        </w:rPr>
        <w:t xml:space="preserve"> </w:t>
      </w:r>
      <w:r w:rsidR="00331A2E" w:rsidRPr="00331A2E">
        <w:rPr>
          <w:sz w:val="24"/>
          <w:lang w:val="ro-RO"/>
        </w:rPr>
        <w:tab/>
      </w:r>
      <w:r w:rsidRPr="00331A2E">
        <w:rPr>
          <w:sz w:val="24"/>
          <w:lang w:val="ro-RO"/>
        </w:rPr>
        <w:t>Regulamentul (UE) 2024/… al Parlamentului European și al Consiliului din … de instituire a Mecanismului pentru Ucraina (JO L, …, ELI: …).</w:t>
      </w:r>
    </w:p>
  </w:footnote>
  <w:footnote w:id="5">
    <w:p w:rsidR="00757390" w:rsidRPr="00331A2E" w:rsidRDefault="00757390" w:rsidP="00331A2E">
      <w:pPr>
        <w:pStyle w:val="FootnoteText"/>
        <w:ind w:left="567" w:hanging="567"/>
        <w:rPr>
          <w:sz w:val="24"/>
          <w:lang w:val="ro-RO"/>
        </w:rPr>
      </w:pPr>
      <w:r w:rsidRPr="00331A2E">
        <w:rPr>
          <w:rStyle w:val="FootnoteReference"/>
          <w:sz w:val="24"/>
          <w:lang w:val="ro-RO"/>
        </w:rPr>
        <w:t>+</w:t>
      </w:r>
      <w:r w:rsidR="00331A2E" w:rsidRPr="00331A2E">
        <w:rPr>
          <w:sz w:val="24"/>
          <w:lang w:val="ro-RO"/>
        </w:rPr>
        <w:t xml:space="preserve"> </w:t>
      </w:r>
      <w:r w:rsidR="00331A2E" w:rsidRPr="00331A2E">
        <w:rPr>
          <w:sz w:val="24"/>
          <w:lang w:val="ro-RO"/>
        </w:rPr>
        <w:tab/>
      </w:r>
      <w:r w:rsidRPr="00331A2E">
        <w:rPr>
          <w:sz w:val="24"/>
          <w:lang w:val="ro-RO"/>
        </w:rPr>
        <w:t>JO: a se introduce în text numărul regulamentului cuprins în documentul PE-CONS 10/24 [2023/0200(COD)], iar în nota de subsol numărul, data și referința de publicare în JO ale acestuia.</w:t>
      </w:r>
    </w:p>
  </w:footnote>
  <w:footnote w:id="6">
    <w:p w:rsidR="00757390" w:rsidRPr="00331A2E" w:rsidRDefault="00757390" w:rsidP="00331A2E">
      <w:pPr>
        <w:pStyle w:val="FootnoteText"/>
        <w:ind w:left="567" w:hanging="567"/>
        <w:rPr>
          <w:sz w:val="24"/>
          <w:lang w:val="ro-RO"/>
        </w:rPr>
      </w:pPr>
      <w:r w:rsidRPr="00331A2E">
        <w:rPr>
          <w:rStyle w:val="FootnoteReference"/>
          <w:sz w:val="24"/>
          <w:lang w:val="ro-RO"/>
        </w:rPr>
        <w:t>+</w:t>
      </w:r>
      <w:r w:rsidR="00331A2E" w:rsidRPr="00331A2E">
        <w:rPr>
          <w:sz w:val="24"/>
          <w:lang w:val="ro-RO"/>
        </w:rPr>
        <w:t xml:space="preserve"> </w:t>
      </w:r>
      <w:r w:rsidR="00331A2E" w:rsidRPr="00331A2E">
        <w:rPr>
          <w:sz w:val="24"/>
          <w:lang w:val="ro-RO"/>
        </w:rPr>
        <w:tab/>
      </w:r>
      <w:r w:rsidRPr="00331A2E">
        <w:rPr>
          <w:sz w:val="24"/>
          <w:lang w:val="ro-RO"/>
        </w:rPr>
        <w:t>JO: a se introduce în text numărul regulamentului cuprins în documentul PE‑CONS 10/24 [2023/0200(COD)].</w:t>
      </w:r>
    </w:p>
  </w:footnote>
  <w:footnote w:id="7">
    <w:p w:rsidR="00757390" w:rsidRPr="00331A2E" w:rsidRDefault="00757390" w:rsidP="00331A2E">
      <w:pPr>
        <w:pStyle w:val="FootnoteText"/>
        <w:ind w:left="567" w:hanging="567"/>
        <w:rPr>
          <w:sz w:val="24"/>
          <w:lang w:val="ro-RO"/>
        </w:rPr>
      </w:pPr>
      <w:r w:rsidRPr="00331A2E">
        <w:rPr>
          <w:rStyle w:val="FootnoteReference"/>
          <w:sz w:val="24"/>
          <w:lang w:val="ro-RO"/>
        </w:rPr>
        <w:t>+</w:t>
      </w:r>
      <w:r w:rsidR="00331A2E" w:rsidRPr="00331A2E">
        <w:rPr>
          <w:sz w:val="24"/>
          <w:lang w:val="ro-RO"/>
        </w:rPr>
        <w:t xml:space="preserve"> </w:t>
      </w:r>
      <w:r w:rsidR="00331A2E" w:rsidRPr="00331A2E">
        <w:rPr>
          <w:sz w:val="24"/>
          <w:lang w:val="ro-RO"/>
        </w:rPr>
        <w:tab/>
      </w:r>
      <w:r w:rsidRPr="00331A2E">
        <w:rPr>
          <w:sz w:val="24"/>
          <w:lang w:val="ro-RO"/>
        </w:rPr>
        <w:t>JO: a se introduce în text numărul regulamentului cuprins în documentul PE‑CONS 10/24 [2023/0200(COD)].</w:t>
      </w:r>
    </w:p>
  </w:footnote>
  <w:footnote w:id="8">
    <w:p w:rsidR="00757390" w:rsidRPr="00331A2E" w:rsidRDefault="00757390" w:rsidP="00331A2E">
      <w:pPr>
        <w:pStyle w:val="FootnoteText"/>
        <w:ind w:left="567" w:hanging="567"/>
        <w:rPr>
          <w:sz w:val="24"/>
          <w:lang w:val="ro-RO"/>
        </w:rPr>
      </w:pPr>
      <w:r w:rsidRPr="00331A2E">
        <w:rPr>
          <w:rStyle w:val="FootnoteReference"/>
          <w:sz w:val="24"/>
          <w:lang w:val="ro-RO"/>
        </w:rPr>
        <w:footnoteRef/>
      </w:r>
      <w:r w:rsidR="00331A2E" w:rsidRPr="00331A2E">
        <w:rPr>
          <w:sz w:val="24"/>
          <w:lang w:val="ro-RO"/>
        </w:rPr>
        <w:t xml:space="preserve"> </w:t>
      </w:r>
      <w:r w:rsidR="00331A2E" w:rsidRPr="00331A2E">
        <w:rPr>
          <w:sz w:val="24"/>
          <w:lang w:val="ro-RO"/>
        </w:rPr>
        <w:tab/>
      </w:r>
      <w:r w:rsidRPr="00331A2E">
        <w:rPr>
          <w:sz w:val="24"/>
          <w:lang w:val="ro-RO"/>
        </w:rPr>
        <w:t>Decizia (UE, Euratom) 2020/2053 a Consiliului din 14 decembrie 2020 privind sistemul de resurse proprii ale Uniunii Europene și de abrogare a Deciziei 2014/335/UE, Euratom (JO L 424, 15.12.2020, p. 1).</w:t>
      </w:r>
    </w:p>
  </w:footnote>
  <w:footnote w:id="9">
    <w:p w:rsidR="00757390" w:rsidRPr="00331A2E" w:rsidRDefault="00757390" w:rsidP="00331A2E">
      <w:pPr>
        <w:pStyle w:val="FootnoteText"/>
        <w:ind w:left="567" w:hanging="567"/>
        <w:rPr>
          <w:sz w:val="24"/>
          <w:lang w:val="ro-RO"/>
        </w:rPr>
      </w:pPr>
      <w:r w:rsidRPr="00331A2E">
        <w:rPr>
          <w:rStyle w:val="FootnoteReference"/>
          <w:sz w:val="24"/>
          <w:lang w:val="ro-RO"/>
        </w:rPr>
        <w:footnoteRef/>
      </w:r>
      <w:r w:rsidR="00331A2E" w:rsidRPr="00331A2E">
        <w:rPr>
          <w:sz w:val="24"/>
          <w:lang w:val="ro-RO"/>
        </w:rPr>
        <w:t xml:space="preserve"> </w:t>
      </w:r>
      <w:r w:rsidR="00331A2E" w:rsidRPr="00331A2E">
        <w:rPr>
          <w:sz w:val="24"/>
          <w:lang w:val="ro-RO"/>
        </w:rPr>
        <w:tab/>
      </w:r>
      <w:r w:rsidRPr="00331A2E">
        <w:rPr>
          <w:sz w:val="24"/>
          <w:lang w:val="ro-RO"/>
        </w:rPr>
        <w:t>Regulamentul (CE) nr. 2012/2002 al Consiliului din 11 noiembrie 2002 de instituire a Fondului de solidaritate al Uniunii Europene (JO L 311, 14.11.2002, p. 3).</w:t>
      </w:r>
    </w:p>
  </w:footnote>
  <w:footnote w:id="10">
    <w:p w:rsidR="00757390" w:rsidRPr="00331A2E" w:rsidRDefault="00757390" w:rsidP="00331A2E">
      <w:pPr>
        <w:pStyle w:val="FootnoteText"/>
        <w:ind w:left="567" w:hanging="567"/>
        <w:rPr>
          <w:sz w:val="24"/>
          <w:lang w:val="ro-RO"/>
        </w:rPr>
      </w:pPr>
      <w:r w:rsidRPr="00331A2E">
        <w:rPr>
          <w:rStyle w:val="FootnoteReference"/>
          <w:sz w:val="24"/>
          <w:lang w:val="ro-RO"/>
        </w:rPr>
        <w:t>+</w:t>
      </w:r>
      <w:r w:rsidR="00331A2E" w:rsidRPr="00331A2E">
        <w:rPr>
          <w:sz w:val="24"/>
          <w:lang w:val="ro-RO"/>
        </w:rPr>
        <w:t xml:space="preserve"> </w:t>
      </w:r>
      <w:r w:rsidR="00331A2E" w:rsidRPr="00331A2E">
        <w:rPr>
          <w:sz w:val="24"/>
          <w:lang w:val="ro-RO"/>
        </w:rPr>
        <w:tab/>
      </w:r>
      <w:r w:rsidRPr="00331A2E">
        <w:rPr>
          <w:sz w:val="24"/>
          <w:lang w:val="ro-RO"/>
        </w:rPr>
        <w:t>JO: a se introduce în text numărul regulamentului cuprins în documentul PE-CONS 10/24 [2023/0200(COD)], iar în nota de subsol numărul, data și referința de publicare în JO a respectivului regulament.</w:t>
      </w:r>
    </w:p>
  </w:footnote>
  <w:footnote w:id="11">
    <w:p w:rsidR="00757390" w:rsidRPr="00331A2E" w:rsidRDefault="00757390" w:rsidP="00331A2E">
      <w:pPr>
        <w:pStyle w:val="FootnoteText"/>
        <w:ind w:left="567" w:hanging="567"/>
        <w:rPr>
          <w:sz w:val="24"/>
          <w:lang w:val="ro-RO"/>
        </w:rPr>
      </w:pPr>
      <w:r w:rsidRPr="00331A2E">
        <w:rPr>
          <w:rStyle w:val="FootnoteReference"/>
          <w:sz w:val="24"/>
          <w:lang w:val="ro-RO"/>
        </w:rPr>
        <w:t>+</w:t>
      </w:r>
      <w:r w:rsidR="00331A2E" w:rsidRPr="00331A2E">
        <w:rPr>
          <w:sz w:val="24"/>
          <w:lang w:val="ro-RO"/>
        </w:rPr>
        <w:t xml:space="preserve"> </w:t>
      </w:r>
      <w:r w:rsidR="00331A2E" w:rsidRPr="00331A2E">
        <w:rPr>
          <w:sz w:val="24"/>
          <w:lang w:val="ro-RO"/>
        </w:rPr>
        <w:tab/>
      </w:r>
      <w:r w:rsidRPr="00331A2E">
        <w:rPr>
          <w:sz w:val="24"/>
          <w:lang w:val="ro-RO"/>
        </w:rPr>
        <w:t>JO: a se introduce în text numărul regulamentului cuprins în documentul PE‑CONS 10/24 [2023/0200(COD)].</w:t>
      </w:r>
    </w:p>
  </w:footnote>
  <w:footnote w:id="12">
    <w:p w:rsidR="00757390" w:rsidRPr="00331A2E" w:rsidRDefault="00757390" w:rsidP="00331A2E">
      <w:pPr>
        <w:pStyle w:val="FootnoteText"/>
        <w:ind w:left="567" w:hanging="567"/>
        <w:rPr>
          <w:sz w:val="24"/>
          <w:lang w:val="ro-RO"/>
        </w:rPr>
      </w:pPr>
      <w:r w:rsidRPr="00331A2E">
        <w:rPr>
          <w:rStyle w:val="FootnoteReference"/>
          <w:sz w:val="24"/>
          <w:lang w:val="ro-RO"/>
        </w:rPr>
        <w:footnoteRef/>
      </w:r>
      <w:r w:rsidR="00331A2E" w:rsidRPr="00331A2E">
        <w:rPr>
          <w:sz w:val="24"/>
          <w:lang w:val="ro-RO"/>
        </w:rPr>
        <w:t xml:space="preserve"> </w:t>
      </w:r>
      <w:r w:rsidR="00331A2E" w:rsidRPr="00331A2E">
        <w:rPr>
          <w:sz w:val="24"/>
          <w:lang w:val="ro-RO"/>
        </w:rPr>
        <w:tab/>
      </w:r>
      <w:r w:rsidRPr="00331A2E">
        <w:rPr>
          <w:sz w:val="24"/>
          <w:lang w:val="ro-RO"/>
        </w:rPr>
        <w:t xml:space="preserve">Declarația comună a Parlamentului European, a Consiliului și a Comisiei privind reutilizarea fondurilor dezangajate pentru programul de cercetare, 2020/C 444 I/03 </w:t>
      </w:r>
      <w:r w:rsidR="00D62458">
        <w:rPr>
          <w:sz w:val="24"/>
          <w:lang w:val="ro-RO"/>
        </w:rPr>
        <w:t>(</w:t>
      </w:r>
      <w:r w:rsidRPr="00331A2E">
        <w:rPr>
          <w:sz w:val="24"/>
          <w:lang w:val="ro-RO"/>
        </w:rPr>
        <w:t>JO C 444 I, 22.12.2020, p. 3</w:t>
      </w:r>
      <w:r w:rsidR="00D62458">
        <w:rPr>
          <w:sz w:val="24"/>
          <w:lang w:val="ro-RO"/>
        </w:rPr>
        <w:t>)</w:t>
      </w:r>
      <w:r w:rsidR="003C1743">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7390" w:rsidRPr="00331A2E" w:rsidRDefault="007573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7390" w:rsidRPr="00331A2E" w:rsidRDefault="007573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7390" w:rsidRPr="00331A2E" w:rsidRDefault="0075739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1A2E"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1A2E"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1A2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frame="1"/>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 w:numId="46">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1/2024"/>
    <w:docVar w:name="dvlangue" w:val="RO"/>
    <w:docVar w:name="dvnumam" w:val="0"/>
    <w:docVar w:name="dvpe" w:val="758.992"/>
    <w:docVar w:name="dvrapporteur" w:val="Raportor: "/>
    <w:docVar w:name="dvstar" w:val="***"/>
    <w:docVar w:name="dvtitre" w:val="Rezoluția legislativă a Parlamentului European din ... 2024 referitoare la proiectul de regulament al Consiliului de modificare a Regulamentului (UE, Euratom) 2020/2093 de stabilire a cadrului financiar multianual pentru perioada 2021-2027(05818/2024 – C9-0030/2024 – 2023/0201(APP))"/>
  </w:docVars>
  <w:rsids>
    <w:rsidRoot w:val="00702897"/>
    <w:rsid w:val="00002272"/>
    <w:rsid w:val="00064002"/>
    <w:rsid w:val="000677B9"/>
    <w:rsid w:val="000831BA"/>
    <w:rsid w:val="000A42CC"/>
    <w:rsid w:val="000E7DD9"/>
    <w:rsid w:val="0010095E"/>
    <w:rsid w:val="00125B37"/>
    <w:rsid w:val="00187494"/>
    <w:rsid w:val="001F32AE"/>
    <w:rsid w:val="002767FF"/>
    <w:rsid w:val="002B18FE"/>
    <w:rsid w:val="002B5493"/>
    <w:rsid w:val="00331A2E"/>
    <w:rsid w:val="00343214"/>
    <w:rsid w:val="00361C00"/>
    <w:rsid w:val="00395FA1"/>
    <w:rsid w:val="003C174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2897"/>
    <w:rsid w:val="00731ADD"/>
    <w:rsid w:val="00734777"/>
    <w:rsid w:val="00747932"/>
    <w:rsid w:val="00751A4A"/>
    <w:rsid w:val="00756632"/>
    <w:rsid w:val="00757390"/>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4C4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54AC"/>
    <w:rsid w:val="00C61C0C"/>
    <w:rsid w:val="00C941CB"/>
    <w:rsid w:val="00CC2357"/>
    <w:rsid w:val="00CF071A"/>
    <w:rsid w:val="00D058B8"/>
    <w:rsid w:val="00D56C11"/>
    <w:rsid w:val="00D62458"/>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6970E3"/>
  <w15:chartTrackingRefBased/>
  <w15:docId w15:val="{604FE35C-800B-48FD-80B1-F3F9BF271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symbolCarZchn"/>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57390"/>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757390"/>
    <w:pPr>
      <w:keepNext/>
      <w:spacing w:after="480"/>
      <w:jc w:val="center"/>
    </w:pPr>
    <w:rPr>
      <w:rFonts w:ascii="Arial" w:hAnsi="Arial" w:cs="Arial"/>
      <w:b/>
    </w:rPr>
  </w:style>
  <w:style w:type="paragraph" w:customStyle="1" w:styleId="NormalBold">
    <w:name w:val="NormalBold"/>
    <w:basedOn w:val="Normal"/>
    <w:rsid w:val="00757390"/>
    <w:rPr>
      <w:b/>
    </w:rPr>
  </w:style>
  <w:style w:type="paragraph" w:customStyle="1" w:styleId="NormalHanging12a">
    <w:name w:val="NormalHanging12a"/>
    <w:basedOn w:val="Normal"/>
    <w:rsid w:val="00757390"/>
    <w:pPr>
      <w:spacing w:after="240"/>
      <w:ind w:left="567" w:hanging="567"/>
    </w:pPr>
  </w:style>
  <w:style w:type="paragraph" w:customStyle="1" w:styleId="EPComma">
    <w:name w:val="EPComma"/>
    <w:basedOn w:val="Normal"/>
    <w:rsid w:val="00757390"/>
    <w:pPr>
      <w:spacing w:before="480" w:after="240"/>
    </w:pPr>
  </w:style>
  <w:style w:type="paragraph" w:styleId="Header">
    <w:name w:val="header"/>
    <w:basedOn w:val="Normal"/>
    <w:link w:val="HeaderChar"/>
    <w:rsid w:val="00757390"/>
    <w:pPr>
      <w:tabs>
        <w:tab w:val="center" w:pos="4513"/>
        <w:tab w:val="right" w:pos="9026"/>
      </w:tabs>
    </w:pPr>
  </w:style>
  <w:style w:type="character" w:customStyle="1" w:styleId="HeaderChar">
    <w:name w:val="Header Char"/>
    <w:basedOn w:val="DefaultParagraphFont"/>
    <w:link w:val="Header"/>
    <w:rsid w:val="00757390"/>
    <w:rPr>
      <w:sz w:val="24"/>
      <w:lang w:val="ro-RO"/>
    </w:rPr>
  </w:style>
  <w:style w:type="paragraph" w:customStyle="1" w:styleId="EPFooter">
    <w:name w:val="EPFooter"/>
    <w:basedOn w:val="Normal"/>
    <w:rsid w:val="00757390"/>
    <w:pPr>
      <w:tabs>
        <w:tab w:val="center" w:pos="4535"/>
        <w:tab w:val="right" w:pos="9071"/>
      </w:tabs>
      <w:spacing w:before="240" w:after="240"/>
    </w:pPr>
    <w:rPr>
      <w:color w:val="010000"/>
      <w:sz w:val="22"/>
    </w:rPr>
  </w:style>
  <w:style w:type="paragraph" w:customStyle="1" w:styleId="Text1">
    <w:name w:val="Text 1"/>
    <w:basedOn w:val="Normal"/>
    <w:rsid w:val="00757390"/>
    <w:pPr>
      <w:widowControl/>
      <w:spacing w:before="120" w:after="120" w:line="360" w:lineRule="auto"/>
      <w:ind w:left="850"/>
    </w:pPr>
    <w:rPr>
      <w:rFonts w:eastAsiaTheme="minorHAnsi"/>
      <w:szCs w:val="22"/>
      <w:lang w:eastAsia="en-US"/>
    </w:rPr>
  </w:style>
  <w:style w:type="paragraph" w:customStyle="1" w:styleId="Text2">
    <w:name w:val="Text 2"/>
    <w:basedOn w:val="Normal"/>
    <w:rsid w:val="00757390"/>
    <w:pPr>
      <w:widowControl/>
      <w:spacing w:before="120" w:after="120" w:line="360" w:lineRule="auto"/>
      <w:ind w:left="1417"/>
    </w:pPr>
    <w:rPr>
      <w:rFonts w:eastAsiaTheme="minorHAnsi"/>
      <w:szCs w:val="22"/>
      <w:lang w:eastAsia="en-US"/>
    </w:rPr>
  </w:style>
  <w:style w:type="paragraph" w:customStyle="1" w:styleId="NormalCentered">
    <w:name w:val="Normal Centered"/>
    <w:basedOn w:val="Normal"/>
    <w:rsid w:val="00757390"/>
    <w:pPr>
      <w:widowControl/>
      <w:spacing w:before="120" w:after="120" w:line="360" w:lineRule="auto"/>
      <w:jc w:val="center"/>
    </w:pPr>
    <w:rPr>
      <w:rFonts w:eastAsiaTheme="minorHAnsi"/>
      <w:szCs w:val="22"/>
      <w:lang w:eastAsia="en-US"/>
    </w:rPr>
  </w:style>
  <w:style w:type="paragraph" w:customStyle="1" w:styleId="NormalRight">
    <w:name w:val="Normal Right"/>
    <w:basedOn w:val="Normal"/>
    <w:rsid w:val="00757390"/>
    <w:pPr>
      <w:widowControl/>
      <w:spacing w:before="120" w:after="120" w:line="360" w:lineRule="auto"/>
      <w:jc w:val="right"/>
    </w:pPr>
    <w:rPr>
      <w:rFonts w:eastAsiaTheme="minorHAnsi"/>
      <w:szCs w:val="22"/>
      <w:lang w:eastAsia="en-US"/>
    </w:rPr>
  </w:style>
  <w:style w:type="paragraph" w:customStyle="1" w:styleId="Point0">
    <w:name w:val="Point 0"/>
    <w:basedOn w:val="Normal"/>
    <w:rsid w:val="00757390"/>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757390"/>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757390"/>
    <w:pPr>
      <w:widowControl/>
      <w:spacing w:before="120" w:after="120" w:line="360" w:lineRule="auto"/>
      <w:ind w:left="1984" w:hanging="567"/>
    </w:pPr>
    <w:rPr>
      <w:rFonts w:eastAsiaTheme="minorHAnsi"/>
      <w:szCs w:val="22"/>
      <w:lang w:eastAsia="en-US"/>
    </w:rPr>
  </w:style>
  <w:style w:type="paragraph" w:customStyle="1" w:styleId="Tiret2">
    <w:name w:val="Tiret 2"/>
    <w:basedOn w:val="Normal"/>
    <w:rsid w:val="00757390"/>
    <w:pPr>
      <w:widowControl/>
      <w:numPr>
        <w:numId w:val="45"/>
      </w:numPr>
      <w:spacing w:before="120" w:after="120" w:line="360" w:lineRule="auto"/>
    </w:pPr>
    <w:rPr>
      <w:rFonts w:eastAsiaTheme="minorHAnsi"/>
      <w:szCs w:val="22"/>
      <w:lang w:eastAsia="en-US"/>
    </w:rPr>
  </w:style>
  <w:style w:type="paragraph" w:customStyle="1" w:styleId="Fait">
    <w:name w:val="Fait à"/>
    <w:basedOn w:val="Normal"/>
    <w:next w:val="Institutionquisigne"/>
    <w:rsid w:val="00757390"/>
    <w:pPr>
      <w:keepNext/>
      <w:widowControl/>
      <w:spacing w:before="120" w:line="360" w:lineRule="auto"/>
    </w:pPr>
    <w:rPr>
      <w:rFonts w:eastAsiaTheme="minorHAnsi"/>
      <w:szCs w:val="22"/>
      <w:lang w:eastAsia="en-US"/>
    </w:rPr>
  </w:style>
  <w:style w:type="paragraph" w:customStyle="1" w:styleId="Applicationdirecte">
    <w:name w:val="Application directe"/>
    <w:basedOn w:val="Normal"/>
    <w:next w:val="Fait"/>
    <w:rsid w:val="00757390"/>
    <w:pPr>
      <w:widowControl/>
      <w:spacing w:before="480" w:after="120" w:line="360" w:lineRule="auto"/>
    </w:pPr>
    <w:rPr>
      <w:rFonts w:eastAsiaTheme="minorHAnsi"/>
      <w:szCs w:val="22"/>
      <w:lang w:eastAsia="en-US"/>
    </w:rPr>
  </w:style>
  <w:style w:type="paragraph" w:customStyle="1" w:styleId="Titreobjet">
    <w:name w:val="Titre objet"/>
    <w:basedOn w:val="Normal"/>
    <w:next w:val="Normal"/>
    <w:rsid w:val="00757390"/>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757390"/>
    <w:pPr>
      <w:widowControl/>
      <w:spacing w:before="360" w:line="360" w:lineRule="auto"/>
      <w:jc w:val="center"/>
    </w:pPr>
    <w:rPr>
      <w:rFonts w:eastAsiaTheme="minorHAnsi"/>
      <w:b/>
      <w:szCs w:val="22"/>
      <w:lang w:eastAsia="en-US"/>
    </w:rPr>
  </w:style>
  <w:style w:type="paragraph" w:customStyle="1" w:styleId="Institutionquisigne">
    <w:name w:val="Institution qui signe"/>
    <w:basedOn w:val="Normal"/>
    <w:next w:val="Personnequisigne"/>
    <w:rsid w:val="00757390"/>
    <w:pPr>
      <w:keepNext/>
      <w:widowControl/>
      <w:tabs>
        <w:tab w:val="left" w:pos="5669"/>
      </w:tabs>
      <w:spacing w:before="720" w:line="360" w:lineRule="auto"/>
    </w:pPr>
    <w:rPr>
      <w:rFonts w:eastAsiaTheme="minorHAnsi"/>
      <w:i/>
      <w:szCs w:val="22"/>
      <w:lang w:eastAsia="en-US"/>
    </w:rPr>
  </w:style>
  <w:style w:type="paragraph" w:customStyle="1" w:styleId="Titrearticle">
    <w:name w:val="Titre article"/>
    <w:basedOn w:val="Normal"/>
    <w:next w:val="Normal"/>
    <w:rsid w:val="00757390"/>
    <w:pPr>
      <w:keepNext/>
      <w:widowControl/>
      <w:spacing w:before="360" w:after="120" w:line="360" w:lineRule="auto"/>
      <w:jc w:val="center"/>
    </w:pPr>
    <w:rPr>
      <w:rFonts w:eastAsiaTheme="minorHAnsi"/>
      <w:i/>
      <w:szCs w:val="22"/>
      <w:lang w:eastAsia="en-US"/>
    </w:rPr>
  </w:style>
  <w:style w:type="paragraph" w:customStyle="1" w:styleId="Formuledadoption">
    <w:name w:val="Formule d'adoption"/>
    <w:basedOn w:val="Normal"/>
    <w:next w:val="Titrearticle"/>
    <w:rsid w:val="00757390"/>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757390"/>
    <w:pPr>
      <w:keepNext/>
      <w:widowControl/>
      <w:spacing w:before="600" w:after="120" w:line="360" w:lineRule="auto"/>
    </w:pPr>
    <w:rPr>
      <w:rFonts w:eastAsiaTheme="minorHAnsi"/>
      <w:szCs w:val="22"/>
      <w:lang w:eastAsia="en-US"/>
    </w:rPr>
  </w:style>
  <w:style w:type="paragraph" w:customStyle="1" w:styleId="Personnequisigne">
    <w:name w:val="Personne qui signe"/>
    <w:basedOn w:val="Normal"/>
    <w:next w:val="Institutionquisigne"/>
    <w:rsid w:val="00757390"/>
    <w:pPr>
      <w:widowControl/>
      <w:tabs>
        <w:tab w:val="left" w:pos="5669"/>
      </w:tabs>
      <w:spacing w:line="360" w:lineRule="auto"/>
    </w:pPr>
    <w:rPr>
      <w:rFonts w:eastAsiaTheme="minorHAnsi"/>
      <w:i/>
      <w:szCs w:val="22"/>
      <w:lang w:eastAsia="en-US"/>
    </w:rPr>
  </w:style>
  <w:style w:type="paragraph" w:customStyle="1" w:styleId="ManualConsidrant">
    <w:name w:val="Manual Considérant"/>
    <w:basedOn w:val="Normal"/>
    <w:rsid w:val="00757390"/>
    <w:pPr>
      <w:widowControl/>
      <w:spacing w:before="120" w:after="120" w:line="360" w:lineRule="auto"/>
      <w:ind w:left="850" w:hanging="850"/>
    </w:pPr>
    <w:rPr>
      <w:rFonts w:eastAsiaTheme="minorHAnsi"/>
      <w:szCs w:val="22"/>
      <w:lang w:eastAsia="en-US"/>
    </w:rPr>
  </w:style>
  <w:style w:type="paragraph" w:customStyle="1" w:styleId="Typedudocument">
    <w:name w:val="Type du document"/>
    <w:basedOn w:val="Normal"/>
    <w:next w:val="Datedadoption"/>
    <w:rsid w:val="00757390"/>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757390"/>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757390"/>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Annexetitre">
    <w:name w:val="Annexe titre"/>
    <w:basedOn w:val="Normal"/>
    <w:next w:val="Normal"/>
    <w:rsid w:val="00757390"/>
    <w:pPr>
      <w:widowControl/>
      <w:spacing w:before="120" w:after="120" w:line="360" w:lineRule="auto"/>
      <w:jc w:val="center"/>
    </w:pPr>
    <w:rPr>
      <w:rFonts w:eastAsiaTheme="minorHAnsi"/>
      <w:b/>
      <w:szCs w:val="22"/>
      <w:u w:val="single"/>
      <w:lang w:eastAsia="en-US"/>
    </w:rPr>
  </w:style>
  <w:style w:type="paragraph" w:styleId="NormalWeb">
    <w:name w:val="Normal (Web)"/>
    <w:basedOn w:val="Normal"/>
    <w:uiPriority w:val="99"/>
    <w:unhideWhenUsed/>
    <w:rsid w:val="00757390"/>
    <w:pPr>
      <w:widowControl/>
      <w:spacing w:before="100" w:beforeAutospacing="1" w:after="100" w:afterAutospacing="1"/>
    </w:pPr>
    <w:rPr>
      <w:szCs w:val="24"/>
      <w:lang w:eastAsia="en-IE"/>
    </w:rPr>
  </w:style>
  <w:style w:type="paragraph" w:customStyle="1" w:styleId="Normal24a">
    <w:name w:val="Normal24a"/>
    <w:basedOn w:val="Normal"/>
    <w:rsid w:val="00757390"/>
    <w:pPr>
      <w:spacing w:after="480"/>
    </w:pPr>
  </w:style>
  <w:style w:type="paragraph" w:customStyle="1" w:styleId="NormalBoldCenter">
    <w:name w:val="NormalBoldCenter"/>
    <w:basedOn w:val="Normal"/>
    <w:rsid w:val="00757390"/>
    <w:pPr>
      <w:jc w:val="center"/>
    </w:pPr>
    <w:rPr>
      <w:b/>
    </w:r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link w:val="FootnoteReference"/>
    <w:uiPriority w:val="99"/>
    <w:qFormat/>
    <w:rsid w:val="00757390"/>
    <w:pPr>
      <w:widowControl/>
      <w:spacing w:after="160" w:line="240" w:lineRule="exact"/>
      <w:jc w:val="both"/>
    </w:pPr>
    <w:rPr>
      <w:sz w:val="20"/>
      <w:vertAlign w:val="superscript"/>
      <w:lang w:val="en-GB"/>
    </w:rPr>
  </w:style>
  <w:style w:type="character" w:customStyle="1" w:styleId="Bodytext1">
    <w:name w:val="Body text|1_"/>
    <w:basedOn w:val="DefaultParagraphFont"/>
    <w:link w:val="Bodytext10"/>
    <w:rsid w:val="00757390"/>
    <w:rPr>
      <w:color w:val="231F20"/>
      <w:sz w:val="19"/>
      <w:szCs w:val="19"/>
    </w:rPr>
  </w:style>
  <w:style w:type="paragraph" w:customStyle="1" w:styleId="Bodytext10">
    <w:name w:val="Body text|1"/>
    <w:basedOn w:val="Normal"/>
    <w:link w:val="Bodytext1"/>
    <w:rsid w:val="00757390"/>
    <w:pPr>
      <w:spacing w:after="360"/>
    </w:pPr>
    <w:rPr>
      <w:color w:val="231F20"/>
      <w:sz w:val="19"/>
      <w:szCs w:val="19"/>
      <w:lang w:val="en-GB"/>
    </w:rPr>
  </w:style>
  <w:style w:type="paragraph" w:styleId="Footer">
    <w:name w:val="footer"/>
    <w:basedOn w:val="Normal"/>
    <w:link w:val="FooterChar"/>
    <w:rsid w:val="00D62458"/>
    <w:pPr>
      <w:tabs>
        <w:tab w:val="center" w:pos="4513"/>
        <w:tab w:val="right" w:pos="9026"/>
      </w:tabs>
    </w:pPr>
  </w:style>
  <w:style w:type="character" w:customStyle="1" w:styleId="FooterChar">
    <w:name w:val="Footer Char"/>
    <w:basedOn w:val="DefaultParagraphFont"/>
    <w:link w:val="Footer"/>
    <w:rsid w:val="00D62458"/>
    <w:rPr>
      <w:sz w:val="24"/>
      <w:lang w:val="ro-RO"/>
    </w:rPr>
  </w:style>
  <w:style w:type="paragraph" w:styleId="BalloonText">
    <w:name w:val="Balloon Text"/>
    <w:basedOn w:val="Normal"/>
    <w:link w:val="BalloonTextChar"/>
    <w:rsid w:val="00994C43"/>
    <w:rPr>
      <w:rFonts w:ascii="Segoe UI" w:hAnsi="Segoe UI" w:cs="Segoe UI"/>
      <w:sz w:val="18"/>
      <w:szCs w:val="18"/>
    </w:rPr>
  </w:style>
  <w:style w:type="character" w:customStyle="1" w:styleId="BalloonTextChar">
    <w:name w:val="Balloon Text Char"/>
    <w:basedOn w:val="DefaultParagraphFont"/>
    <w:link w:val="BalloonText"/>
    <w:rsid w:val="00994C43"/>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62089-F4D3-4636-A0E5-78AC2A085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4488</Words>
  <Characters>25617</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RELF</dc:creator>
  <cp:keywords/>
  <cp:lastModifiedBy>GHERMAN Laura</cp:lastModifiedBy>
  <cp:revision>2</cp:revision>
  <cp:lastPrinted>2004-11-19T15:42:00Z</cp:lastPrinted>
  <dcterms:created xsi:type="dcterms:W3CDTF">2024-02-27T11:27:00Z</dcterms:created>
  <dcterms:modified xsi:type="dcterms:W3CDTF">2024-02-27T11:27:00Z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A9-0051/2024</vt:lpwstr>
  </property>
  <property fmtid="{D5CDD505-2E9C-101B-9397-08002B2CF9AE}" pid="4" name="&lt;Type&gt;">
    <vt:lpwstr>RR</vt:lpwstr>
  </property>
</Properties>
</file>