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90161" w:rsidTr="0010095E">
        <w:trPr>
          <w:trHeight w:hRule="exact" w:val="1418"/>
        </w:trPr>
        <w:tc>
          <w:tcPr>
            <w:tcW w:w="6804" w:type="dxa"/>
            <w:shd w:val="clear" w:color="auto" w:fill="auto"/>
            <w:vAlign w:val="center"/>
          </w:tcPr>
          <w:p w:rsidR="00751A4A" w:rsidRPr="00C90161" w:rsidRDefault="00CC77BE" w:rsidP="0010095E">
            <w:pPr>
              <w:pStyle w:val="EPName"/>
            </w:pPr>
            <w:r w:rsidRPr="00C90161">
              <w:t>Európsky parlament</w:t>
            </w:r>
          </w:p>
          <w:p w:rsidR="00751A4A" w:rsidRPr="00C90161" w:rsidRDefault="00817416" w:rsidP="00756632">
            <w:pPr>
              <w:pStyle w:val="EPTerm"/>
              <w:rPr>
                <w:rStyle w:val="HideTWBExt"/>
                <w:noProof w:val="0"/>
                <w:vanish w:val="0"/>
                <w:color w:val="auto"/>
              </w:rPr>
            </w:pPr>
            <w:r w:rsidRPr="00C90161">
              <w:t>2019-2024</w:t>
            </w:r>
          </w:p>
        </w:tc>
        <w:tc>
          <w:tcPr>
            <w:tcW w:w="2268" w:type="dxa"/>
            <w:shd w:val="clear" w:color="auto" w:fill="auto"/>
          </w:tcPr>
          <w:p w:rsidR="00751A4A" w:rsidRPr="00C90161" w:rsidRDefault="00187494" w:rsidP="0010095E">
            <w:pPr>
              <w:pStyle w:val="EPLogo"/>
            </w:pPr>
            <w:r w:rsidRPr="00C9016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90161" w:rsidRDefault="00D058B8" w:rsidP="004C5D52">
      <w:pPr>
        <w:pStyle w:val="LineTop"/>
      </w:pPr>
    </w:p>
    <w:p w:rsidR="00680577" w:rsidRPr="00C90161" w:rsidRDefault="00CC77BE" w:rsidP="00680577">
      <w:pPr>
        <w:pStyle w:val="EPBodyTA1"/>
      </w:pPr>
      <w:r w:rsidRPr="00C90161">
        <w:t>PRIJATÉ TEXTY</w:t>
      </w:r>
    </w:p>
    <w:p w:rsidR="00D058B8" w:rsidRPr="00C90161" w:rsidRDefault="00D058B8" w:rsidP="00D058B8">
      <w:pPr>
        <w:pStyle w:val="LineBottom"/>
      </w:pPr>
    </w:p>
    <w:p w:rsidR="00CC77BE" w:rsidRPr="00C90161" w:rsidRDefault="00CC77BE" w:rsidP="00CC77BE">
      <w:pPr>
        <w:pStyle w:val="ATHeading1"/>
      </w:pPr>
      <w:bookmarkStart w:id="0" w:name="TANumber"/>
      <w:r w:rsidRPr="00C90161">
        <w:t>P9_TA(2024)00</w:t>
      </w:r>
      <w:r w:rsidR="00D94635" w:rsidRPr="00C90161">
        <w:t>81</w:t>
      </w:r>
      <w:bookmarkEnd w:id="0"/>
    </w:p>
    <w:p w:rsidR="00CC77BE" w:rsidRPr="00C90161" w:rsidRDefault="00CC77BE" w:rsidP="00CC77BE">
      <w:pPr>
        <w:pStyle w:val="ATHeading2"/>
      </w:pPr>
      <w:bookmarkStart w:id="1" w:name="title"/>
      <w:r w:rsidRPr="00C90161">
        <w:t>Viacročný finančný rámec na roky 2021 až 2027</w:t>
      </w:r>
      <w:bookmarkEnd w:id="1"/>
    </w:p>
    <w:p w:rsidR="00CC77BE" w:rsidRPr="00C90161" w:rsidRDefault="00CC77BE" w:rsidP="00CC77BE">
      <w:pPr>
        <w:rPr>
          <w:i/>
          <w:vanish/>
        </w:rPr>
      </w:pPr>
      <w:r w:rsidRPr="00C90161">
        <w:rPr>
          <w:i/>
        </w:rPr>
        <w:fldChar w:fldCharType="begin"/>
      </w:r>
      <w:r w:rsidRPr="00C90161">
        <w:rPr>
          <w:i/>
        </w:rPr>
        <w:instrText xml:space="preserve"> TC"(</w:instrText>
      </w:r>
      <w:bookmarkStart w:id="2" w:name="DocNumber"/>
      <w:r w:rsidRPr="00C90161">
        <w:rPr>
          <w:i/>
        </w:rPr>
        <w:instrText>A9-0051/2024</w:instrText>
      </w:r>
      <w:bookmarkEnd w:id="2"/>
      <w:r w:rsidRPr="00C90161">
        <w:rPr>
          <w:i/>
        </w:rPr>
        <w:instrText xml:space="preserve"> - S</w:instrText>
      </w:r>
      <w:r w:rsidR="005B0B9C" w:rsidRPr="00C90161">
        <w:rPr>
          <w:i/>
        </w:rPr>
        <w:instrText>polus</w:instrText>
      </w:r>
      <w:r w:rsidRPr="00C90161">
        <w:rPr>
          <w:i/>
        </w:rPr>
        <w:instrText xml:space="preserve">pravodajcovia: Jan Olbrycht, Margarida Marques)"\l3 \n&gt; \* MERGEFORMAT </w:instrText>
      </w:r>
      <w:r w:rsidRPr="00C90161">
        <w:rPr>
          <w:i/>
        </w:rPr>
        <w:fldChar w:fldCharType="end"/>
      </w:r>
    </w:p>
    <w:p w:rsidR="00CC77BE" w:rsidRPr="00C90161" w:rsidRDefault="00CC77BE" w:rsidP="00CC77BE">
      <w:pPr>
        <w:rPr>
          <w:vanish/>
        </w:rPr>
      </w:pPr>
      <w:bookmarkStart w:id="3" w:name="Commission"/>
      <w:r w:rsidRPr="00C90161">
        <w:rPr>
          <w:vanish/>
        </w:rPr>
        <w:t>Výbor pre rozpočet</w:t>
      </w:r>
      <w:bookmarkEnd w:id="3"/>
    </w:p>
    <w:p w:rsidR="00CC77BE" w:rsidRPr="00C90161" w:rsidRDefault="00CC77BE" w:rsidP="00CC77BE">
      <w:pPr>
        <w:rPr>
          <w:vanish/>
        </w:rPr>
      </w:pPr>
      <w:bookmarkStart w:id="4" w:name="PE"/>
      <w:r w:rsidRPr="00C90161">
        <w:rPr>
          <w:vanish/>
        </w:rPr>
        <w:t>PE758.992</w:t>
      </w:r>
      <w:bookmarkEnd w:id="4"/>
    </w:p>
    <w:p w:rsidR="00CC77BE" w:rsidRPr="00C90161" w:rsidRDefault="00CC77BE" w:rsidP="00CC77BE">
      <w:pPr>
        <w:pStyle w:val="ATHeading3"/>
      </w:pPr>
      <w:bookmarkStart w:id="5" w:name="Sujet"/>
      <w:r w:rsidRPr="00C90161">
        <w:t xml:space="preserve">Legislatívne uznesenie Európskeho parlamentu z </w:t>
      </w:r>
      <w:r w:rsidR="005B0B9C" w:rsidRPr="00C90161">
        <w:t>27</w:t>
      </w:r>
      <w:r w:rsidRPr="00C90161">
        <w:t xml:space="preserve">. februára 2024 </w:t>
      </w:r>
      <w:r w:rsidR="00457EC9" w:rsidRPr="00C90161">
        <w:t>o</w:t>
      </w:r>
      <w:r w:rsidRPr="00C90161">
        <w:t xml:space="preserve"> návrhu nariadenia Rady, ktorým sa mení nariadenie (EÚ, </w:t>
      </w:r>
      <w:proofErr w:type="spellStart"/>
      <w:r w:rsidRPr="00C90161">
        <w:t>Euratom</w:t>
      </w:r>
      <w:proofErr w:type="spellEnd"/>
      <w:r w:rsidRPr="00C90161">
        <w:t>) 2020/2093, ktorým sa stanovuje viacročný finančný rámec na roky 2021 až 2027</w:t>
      </w:r>
      <w:bookmarkEnd w:id="5"/>
      <w:r w:rsidRPr="00C90161">
        <w:t xml:space="preserve"> </w:t>
      </w:r>
      <w:bookmarkStart w:id="6" w:name="References"/>
      <w:r w:rsidRPr="00C90161">
        <w:t>(05818/2024 – C9-0030/2024 – 2023/0201(APP))</w:t>
      </w:r>
      <w:bookmarkEnd w:id="6"/>
    </w:p>
    <w:p w:rsidR="00CC77BE" w:rsidRPr="00C90161" w:rsidRDefault="00CC77BE" w:rsidP="00CC77BE"/>
    <w:p w:rsidR="00FF2DB3" w:rsidRPr="00C90161" w:rsidRDefault="00FF2DB3" w:rsidP="00FF2DB3">
      <w:pPr>
        <w:pStyle w:val="NormalBold"/>
      </w:pPr>
      <w:bookmarkStart w:id="7" w:name="TextBodyBegin"/>
      <w:bookmarkEnd w:id="7"/>
      <w:r w:rsidRPr="00C90161">
        <w:t>(Mimoriadny legislatívny postup – súhlas)</w:t>
      </w:r>
    </w:p>
    <w:p w:rsidR="00FF2DB3" w:rsidRPr="00C90161" w:rsidRDefault="00FF2DB3" w:rsidP="00FF2DB3">
      <w:pPr>
        <w:pStyle w:val="EPComma"/>
      </w:pPr>
      <w:r w:rsidRPr="00C90161">
        <w:rPr>
          <w:i/>
        </w:rPr>
        <w:t>Európsky parlament</w:t>
      </w:r>
      <w:r w:rsidRPr="00C90161">
        <w:t>,</w:t>
      </w:r>
    </w:p>
    <w:p w:rsidR="00FF2DB3" w:rsidRPr="00C90161" w:rsidRDefault="00FF2DB3" w:rsidP="00FF2DB3">
      <w:pPr>
        <w:pStyle w:val="NormalHanging12a"/>
      </w:pPr>
      <w:r w:rsidRPr="00C90161">
        <w:t>–</w:t>
      </w:r>
      <w:r w:rsidRPr="00C90161">
        <w:tab/>
        <w:t xml:space="preserve">so zreteľom na návrh nariadenia Rady, ktorým sa mení nariadenie (EÚ, </w:t>
      </w:r>
      <w:proofErr w:type="spellStart"/>
      <w:r w:rsidRPr="00C90161">
        <w:t>Euratom</w:t>
      </w:r>
      <w:proofErr w:type="spellEnd"/>
      <w:r w:rsidRPr="00C90161">
        <w:t>) 2020/2093, ktorým sa stanovuje viacročný finančný rámec na roky 2021 až 2027 (05818/2024),</w:t>
      </w:r>
    </w:p>
    <w:p w:rsidR="00FF2DB3" w:rsidRPr="00C90161" w:rsidRDefault="00FF2DB3" w:rsidP="00FF2DB3">
      <w:pPr>
        <w:pStyle w:val="NormalHanging12a"/>
      </w:pPr>
      <w:r w:rsidRPr="00C90161">
        <w:t>–</w:t>
      </w:r>
      <w:r w:rsidRPr="00C90161">
        <w:tab/>
        <w:t>so zreteľom na žiadosť o udelenie súhlasu, ktorú Rada predložila v súlade s článkom 312 ods. 2 Zmluvy o fungovaní Európskej únie (C9-0030/2024),</w:t>
      </w:r>
    </w:p>
    <w:p w:rsidR="00FF2DB3" w:rsidRPr="00C90161" w:rsidRDefault="00FF2DB3" w:rsidP="00FF2DB3">
      <w:pPr>
        <w:pStyle w:val="NormalHanging12a"/>
      </w:pPr>
      <w:r w:rsidRPr="00C90161">
        <w:t>–</w:t>
      </w:r>
      <w:r w:rsidRPr="00C90161">
        <w:tab/>
        <w:t xml:space="preserve">so zreteľom na návrh Komisie z 20. júna 2023 na nariadenie Rady, ktorým sa mení nariadenie (EÚ, </w:t>
      </w:r>
      <w:proofErr w:type="spellStart"/>
      <w:r w:rsidRPr="00C90161">
        <w:t>Euratom</w:t>
      </w:r>
      <w:proofErr w:type="spellEnd"/>
      <w:r w:rsidRPr="00C90161">
        <w:t>) 2020/2093, ktorým sa stanovuje viacročný finančný rámec na roky 2021 až 2027 (COM(2023)0337),</w:t>
      </w:r>
    </w:p>
    <w:p w:rsidR="00FF2DB3" w:rsidRPr="00C90161" w:rsidRDefault="00FF2DB3" w:rsidP="00FF2DB3">
      <w:pPr>
        <w:pStyle w:val="NormalHanging12a"/>
        <w:rPr>
          <w:snapToGrid w:val="0"/>
          <w:szCs w:val="24"/>
        </w:rPr>
      </w:pPr>
      <w:r w:rsidRPr="00C90161">
        <w:t>–</w:t>
      </w:r>
      <w:r w:rsidRPr="00C90161">
        <w:tab/>
      </w:r>
      <w:r w:rsidRPr="00C90161">
        <w:rPr>
          <w:snapToGrid w:val="0"/>
        </w:rPr>
        <w:t>so zreteľom na svoje uznesenie z 3. októbra 2023 o návrhu revízie viacročného finančného rámca na roky 2021 – 2027 v polovici trvania</w:t>
      </w:r>
      <w:r w:rsidRPr="00C90161">
        <w:rPr>
          <w:snapToGrid w:val="0"/>
          <w:szCs w:val="24"/>
          <w:vertAlign w:val="superscript"/>
        </w:rPr>
        <w:footnoteReference w:id="1"/>
      </w:r>
      <w:r w:rsidRPr="00C90161">
        <w:rPr>
          <w:snapToGrid w:val="0"/>
        </w:rPr>
        <w:t>,</w:t>
      </w:r>
    </w:p>
    <w:p w:rsidR="00FF2DB3" w:rsidRPr="00C90161" w:rsidRDefault="00FF2DB3" w:rsidP="00FF2DB3">
      <w:pPr>
        <w:pStyle w:val="NormalHanging12a"/>
      </w:pPr>
      <w:r w:rsidRPr="00C90161">
        <w:t>–</w:t>
      </w:r>
      <w:r w:rsidRPr="00C90161">
        <w:tab/>
        <w:t>so zreteľom na článok 92 a článok 105 ods. 1 a 4 rokovacieho poriadku,</w:t>
      </w:r>
    </w:p>
    <w:p w:rsidR="00FF2DB3" w:rsidRPr="00C90161" w:rsidRDefault="00FF2DB3" w:rsidP="00FF2DB3">
      <w:pPr>
        <w:pStyle w:val="NormalHanging12a"/>
      </w:pPr>
      <w:r w:rsidRPr="00C90161">
        <w:t>–</w:t>
      </w:r>
      <w:r w:rsidRPr="00C90161">
        <w:tab/>
        <w:t>so zreteľom na odporúčanie Výboru pre rozpočet (A9-0051/2024),</w:t>
      </w:r>
    </w:p>
    <w:p w:rsidR="00FF2DB3" w:rsidRPr="00C90161" w:rsidRDefault="00FF2DB3" w:rsidP="00FF2DB3">
      <w:pPr>
        <w:pStyle w:val="NormalHanging12a"/>
      </w:pPr>
      <w:r w:rsidRPr="00C90161">
        <w:t>1.</w:t>
      </w:r>
      <w:r w:rsidRPr="00C90161">
        <w:tab/>
        <w:t>udeľuje súhlas s návrhom nariadenia Rady uvedeným v prílohe k tomuto uzneseniu;</w:t>
      </w:r>
    </w:p>
    <w:p w:rsidR="00FF2DB3" w:rsidRPr="00C90161" w:rsidRDefault="00FF2DB3" w:rsidP="00FF2DB3">
      <w:pPr>
        <w:pStyle w:val="NormalHanging12a"/>
      </w:pPr>
      <w:r w:rsidRPr="00C90161">
        <w:t>2.</w:t>
      </w:r>
      <w:r w:rsidRPr="00C90161">
        <w:tab/>
        <w:t>schvaľuje spoločné vyhlásenie Európskeho parlamentu, Rady a Komisie, ktoré je uvedené v prílohe k tomuto uzneseniu;</w:t>
      </w:r>
    </w:p>
    <w:p w:rsidR="00FF2DB3" w:rsidRPr="00C90161" w:rsidRDefault="00FF2DB3" w:rsidP="00FF2DB3">
      <w:pPr>
        <w:pStyle w:val="NormalHanging12a"/>
      </w:pPr>
      <w:r w:rsidRPr="00C90161">
        <w:t>3.</w:t>
      </w:r>
      <w:r w:rsidRPr="00C90161">
        <w:tab/>
        <w:t>poveruje svoju predsedníčku, aby postúpila túto pozíciu Rade, Komisii a národným parlamentom.</w:t>
      </w:r>
    </w:p>
    <w:p w:rsidR="00FF2DB3" w:rsidRPr="00C90161" w:rsidRDefault="00FF2DB3" w:rsidP="00FF2DB3">
      <w:pPr>
        <w:widowControl/>
      </w:pPr>
      <w:r w:rsidRPr="00C90161">
        <w:br w:type="page"/>
      </w:r>
    </w:p>
    <w:p w:rsidR="00FF2DB3" w:rsidRPr="00D6780D" w:rsidRDefault="00FF2DB3" w:rsidP="00FF2DB3">
      <w:pPr>
        <w:pStyle w:val="PageHeading"/>
        <w:rPr>
          <w:rFonts w:ascii="Times New Roman" w:hAnsi="Times New Roman" w:cs="Times New Roman"/>
          <w:caps/>
        </w:rPr>
      </w:pPr>
      <w:bookmarkStart w:id="8" w:name="_Toc159571399"/>
      <w:r w:rsidRPr="00D6780D">
        <w:rPr>
          <w:rFonts w:ascii="Times New Roman" w:hAnsi="Times New Roman" w:cs="Times New Roman"/>
          <w:caps/>
        </w:rPr>
        <w:lastRenderedPageBreak/>
        <w:t>PRÍLOHA 1</w:t>
      </w:r>
      <w:r w:rsidR="005B0B9C" w:rsidRPr="00D6780D">
        <w:rPr>
          <w:rFonts w:ascii="Times New Roman" w:hAnsi="Times New Roman" w:cs="Times New Roman"/>
          <w:caps/>
        </w:rPr>
        <w:t>:</w:t>
      </w:r>
      <w:r w:rsidRPr="00D6780D">
        <w:rPr>
          <w:rFonts w:ascii="Times New Roman" w:hAnsi="Times New Roman" w:cs="Times New Roman"/>
          <w:caps/>
        </w:rPr>
        <w:t xml:space="preserve"> Návrh NARIADENIA RADY, ktorým sa mení nariadenie </w:t>
      </w:r>
      <w:r w:rsidR="00D6780D" w:rsidRPr="00D6780D">
        <w:rPr>
          <w:rFonts w:ascii="Times New Roman" w:hAnsi="Times New Roman" w:cs="Times New Roman"/>
          <w:caps/>
        </w:rPr>
        <w:t xml:space="preserve">(EÚ, Euratom) </w:t>
      </w:r>
      <w:r w:rsidRPr="00D6780D">
        <w:rPr>
          <w:rFonts w:ascii="Times New Roman" w:hAnsi="Times New Roman" w:cs="Times New Roman"/>
          <w:caps/>
        </w:rPr>
        <w:t>2020/2093, ktorým sa stanovuje viacročný finančný rámec na roky 2021 až 2027</w:t>
      </w:r>
      <w:bookmarkEnd w:id="8"/>
    </w:p>
    <w:p w:rsidR="00FF2DB3" w:rsidRPr="00C90161" w:rsidRDefault="00FF2DB3" w:rsidP="0054227C">
      <w:pPr>
        <w:pStyle w:val="Typedudocument"/>
        <w:spacing w:before="840" w:after="240" w:line="240" w:lineRule="auto"/>
      </w:pPr>
      <w:r w:rsidRPr="00C90161">
        <w:t xml:space="preserve">NARIADENIE RADY (EÚ, </w:t>
      </w:r>
      <w:proofErr w:type="spellStart"/>
      <w:r w:rsidRPr="00C90161">
        <w:t>Euratom</w:t>
      </w:r>
      <w:proofErr w:type="spellEnd"/>
      <w:r w:rsidRPr="00C90161">
        <w:t>) 2024/…</w:t>
      </w:r>
    </w:p>
    <w:p w:rsidR="00FF2DB3" w:rsidRPr="00C90161" w:rsidRDefault="00FF2DB3" w:rsidP="00FF2DB3">
      <w:pPr>
        <w:pStyle w:val="Datedadoption"/>
        <w:spacing w:before="0" w:after="240" w:line="240" w:lineRule="auto"/>
      </w:pPr>
      <w:r w:rsidRPr="00C90161">
        <w:t>z ...</w:t>
      </w:r>
      <w:r w:rsidR="0054227C" w:rsidRPr="00C90161">
        <w:t>,</w:t>
      </w:r>
    </w:p>
    <w:p w:rsidR="00FF2DB3" w:rsidRPr="00C90161" w:rsidRDefault="00FF2DB3" w:rsidP="00FF2DB3">
      <w:pPr>
        <w:pStyle w:val="Titreobjet"/>
        <w:spacing w:before="0" w:after="240" w:line="240" w:lineRule="auto"/>
      </w:pPr>
      <w:r w:rsidRPr="00C90161">
        <w:t xml:space="preserve">ktorým sa mení nariadenie (EÚ, </w:t>
      </w:r>
      <w:proofErr w:type="spellStart"/>
      <w:r w:rsidRPr="00C90161">
        <w:t>Euratom</w:t>
      </w:r>
      <w:proofErr w:type="spellEnd"/>
      <w:r w:rsidRPr="00C90161">
        <w:t>) 2020/2093, ktorým sa stanovuje viacročný finančný rámec na roky 2021 až 2027</w:t>
      </w:r>
    </w:p>
    <w:p w:rsidR="00FF2DB3" w:rsidRPr="00C90161" w:rsidRDefault="00FF2DB3" w:rsidP="00FF2DB3">
      <w:pPr>
        <w:pStyle w:val="Institutionquiagit"/>
        <w:spacing w:after="240" w:line="240" w:lineRule="auto"/>
      </w:pPr>
      <w:r w:rsidRPr="00C90161">
        <w:t>RADA EURÓPSKEJ ÚNIE,</w:t>
      </w:r>
    </w:p>
    <w:p w:rsidR="00FF2DB3" w:rsidRPr="00C90161" w:rsidRDefault="006E5BD1" w:rsidP="00FF2DB3">
      <w:pPr>
        <w:spacing w:after="240"/>
      </w:pPr>
      <w:r w:rsidRPr="00C90161">
        <w:t>s</w:t>
      </w:r>
      <w:r w:rsidR="00FF2DB3" w:rsidRPr="00C90161">
        <w:t>o zreteľom na Zmluvu o fungovaní Európskej únie, najmä na jej článok 312,</w:t>
      </w:r>
    </w:p>
    <w:p w:rsidR="00FF2DB3" w:rsidRPr="00C90161" w:rsidRDefault="00FF2DB3" w:rsidP="00FF2DB3">
      <w:pPr>
        <w:spacing w:after="240"/>
      </w:pPr>
      <w:r w:rsidRPr="00C90161">
        <w:t>so zreteľom na Zmluvu o založení Európskeho spoločenstva pre atómovú energiu, a najmä na jej článok 106a,</w:t>
      </w:r>
    </w:p>
    <w:p w:rsidR="00FF2DB3" w:rsidRPr="00C90161" w:rsidRDefault="00FF2DB3" w:rsidP="00FF2DB3">
      <w:pPr>
        <w:spacing w:after="240"/>
      </w:pPr>
      <w:r w:rsidRPr="00C90161">
        <w:t>so zreteľom na návrh Európskej komisie,</w:t>
      </w:r>
    </w:p>
    <w:p w:rsidR="00FF2DB3" w:rsidRPr="00C90161" w:rsidRDefault="00FF2DB3" w:rsidP="00FF2DB3">
      <w:pPr>
        <w:spacing w:after="240"/>
      </w:pPr>
      <w:r w:rsidRPr="00C90161">
        <w:t>so zreteľom na súhlas Európskeho parlamentu</w:t>
      </w:r>
      <w:r w:rsidRPr="00C90161">
        <w:rPr>
          <w:rStyle w:val="FootnoteReference"/>
        </w:rPr>
        <w:footnoteReference w:id="2"/>
      </w:r>
      <w:r w:rsidRPr="00C90161">
        <w:t>,</w:t>
      </w:r>
    </w:p>
    <w:p w:rsidR="00FF2DB3" w:rsidRPr="00C90161" w:rsidRDefault="00FF2DB3" w:rsidP="00FF2DB3">
      <w:pPr>
        <w:spacing w:after="240"/>
      </w:pPr>
      <w:r w:rsidRPr="00C90161">
        <w:t>po predložení návrhu legislatívneho aktu národným parlamentom,</w:t>
      </w:r>
    </w:p>
    <w:p w:rsidR="00FF2DB3" w:rsidRPr="00C90161" w:rsidRDefault="00FF2DB3" w:rsidP="00FF2DB3">
      <w:pPr>
        <w:spacing w:after="240"/>
      </w:pPr>
      <w:r w:rsidRPr="00C90161">
        <w:t>konajúc v súlade s mimoriadnym legislatívnym postupom,</w:t>
      </w:r>
    </w:p>
    <w:p w:rsidR="00FF2DB3" w:rsidRPr="00C90161" w:rsidRDefault="00FF2DB3" w:rsidP="00FF2DB3">
      <w:pPr>
        <w:spacing w:after="240"/>
      </w:pPr>
      <w:r w:rsidRPr="00C90161">
        <w:br w:type="page"/>
      </w:r>
      <w:r w:rsidRPr="00C90161">
        <w:lastRenderedPageBreak/>
        <w:t>keďže:</w:t>
      </w:r>
    </w:p>
    <w:p w:rsidR="00FF2DB3" w:rsidRPr="00C90161" w:rsidRDefault="00FF2DB3" w:rsidP="00FF2DB3">
      <w:pPr>
        <w:pStyle w:val="ManualConsidrant"/>
        <w:spacing w:before="0" w:after="240" w:line="240" w:lineRule="auto"/>
      </w:pPr>
      <w:r w:rsidRPr="00C90161">
        <w:t>(1)</w:t>
      </w:r>
      <w:r w:rsidRPr="00C90161">
        <w:tab/>
        <w:t>Komisia predložila preskúmanie fungovania viacročného finančného rámca (</w:t>
      </w:r>
      <w:r w:rsidR="0054227C" w:rsidRPr="00C90161">
        <w:t>ďalej len „</w:t>
      </w:r>
      <w:r w:rsidRPr="00C90161">
        <w:t>VFR</w:t>
      </w:r>
      <w:r w:rsidR="0054227C" w:rsidRPr="00C90161">
        <w:t>“</w:t>
      </w:r>
      <w:r w:rsidRPr="00C90161">
        <w:t xml:space="preserve">) na roky 2021 až 2027 stanoveného v nariadení Rady (EÚ, </w:t>
      </w:r>
      <w:proofErr w:type="spellStart"/>
      <w:r w:rsidRPr="00C90161">
        <w:t>Euratom</w:t>
      </w:r>
      <w:proofErr w:type="spellEnd"/>
      <w:r w:rsidRPr="00C90161">
        <w:t>) 2020/2093</w:t>
      </w:r>
      <w:r w:rsidRPr="00C90161">
        <w:rPr>
          <w:rStyle w:val="FootnoteReference"/>
        </w:rPr>
        <w:footnoteReference w:id="3"/>
      </w:r>
      <w:r w:rsidRPr="00C90161">
        <w:t xml:space="preserve"> po prvých rokoch jeho vykonávania vrátane posúdenia udržateľnosti výdavkových stropov.</w:t>
      </w:r>
    </w:p>
    <w:p w:rsidR="00FF2DB3" w:rsidRPr="00C90161" w:rsidRDefault="00FF2DB3" w:rsidP="00FF2DB3">
      <w:pPr>
        <w:pStyle w:val="ManualConsidrant"/>
        <w:spacing w:before="0" w:after="240" w:line="240" w:lineRule="auto"/>
      </w:pPr>
      <w:r w:rsidRPr="00C90161">
        <w:t>(2)</w:t>
      </w:r>
      <w:r w:rsidRPr="00C90161">
        <w:tab/>
        <w:t>Od decembra 2020 Únia čelí sérii bezprecedentných a neočakávaných výziev. Únia konala rýchlo a využila všetky prostriedky, ktoré má k dispozícii, ale obmedzená rozpočtová flexibilita zakotvená vo VFR na roky 2021 až 2027 je takmer vyčerpaná, čo bráni schopnosti rozpočtu Únie riešiť aj tie najnaliehavejšie výzvy.</w:t>
      </w:r>
    </w:p>
    <w:p w:rsidR="00FF2DB3" w:rsidRPr="00C90161" w:rsidRDefault="00FF2DB3" w:rsidP="00FF2DB3">
      <w:pPr>
        <w:pStyle w:val="ManualConsidrant"/>
        <w:spacing w:before="0" w:after="240" w:line="240" w:lineRule="auto"/>
      </w:pPr>
      <w:r w:rsidRPr="00C90161">
        <w:t>(3)</w:t>
      </w:r>
      <w:r w:rsidRPr="00C90161">
        <w:tab/>
        <w:t>Osobitné nástroje sa v prvých rokoch vykonávania VFR vo veľkej miere využívali na riešenie viacerých výziev. Pretrváva potreba prijať ďalšie opatrenia, pričom rozpočtové možnosti na riešenie takýchto situácií v zostávajúcom období VFR sú obmedzené.</w:t>
      </w:r>
    </w:p>
    <w:p w:rsidR="00FF2DB3" w:rsidRPr="00C90161" w:rsidRDefault="00FF2DB3" w:rsidP="00FF2DB3">
      <w:pPr>
        <w:pStyle w:val="ManualConsidrant"/>
        <w:spacing w:before="0" w:after="240" w:line="240" w:lineRule="auto"/>
        <w:ind w:left="851" w:hanging="851"/>
      </w:pPr>
      <w:r w:rsidRPr="00C90161">
        <w:br w:type="page"/>
      </w:r>
      <w:r w:rsidRPr="00C90161">
        <w:lastRenderedPageBreak/>
        <w:t>(4)</w:t>
      </w:r>
      <w:r w:rsidRPr="00C90161">
        <w:tab/>
        <w:t xml:space="preserve">Rozpočet Únie by mal Únii umožniť poskytovať potrebné politické reakcie na vznikajúce výzvy a plniť právne záväzky, ktoré nemožno uspokojiť v rámci existujúcich stropov ani vyčerpanou flexibilitou. Výdavkové stropy v prípade viazaných rozpočtových prostriedkov pre okruhy 1, 2, 3, 4, 5 a 6 by sa preto mali na roky 2024, 2025, 2026 a 2027 upraviť. V dôsledku toho, hoci sa výdavkové stropy v prípade platobných rozpočtových prostriedkov môžu zachovať na súčasnej úrovni, </w:t>
      </w:r>
      <w:proofErr w:type="spellStart"/>
      <w:r w:rsidRPr="00C90161">
        <w:t>zastropovanie</w:t>
      </w:r>
      <w:proofErr w:type="spellEnd"/>
      <w:r w:rsidRPr="00C90161">
        <w:t xml:space="preserve"> platobných rozpočtových prostriedkov pre nástroj jednotnej rezervy na rok 2026 by sa malo upraviť, aby sa zabránilo riziku nahromadenia neuhradených platieb. Okrem toho by sa mala upraviť celková suma dodatočných pridelených rozpočtových prostriedkov v rámci úpravy špecifickej pre program stanovenej v článku 5</w:t>
      </w:r>
      <w:r w:rsidR="00EA267B" w:rsidRPr="00C90161">
        <w:t>,</w:t>
      </w:r>
      <w:r w:rsidRPr="00C90161">
        <w:t xml:space="preserve"> ako aj súvisiaca tabuľka v prílohe II k nariadeniu (EÚ, </w:t>
      </w:r>
      <w:proofErr w:type="spellStart"/>
      <w:r w:rsidRPr="00C90161">
        <w:t>Euratom</w:t>
      </w:r>
      <w:proofErr w:type="spellEnd"/>
      <w:r w:rsidRPr="00C90161">
        <w:t>) 2020/2093.</w:t>
      </w:r>
    </w:p>
    <w:p w:rsidR="00FF2DB3" w:rsidRPr="00C90161" w:rsidRDefault="00FF2DB3" w:rsidP="00FF2DB3">
      <w:pPr>
        <w:pStyle w:val="ManualConsidrant"/>
        <w:spacing w:before="0" w:after="240" w:line="240" w:lineRule="auto"/>
        <w:ind w:left="851" w:hanging="851"/>
      </w:pPr>
      <w:r w:rsidRPr="00C90161">
        <w:t>(5)</w:t>
      </w:r>
      <w:r w:rsidRPr="00C90161">
        <w:tab/>
        <w:t xml:space="preserve">Upraviť by sa mali aj sumy pre </w:t>
      </w:r>
      <w:proofErr w:type="spellStart"/>
      <w:r w:rsidRPr="00C90161">
        <w:t>pobrexitovú</w:t>
      </w:r>
      <w:proofErr w:type="spellEnd"/>
      <w:r w:rsidRPr="00C90161">
        <w:t xml:space="preserve"> adaptačnú rezervu a pre Európsky fond na prispôsobenie sa globalizácii.</w:t>
      </w:r>
    </w:p>
    <w:p w:rsidR="00FF2DB3" w:rsidRPr="00C90161" w:rsidRDefault="00FF2DB3" w:rsidP="00FF2DB3">
      <w:pPr>
        <w:pStyle w:val="ManualConsidrant"/>
        <w:spacing w:before="0" w:after="240" w:line="240" w:lineRule="auto"/>
        <w:ind w:left="851" w:hanging="851"/>
      </w:pPr>
      <w:r w:rsidRPr="00C90161">
        <w:t>(6)</w:t>
      </w:r>
      <w:r w:rsidRPr="00C90161">
        <w:tab/>
        <w:t>Protiprávna útočná vojna Ruska proti Ukrajine priniesla na európsku pôdu znova vojnu. Únia bude podporovať Ukrajinu dovtedy, kým to bude potrebné, a bude rozhodne pomáhať Ukrajine na jej ceste do Európy. Na tento účel prijali Európsky parlament a Rada nariadenie Európskeho parlamentu a Rady (EÚ) 2024/...</w:t>
      </w:r>
      <w:r w:rsidRPr="00C90161">
        <w:rPr>
          <w:rStyle w:val="FootnoteReference"/>
        </w:rPr>
        <w:footnoteReference w:id="4"/>
      </w:r>
      <w:r w:rsidRPr="00C90161">
        <w:rPr>
          <w:rStyle w:val="FootnoteReference"/>
        </w:rPr>
        <w:footnoteReference w:customMarkFollows="1" w:id="5"/>
        <w:t>+</w:t>
      </w:r>
      <w:r w:rsidRPr="00C90161">
        <w:t xml:space="preserve"> ako reakciu Únie na podporu </w:t>
      </w:r>
      <w:proofErr w:type="spellStart"/>
      <w:r w:rsidRPr="00C90161">
        <w:t>makrofinančnej</w:t>
      </w:r>
      <w:proofErr w:type="spellEnd"/>
      <w:r w:rsidRPr="00C90161">
        <w:t xml:space="preserve"> stability, obnovy a modernizácie Ukrajiny a zároveň na podporu reformného úsilia Ukrajiny v rámci jej cesty pristúpenia k Únii (</w:t>
      </w:r>
      <w:r w:rsidR="0054227C" w:rsidRPr="00C90161">
        <w:t xml:space="preserve">ďalej len </w:t>
      </w:r>
      <w:r w:rsidRPr="00C90161">
        <w:t>„Nástroj pre Ukrajinu“).</w:t>
      </w:r>
    </w:p>
    <w:p w:rsidR="00FF2DB3" w:rsidRPr="00C90161" w:rsidRDefault="00FF2DB3" w:rsidP="00FF2DB3">
      <w:pPr>
        <w:pStyle w:val="ManualConsidrant"/>
        <w:spacing w:before="0" w:after="240" w:line="240" w:lineRule="auto"/>
        <w:ind w:left="851" w:hanging="851"/>
      </w:pPr>
      <w:r w:rsidRPr="00C90161">
        <w:br w:type="page"/>
        <w:t>(7)</w:t>
      </w:r>
      <w:r w:rsidRPr="00C90161">
        <w:tab/>
        <w:t>Vzhľadom na neistotu spojenú s ruskou útočnou vojnou by mal byť Nástroj pre Ukrajinu flexibilným nástrojom na poskytovanie primeranej formy a úrovne podpory do roku 2027. Podpora v rámci Nástroja pre Ukrajinu by sa mala poskytovať vo forme úverov, nenávratnej podpory a tvorby rezerv na rozpočtové záruky.</w:t>
      </w:r>
    </w:p>
    <w:p w:rsidR="00FF2DB3" w:rsidRPr="00C90161" w:rsidRDefault="00FF2DB3" w:rsidP="00FF2DB3">
      <w:pPr>
        <w:pStyle w:val="ManualConsidrant"/>
        <w:spacing w:before="0" w:after="240" w:line="240" w:lineRule="auto"/>
      </w:pPr>
      <w:r w:rsidRPr="00C90161">
        <w:t>(8)</w:t>
      </w:r>
      <w:r w:rsidRPr="00C90161">
        <w:tab/>
        <w:t>Pokiaľ ide o časť podpory z Nástroja pre Ukrajinu poskytovanú vo forme úverov, je vhodné predĺžiť do roku 2027 existujúcu záruku z rozpočtu Únie na pokrytie finančnej pomoci, ktorá sa poskytuje Ukrajine. V dôsledku toho by malo byť možné mobilizovať potrebné rozpočtové prostriedky v rozpočte Únie nad rámec stropov VFR na finančnú pomoc Ukrajine, ktorá je k dispozícii do konca roka 2027. Okrem pokrytia krátkodobej finančnej pomoci Ukrajine, ktorá je už stanovená v nariadení (EÚ) 2022/2463</w:t>
      </w:r>
      <w:r w:rsidR="00EA267B" w:rsidRPr="00C90161">
        <w:t>,</w:t>
      </w:r>
      <w:r w:rsidRPr="00C90161">
        <w:t xml:space="preserve"> by mala záruka z rozpočtu Únie pokrývať finančnú pomoc Ukrajine vo výške do 33 miliárd EUR, ako sa uvádza v nariadení (EÚ) 2024/…</w:t>
      </w:r>
      <w:r w:rsidRPr="00C90161">
        <w:rPr>
          <w:rStyle w:val="FootnoteReference"/>
        </w:rPr>
        <w:footnoteReference w:customMarkFollows="1" w:id="6"/>
        <w:t>+</w:t>
      </w:r>
      <w:r w:rsidRPr="00C90161">
        <w:t>.</w:t>
      </w:r>
    </w:p>
    <w:p w:rsidR="00FF2DB3" w:rsidRPr="00C90161" w:rsidRDefault="00FF2DB3" w:rsidP="00FF2DB3">
      <w:pPr>
        <w:pStyle w:val="ManualConsidrant"/>
        <w:spacing w:before="0" w:after="240" w:line="240" w:lineRule="auto"/>
      </w:pPr>
      <w:r w:rsidRPr="00C90161">
        <w:br w:type="page"/>
        <w:t>(9)</w:t>
      </w:r>
      <w:r w:rsidRPr="00C90161">
        <w:tab/>
        <w:t>Pokiaľ ide o časť podpory z Nástroja pre Ukrajinu poskytovanú vo forme nenávratnej podpory a tvorby rezerv na rozpočtové záruky, rozpočtové prostriedky by sa mali poskytovať prostredníctvom nového tematického osobitného nástroja – „rezervy pre Ukrajinu“. Viazané rozpočtové prostriedky a zodpovedajúce platobné rozpočtové prostriedky by sa mali mobilizovať každoročne v rámci rozpočtového postupu stanoveného v článku 314 Zmluvy o fungovaní Európskej únie (</w:t>
      </w:r>
      <w:r w:rsidR="0054227C" w:rsidRPr="00C90161">
        <w:t>ďalej len „</w:t>
      </w:r>
      <w:r w:rsidRPr="00C90161">
        <w:t>ZFEÚ</w:t>
      </w:r>
      <w:r w:rsidR="0054227C" w:rsidRPr="00C90161">
        <w:t>“</w:t>
      </w:r>
      <w:r w:rsidRPr="00C90161">
        <w:t>) nad rámec stropov VFR. V záujme riadneho vývoja výdavkov, ktoré sa majú programovať podľa príslušných ustanovení nariadenia (EÚ) 2024/...</w:t>
      </w:r>
      <w:r w:rsidRPr="00C90161">
        <w:rPr>
          <w:rStyle w:val="FootnoteReference"/>
        </w:rPr>
        <w:footnoteReference w:customMarkFollows="1" w:id="7"/>
        <w:t>+</w:t>
      </w:r>
      <w:r w:rsidRPr="00C90161">
        <w:t xml:space="preserve"> a najmä vzhľadom na sumy, ktoré sa majú stanoviť v Pláne pre Ukrajinu, je vhodné stanoviť celkové a ročné maximálne sumy, ktoré sa môžu sprístupniť pre rezervu pre Ukrajinu na obdobie 2024 až 2027. S cieľom zabezpečiť úplné vykonávanie a flexibilitu medzi jednotlivými rokmi v súlade s celkovou sumou by malo byť možné v nasledujúcich rokoch až do roku 2027 využiť okrem maximálnej ročnej sumy na príslušný rok aj tú časť ročnej sumy, ktorá sa v danom roku nemobilizovala.</w:t>
      </w:r>
    </w:p>
    <w:p w:rsidR="00FF2DB3" w:rsidRPr="00C90161" w:rsidRDefault="00FF2DB3" w:rsidP="00FF2DB3">
      <w:pPr>
        <w:pStyle w:val="ManualConsidrant"/>
        <w:spacing w:before="0" w:after="240" w:line="240" w:lineRule="auto"/>
      </w:pPr>
      <w:r w:rsidRPr="00C90161">
        <w:br w:type="page"/>
        <w:t>(10)</w:t>
      </w:r>
      <w:r w:rsidRPr="00C90161">
        <w:tab/>
        <w:t xml:space="preserve">Od roku 2022 Únia a väčšina hlavných ekonomík zaznamenali prudký nárast úrokových sadzieb pre všetkých emitentov dlhopisov vrátane Únie. V dôsledku toho sa očakáva, že náklady na financovanie vypožičiavania si prostriedkov pre Nástroj Európskej únie na obnovu </w:t>
      </w:r>
      <w:proofErr w:type="spellStart"/>
      <w:r w:rsidRPr="00C90161">
        <w:t>NextGenerationEU</w:t>
      </w:r>
      <w:proofErr w:type="spellEnd"/>
      <w:r w:rsidRPr="00C90161">
        <w:t xml:space="preserve"> (</w:t>
      </w:r>
      <w:r w:rsidR="0054227C" w:rsidRPr="00C90161">
        <w:t xml:space="preserve">ďalej len </w:t>
      </w:r>
      <w:r w:rsidRPr="00C90161">
        <w:t xml:space="preserve">„nástroj EURI“), ktoré sa majú hradiť z rozpočtu Únie podľa článku 5 ods. 2 rozhodnutia Rady (EÚ, </w:t>
      </w:r>
      <w:proofErr w:type="spellStart"/>
      <w:r w:rsidRPr="00C90161">
        <w:t>Euratom</w:t>
      </w:r>
      <w:proofErr w:type="spellEnd"/>
      <w:r w:rsidRPr="00C90161">
        <w:t>) 2020/2053</w:t>
      </w:r>
      <w:r w:rsidRPr="00C90161">
        <w:rPr>
          <w:rStyle w:val="FootnoteReference"/>
        </w:rPr>
        <w:footnoteReference w:id="8"/>
      </w:r>
      <w:r w:rsidRPr="00C90161">
        <w:t>, prekročia odhady pôvodne naplánované v rámci stropov VFR v čase jeho prijatia v decembri 2020, ktoré predstavovali 2 332 miliónov EUR v roku 2025 (v cenách roku 2018), 3 196 miliónov EUR v roku 2026 (v cenách roku 2018) a 4 168 miliónov EUR v roku 2027 (v cenách roku 2018).</w:t>
      </w:r>
    </w:p>
    <w:p w:rsidR="00FF2DB3" w:rsidRPr="00C90161" w:rsidRDefault="00FF2DB3" w:rsidP="00FF2DB3">
      <w:pPr>
        <w:pStyle w:val="ManualConsidrant"/>
        <w:spacing w:before="0" w:after="240" w:line="240" w:lineRule="auto"/>
      </w:pPr>
      <w:r w:rsidRPr="00C90161">
        <w:t>(11)</w:t>
      </w:r>
      <w:r w:rsidRPr="00C90161">
        <w:tab/>
        <w:t>Vzhľadom na neistotu súvisiacu s budúcim vývojom úrokových sadzieb za meniacich sa trhových podmienok, ako aj na celkové potreby čerpania úverov na financovanie prebiehajúcich programov Únie financovaných z nástroja EURI je vhodné v rámci ustanovení potrebných na plynulý priebeh ročného rozpočtového postupu a zabezpečenie toho, aby boli k dispozícii finančné prostriedky, ktoré Únii umožnia plniť jej právne záväzky, stanoviť výnimočný a dočasný nástroj, ktorý bude časovo obmedzený na dobu platnosti súčasného VFR a ktorého cieľom bude pokrytie nákladov na financovanie vypožičiavania si prostriedkov pre nástroj EURI, ktoré presahujú pôvodne naplánované sumy. Mal by sa preto vytvoriť nový tematický osobitný nástroj – „nástroj EURI“, ktorého jediným cieľom bude pokrytie zostávajúcich prekročení nákladov. Tento nástroj by mal byť výnimočný a nemohol by slúžiť ako precedens pre budúce dojednania o VFR po roku 2027, najmä na pokrytie nákladov na platby úrokov z finančných prostriedkov vypožičaných na trhoch na financovanie nástroja EURI.</w:t>
      </w:r>
    </w:p>
    <w:p w:rsidR="00FF2DB3" w:rsidRPr="00C90161" w:rsidRDefault="00FF2DB3" w:rsidP="00FF2DB3">
      <w:pPr>
        <w:pStyle w:val="ManualConsidrant"/>
        <w:spacing w:before="0" w:after="240" w:line="240" w:lineRule="auto"/>
      </w:pPr>
      <w:r w:rsidRPr="00C90161">
        <w:br w:type="page"/>
        <w:t>(12)</w:t>
      </w:r>
      <w:r w:rsidRPr="00C90161">
        <w:tab/>
        <w:t>Rozpočtový orgán by mal mobilizovať nástroj EURI počas ročného rozpočtového postupu, len ak je to potrebné. Bez toho, aby boli dotknuté výsady rozpočtového orgánu by sa mal mobilizovať po tom, ako sa vyčerpajú iné možnosti financovania, okrem iného priestor vytvorený plnením rozpočtu programov a zmenou priorít, ako aj netematické osobitné nástroje, aby sa v čo najväčšej možnej miere pokryla podstatná časť potrebných súm presahujúcich sumy pôvodne zapísané v existujúcom rozpočtovom riadku EURI v okruhu 2b, a to s cieľom mobilizovať sumu rovnajúcu sa približne 50 % prekročenia nákladov na úrokové platby EURI ako referenčnej hodnoty. Uskutoční sa to v súlade s platnými sektorovými pravidlami a inými právnymi záväzkami a pri zohľadnení priorít, obozretného zostavenia rozpočtu a správneho finančného riadenia, ktoré si vyžadujú najmä primerané rezervy na nepredvídané udalosti. Vnútroštátne finančné prostriedky členských štátov, ktoré boli právne viazané, najmä sumy v rámci spoločnej poľnohospodárskej politiky a politiky súdržnosti, nebudú dotknuté. Viazané rozpočtové prostriedky a zodpovedajúce platobné rozpočtové prostriedky nástroja EURI v rozpočte Únie by sa mali sprístupniť nad rámec stropov VFR. V rámci nástroja EURI by sa najprv mala čerpať suma zodpovedajúca rozpočtovým prostriedkom, ktorých viazanosť bola od začiatku súčasného VFR zrušená, s výnimkou vonkajších pripísaných príjmov. Sumy rozpočtových prostriedkov, ktorých viazanosť bola zrušená a ktoré sa v súlade s existujúcimi príslušnými ustanoveniami opätovne sprístupnili, by sa nemali brať do úvahy. Sprístupnená suma uvoľnená zrušením jej viazanosti pre nástroj EURI, by sa mala každoročne vypočítať v rámci technickej úpravy VFR, pričom by sa mali jasne uviesť celkové disponibilné prostriedky a sumy, ktoré sa už zohľadnili pri predchádzajúcich mobilizáciách nástroja EURI. V prípade neočakávanej situácie, keď stále nedošlo k vyrovnaniu prekročenia, by sa v rámci nástroja EURI mala ako posledná možnosť mobilizovať potrebná dodatočná suma na úplné financovanie nákladov ako zabezpečovací mechanizmus. Ak sa vo výnimočných prípadoch jeden alebo viaceré členské štáty domnievajú, že v súvislosti s mobilizáciou zabezpečovacieho mechanizmu existujú vážne obavy, mohli by požiadať predsedu Európskej rady, aby túto záležitosť postúpil na nasledujúce zasadnutie Európskej rady. Tento proces by spravidla nemal trvať dlhšie ako jeden mesiac a mal by plne rešpektovať výsady inštitúcií stanovené v zmluvách.</w:t>
      </w:r>
    </w:p>
    <w:p w:rsidR="00FF2DB3" w:rsidRPr="00C90161" w:rsidRDefault="00FF2DB3" w:rsidP="00FF2DB3">
      <w:pPr>
        <w:pStyle w:val="ManualConsidrant"/>
        <w:spacing w:before="0" w:after="240" w:line="240" w:lineRule="auto"/>
      </w:pPr>
      <w:r w:rsidRPr="00C90161">
        <w:br w:type="page"/>
        <w:t>(13)</w:t>
      </w:r>
      <w:r w:rsidRPr="00C90161">
        <w:tab/>
        <w:t>Vzhľadom na prírodné katastrofy, ku ktorým došlo v členských štátoch a v krajinách zapojených do prístupových rokovaní s Úniou, a na prírodné katastrofy a humanitárne krízy v tretích krajinách a s cieľom zabezpečiť pre obidva prípady primerané finančné prostriedky by sa mala existujúca rezerva na solidaritu a núdzovú pomoc posilniť a rozdeliť na dva samostatné nástroje: „európsku rezervu na solidaritu“ na poskytovanie podpory postihnutým krajinám a regiónom v rámci Fondu solidarity Európskej únie zriadeného nariadením Rady (ES) č. 2012/2002</w:t>
      </w:r>
      <w:r w:rsidRPr="00C90161">
        <w:rPr>
          <w:rStyle w:val="FootnoteReference"/>
        </w:rPr>
        <w:footnoteReference w:id="9"/>
      </w:r>
      <w:r w:rsidRPr="00C90161">
        <w:t xml:space="preserve"> a „rezervu na núdzovú pomoc“ s cieľom zabezpečiť navýšenie rozpočtových prostriedkov na príslušné programy Únie v reakcii na krízy a núdzové situácie v rámci Únie aj mimo nej.</w:t>
      </w:r>
    </w:p>
    <w:p w:rsidR="00FF2DB3" w:rsidRPr="00C90161" w:rsidRDefault="00FF2DB3" w:rsidP="00FF2DB3">
      <w:pPr>
        <w:pStyle w:val="ManualConsidrant"/>
        <w:spacing w:before="0" w:after="240" w:line="240" w:lineRule="auto"/>
      </w:pPr>
      <w:r w:rsidRPr="00C90161">
        <w:t>(14)</w:t>
      </w:r>
      <w:r w:rsidRPr="00C90161">
        <w:tab/>
        <w:t>Nástroj flexibility by sa mal posilniť s cieľom zachovať dostatočnú kapacitu Únie reagovať na nepredvídané okolnosti do roku 2027. Od roku 2024 by sa pre nástroj flexibility mali sprístupniť prepadnuté sumy z európskej rezervy na solidaritu, ako aj z rezervy na núdzovú pomoc.</w:t>
      </w:r>
    </w:p>
    <w:p w:rsidR="00FF2DB3" w:rsidRPr="00C90161" w:rsidRDefault="00FF2DB3" w:rsidP="00FF2DB3">
      <w:pPr>
        <w:pStyle w:val="ManualConsidrant"/>
        <w:spacing w:before="0" w:after="240" w:line="240" w:lineRule="auto"/>
      </w:pPr>
      <w:r w:rsidRPr="00C90161">
        <w:t>(15)</w:t>
      </w:r>
      <w:r w:rsidRPr="00C90161">
        <w:tab/>
        <w:t xml:space="preserve">Vzhľadom na tieto neočakávané udalosti a nové výzvy je potrebné zrevidovať VFR, a preto by sa nariadenie (EÚ, </w:t>
      </w:r>
      <w:proofErr w:type="spellStart"/>
      <w:r w:rsidRPr="00C90161">
        <w:t>Euratom</w:t>
      </w:r>
      <w:proofErr w:type="spellEnd"/>
      <w:r w:rsidRPr="00C90161">
        <w:t>) 2020/2093 malo zodpovedajúcim spôsobom zmeniť.</w:t>
      </w:r>
    </w:p>
    <w:p w:rsidR="00FF2DB3" w:rsidRPr="00C90161" w:rsidRDefault="00FF2DB3" w:rsidP="00FF2DB3">
      <w:pPr>
        <w:pStyle w:val="ManualConsidrant"/>
        <w:spacing w:before="0" w:after="240" w:line="240" w:lineRule="auto"/>
      </w:pPr>
      <w:r w:rsidRPr="00C90161">
        <w:br w:type="page"/>
        <w:t>(16)</w:t>
      </w:r>
      <w:r w:rsidRPr="00C90161">
        <w:tab/>
        <w:t xml:space="preserve">Zmenami nariadenia (EÚ, </w:t>
      </w:r>
      <w:proofErr w:type="spellStart"/>
      <w:r w:rsidRPr="00C90161">
        <w:t>Euratom</w:t>
      </w:r>
      <w:proofErr w:type="spellEnd"/>
      <w:r w:rsidRPr="00C90161">
        <w:t xml:space="preserve">) 2020/2093 nie je dotknutá povinnosť dodržiavať stropy vlastných zdrojov stanovené v článku 3 ods. 1 a článku 6 rozhodnutia (EÚ, </w:t>
      </w:r>
      <w:proofErr w:type="spellStart"/>
      <w:r w:rsidRPr="00C90161">
        <w:t>Euratom</w:t>
      </w:r>
      <w:proofErr w:type="spellEnd"/>
      <w:r w:rsidRPr="00C90161">
        <w:t>) 2020/2053.</w:t>
      </w:r>
    </w:p>
    <w:p w:rsidR="00FF2DB3" w:rsidRPr="00C90161" w:rsidRDefault="00FF2DB3" w:rsidP="00FF2DB3">
      <w:pPr>
        <w:pStyle w:val="ManualConsidrant"/>
        <w:spacing w:before="0" w:after="240" w:line="240" w:lineRule="auto"/>
      </w:pPr>
      <w:r w:rsidRPr="00C90161">
        <w:t>(17)</w:t>
      </w:r>
      <w:r w:rsidRPr="00C90161">
        <w:tab/>
        <w:t>Vzhľadom na situáciu na Ukrajine by toto nariadenie malo z dôvodu naliehavosti nadobudnúť účinnosť dňom jeho uverejnenia v </w:t>
      </w:r>
      <w:r w:rsidRPr="00C90161">
        <w:rPr>
          <w:i/>
        </w:rPr>
        <w:t>Úradnom vestníku Európskej únie</w:t>
      </w:r>
      <w:r w:rsidRPr="00C90161">
        <w:t xml:space="preserve"> a malo by sa uplatňovať so spätnou účinnosťou od 1. januára 2024,</w:t>
      </w:r>
    </w:p>
    <w:p w:rsidR="00FF2DB3" w:rsidRPr="00C90161" w:rsidRDefault="00FF2DB3" w:rsidP="00FF2DB3">
      <w:pPr>
        <w:pStyle w:val="Formuledadoption"/>
        <w:spacing w:before="0" w:after="240" w:line="240" w:lineRule="auto"/>
      </w:pPr>
      <w:r w:rsidRPr="00C90161">
        <w:t>PRIJALI TOTO NARIADENIE:</w:t>
      </w:r>
    </w:p>
    <w:p w:rsidR="00FF2DB3" w:rsidRPr="00C90161" w:rsidRDefault="00FF2DB3" w:rsidP="00FF2DB3">
      <w:pPr>
        <w:pStyle w:val="Titrearticle"/>
        <w:spacing w:before="0" w:after="240" w:line="240" w:lineRule="auto"/>
      </w:pPr>
      <w:r w:rsidRPr="00C90161">
        <w:br w:type="page"/>
        <w:t>Článok 1</w:t>
      </w:r>
    </w:p>
    <w:p w:rsidR="00FF2DB3" w:rsidRPr="00C90161" w:rsidRDefault="00FF2DB3" w:rsidP="00FF2DB3">
      <w:pPr>
        <w:spacing w:after="240"/>
      </w:pPr>
      <w:r w:rsidRPr="00C90161">
        <w:t xml:space="preserve">Nariadenie (EÚ, </w:t>
      </w:r>
      <w:proofErr w:type="spellStart"/>
      <w:r w:rsidRPr="00C90161">
        <w:t>Euratom</w:t>
      </w:r>
      <w:proofErr w:type="spellEnd"/>
      <w:r w:rsidRPr="00C90161">
        <w:t>) 2020/2093 sa mení takto:</w:t>
      </w:r>
    </w:p>
    <w:p w:rsidR="00FF2DB3" w:rsidRPr="00C90161" w:rsidRDefault="00FF2DB3" w:rsidP="00FF2DB3">
      <w:pPr>
        <w:pStyle w:val="Point0"/>
        <w:spacing w:before="0" w:after="240" w:line="240" w:lineRule="auto"/>
      </w:pPr>
      <w:r w:rsidRPr="00C90161">
        <w:t>1</w:t>
      </w:r>
      <w:r w:rsidR="005B0B9C" w:rsidRPr="00C90161">
        <w:t>.</w:t>
      </w:r>
      <w:r w:rsidRPr="00C90161">
        <w:tab/>
        <w:t>Článok 2 sa mení takto:</w:t>
      </w:r>
    </w:p>
    <w:p w:rsidR="00FF2DB3" w:rsidRPr="00C90161" w:rsidRDefault="00FF2DB3" w:rsidP="00FF2DB3">
      <w:pPr>
        <w:pStyle w:val="Point1"/>
        <w:spacing w:before="0" w:after="240" w:line="240" w:lineRule="auto"/>
      </w:pPr>
      <w:r w:rsidRPr="00C90161">
        <w:t>a)</w:t>
      </w:r>
      <w:r w:rsidRPr="00C90161">
        <w:tab/>
      </w:r>
      <w:r w:rsidR="005B0B9C" w:rsidRPr="00C90161">
        <w:t>v</w:t>
      </w:r>
      <w:r w:rsidRPr="00C90161">
        <w:t xml:space="preserve"> odseku 2 sa prvý </w:t>
      </w:r>
      <w:proofErr w:type="spellStart"/>
      <w:r w:rsidRPr="00C90161">
        <w:t>pododsek</w:t>
      </w:r>
      <w:proofErr w:type="spellEnd"/>
      <w:r w:rsidRPr="00C90161">
        <w:t xml:space="preserve"> nahrádza takto:</w:t>
      </w:r>
    </w:p>
    <w:p w:rsidR="00FF2DB3" w:rsidRPr="00C90161" w:rsidRDefault="00FF2DB3" w:rsidP="00FF2DB3">
      <w:pPr>
        <w:pStyle w:val="Point2"/>
        <w:spacing w:before="0" w:after="240" w:line="240" w:lineRule="auto"/>
      </w:pPr>
      <w:r w:rsidRPr="00C90161">
        <w:t>„2.</w:t>
      </w:r>
      <w:r w:rsidRPr="00C90161">
        <w:tab/>
        <w:t>Ak je potrebné použiť zdroje z osobitných nástrojov uvedených v článkoch 8, 9, 10, 10a, 10b a 12, viazané a zodpovedajúce platobné rozpočtové prostriedky sa zahrnú do rozpočtu nad rámec príslušných stropov VFR.“;</w:t>
      </w:r>
    </w:p>
    <w:p w:rsidR="00FF2DB3" w:rsidRPr="00C90161" w:rsidRDefault="00FF2DB3" w:rsidP="00FF2DB3">
      <w:pPr>
        <w:pStyle w:val="Point1"/>
        <w:spacing w:before="0" w:after="240" w:line="240" w:lineRule="auto"/>
      </w:pPr>
      <w:r w:rsidRPr="00C90161">
        <w:t>b)</w:t>
      </w:r>
      <w:r w:rsidRPr="00C90161">
        <w:tab/>
      </w:r>
      <w:r w:rsidR="005B0B9C" w:rsidRPr="00C90161">
        <w:t>v</w:t>
      </w:r>
      <w:r w:rsidRPr="00C90161">
        <w:t xml:space="preserve"> odseku 3 sa dopĺňa tento </w:t>
      </w:r>
      <w:proofErr w:type="spellStart"/>
      <w:r w:rsidRPr="00C90161">
        <w:t>pododsek</w:t>
      </w:r>
      <w:proofErr w:type="spellEnd"/>
      <w:r w:rsidRPr="00C90161">
        <w:t>:</w:t>
      </w:r>
    </w:p>
    <w:p w:rsidR="00FF2DB3" w:rsidRPr="00C90161" w:rsidRDefault="00FF2DB3" w:rsidP="00FF2DB3">
      <w:pPr>
        <w:pStyle w:val="Text2"/>
        <w:spacing w:before="0" w:after="240" w:line="240" w:lineRule="auto"/>
      </w:pPr>
      <w:r w:rsidRPr="00C90161">
        <w:t xml:space="preserve">„Ak je potrebné mobilizovať záruku za finančnú pomoc Ukrajine disponibilnú na roky 2024 až 2027 pre celkový objem úverov vo výške až 33 000 miliónov EUR v bežných cenách, ako sa uvádza v nariadení Európskeho </w:t>
      </w:r>
      <w:r w:rsidR="00003980" w:rsidRPr="00C90161">
        <w:t>parlamentu a Rady (EÚ) 2024/...</w:t>
      </w:r>
      <w:r w:rsidRPr="00C90161">
        <w:t>*</w:t>
      </w:r>
      <w:r w:rsidRPr="00C90161">
        <w:rPr>
          <w:rStyle w:val="FootnoteReference"/>
        </w:rPr>
        <w:footnoteReference w:customMarkFollows="1" w:id="10"/>
        <w:t>+</w:t>
      </w:r>
      <w:r w:rsidRPr="00C90161">
        <w:t>, a schválenú v súlade s článkom 220 ods. 1 nariadenia o rozpočtových pravidlách, potrebná suma sa mobilizuje nad rámec stropov VFR.</w:t>
      </w:r>
    </w:p>
    <w:p w:rsidR="00FF2DB3" w:rsidRPr="00C90161" w:rsidRDefault="00FF2DB3" w:rsidP="00FF2DB3">
      <w:pPr>
        <w:pStyle w:val="Text2"/>
        <w:spacing w:before="0" w:after="240" w:line="240" w:lineRule="auto"/>
      </w:pPr>
      <w:r w:rsidRPr="00C90161">
        <w:t>________________</w:t>
      </w:r>
    </w:p>
    <w:p w:rsidR="00FF2DB3" w:rsidRPr="00C90161" w:rsidRDefault="00FF2DB3" w:rsidP="00FF2DB3">
      <w:pPr>
        <w:pStyle w:val="Point2"/>
        <w:spacing w:before="0" w:after="240" w:line="240" w:lineRule="auto"/>
        <w:ind w:left="1985"/>
      </w:pPr>
      <w:r w:rsidRPr="00C90161">
        <w:rPr>
          <w:b/>
          <w:vertAlign w:val="superscript"/>
        </w:rPr>
        <w:t>*</w:t>
      </w:r>
      <w:r w:rsidRPr="00C90161">
        <w:tab/>
        <w:t xml:space="preserve">Nariadenie Európskeho parlamentu a Rady (EÚ) 2024/... z ..., ktorým sa zriaďuje Nástroj pre Ukrajinu </w:t>
      </w:r>
      <w:r w:rsidR="00003980" w:rsidRPr="00C90161">
        <w:t>(Ú. v. EÚ L, ..., ELI: ...)</w:t>
      </w:r>
      <w:r w:rsidRPr="00C90161">
        <w:t>.</w:t>
      </w:r>
      <w:r w:rsidR="00A42130" w:rsidRPr="00C90161">
        <w:t>“</w:t>
      </w:r>
      <w:r w:rsidRPr="00C90161">
        <w:t>;</w:t>
      </w:r>
    </w:p>
    <w:p w:rsidR="00FF2DB3" w:rsidRPr="00C90161" w:rsidRDefault="00FF2DB3" w:rsidP="00FF2DB3">
      <w:pPr>
        <w:pStyle w:val="Point0"/>
        <w:spacing w:before="0" w:after="240" w:line="240" w:lineRule="auto"/>
      </w:pPr>
      <w:r w:rsidRPr="00C90161">
        <w:br w:type="page"/>
        <w:t>2</w:t>
      </w:r>
      <w:r w:rsidR="005B0B9C" w:rsidRPr="00C90161">
        <w:t>.</w:t>
      </w:r>
      <w:r w:rsidRPr="00C90161">
        <w:tab/>
        <w:t>V článku 4 ods. 1 sa dopĺňajú tieto písmená:</w:t>
      </w:r>
    </w:p>
    <w:p w:rsidR="00FF2DB3" w:rsidRPr="00C90161" w:rsidRDefault="00FF2DB3" w:rsidP="00FF2DB3">
      <w:pPr>
        <w:pStyle w:val="Point1"/>
        <w:spacing w:before="0" w:after="240" w:line="240" w:lineRule="auto"/>
      </w:pPr>
      <w:r w:rsidRPr="00C90161">
        <w:t>„f)</w:t>
      </w:r>
      <w:r w:rsidRPr="00C90161">
        <w:tab/>
        <w:t>výpočet sumy, ktorá je k dispozícii pre nástroj EURI v súlade s článkom 10a ods. 3 písm. a);</w:t>
      </w:r>
    </w:p>
    <w:p w:rsidR="00FF2DB3" w:rsidRPr="00C90161" w:rsidRDefault="00FF2DB3" w:rsidP="00FF2DB3">
      <w:pPr>
        <w:pStyle w:val="Point1"/>
        <w:spacing w:before="0" w:after="240" w:line="240" w:lineRule="auto"/>
      </w:pPr>
      <w:r w:rsidRPr="00C90161">
        <w:t>g)</w:t>
      </w:r>
      <w:r w:rsidRPr="00C90161">
        <w:tab/>
        <w:t xml:space="preserve">výpočet súm, ktoré sa majú sprístupniť pre nástroj flexibility podľa článku 12 ods. 1 druhého </w:t>
      </w:r>
      <w:proofErr w:type="spellStart"/>
      <w:r w:rsidRPr="00C90161">
        <w:t>pododseku</w:t>
      </w:r>
      <w:proofErr w:type="spellEnd"/>
      <w:r w:rsidRPr="00C90161">
        <w:t>.“</w:t>
      </w:r>
    </w:p>
    <w:p w:rsidR="00FF2DB3" w:rsidRPr="00C90161" w:rsidRDefault="00FF2DB3" w:rsidP="00FF2DB3">
      <w:pPr>
        <w:pStyle w:val="Point0"/>
        <w:spacing w:before="0" w:after="240" w:line="240" w:lineRule="auto"/>
      </w:pPr>
      <w:r w:rsidRPr="00C90161">
        <w:t>3</w:t>
      </w:r>
      <w:r w:rsidR="005B0B9C" w:rsidRPr="00C90161">
        <w:t>.</w:t>
      </w:r>
      <w:r w:rsidRPr="00C90161">
        <w:tab/>
        <w:t xml:space="preserve">V článku 5 ods. 1 sa druhý </w:t>
      </w:r>
      <w:proofErr w:type="spellStart"/>
      <w:r w:rsidRPr="00C90161">
        <w:t>pododsek</w:t>
      </w:r>
      <w:proofErr w:type="spellEnd"/>
      <w:r w:rsidRPr="00C90161">
        <w:t xml:space="preserve"> nahrádza takto:</w:t>
      </w:r>
    </w:p>
    <w:p w:rsidR="00FF2DB3" w:rsidRPr="00C90161" w:rsidRDefault="00FF2DB3" w:rsidP="00FF2DB3">
      <w:pPr>
        <w:pStyle w:val="Text1"/>
        <w:spacing w:before="0" w:after="240" w:line="240" w:lineRule="auto"/>
      </w:pPr>
      <w:r w:rsidRPr="00C90161">
        <w:t>Celková suma dodatočných pridelených rozpočtových prostriedkov na obdobie 2022 až 2027 na viazané rozpočtové prostriedky a platobné rozpočtové prostriedky je 10</w:t>
      </w:r>
      <w:r w:rsidR="00115C0E" w:rsidRPr="00C90161">
        <w:t> </w:t>
      </w:r>
      <w:r w:rsidRPr="00C90161">
        <w:t>155</w:t>
      </w:r>
      <w:r w:rsidR="00115C0E" w:rsidRPr="00C90161">
        <w:t> </w:t>
      </w:r>
      <w:r w:rsidRPr="00C90161">
        <w:t>miliónov EUR (v cenách roku 2018). Na každý z rokov 2022 až 2026 je ročná suma dodatočných pridelených rozpočtových prostriedkov na viazané rozpočtové prostriedky a platobné rozpočtové prostriedky najmenej 1</w:t>
      </w:r>
      <w:r w:rsidR="00115C0E" w:rsidRPr="00C90161">
        <w:t> </w:t>
      </w:r>
      <w:r w:rsidRPr="00C90161">
        <w:t>500</w:t>
      </w:r>
      <w:r w:rsidR="00115C0E" w:rsidRPr="00C90161">
        <w:t> </w:t>
      </w:r>
      <w:r w:rsidRPr="00C90161">
        <w:t>miliónov EUR (v cenách roku 2018) a nesmie presiahnuť 2</w:t>
      </w:r>
      <w:r w:rsidR="00115C0E" w:rsidRPr="00C90161">
        <w:t> </w:t>
      </w:r>
      <w:r w:rsidRPr="00C90161">
        <w:t>000</w:t>
      </w:r>
      <w:r w:rsidR="00115C0E" w:rsidRPr="00C90161">
        <w:t> </w:t>
      </w:r>
      <w:r w:rsidRPr="00C90161">
        <w:t>miliónov EUR (v cenách roku 2018).“</w:t>
      </w:r>
    </w:p>
    <w:p w:rsidR="00FF2DB3" w:rsidRPr="00C90161" w:rsidRDefault="00FF2DB3" w:rsidP="00FF2DB3">
      <w:pPr>
        <w:pStyle w:val="Point0"/>
        <w:spacing w:before="0" w:after="240" w:line="240" w:lineRule="auto"/>
      </w:pPr>
      <w:r w:rsidRPr="00C90161">
        <w:br w:type="page"/>
        <w:t>4</w:t>
      </w:r>
      <w:r w:rsidR="005B0B9C" w:rsidRPr="00C90161">
        <w:t>.</w:t>
      </w:r>
      <w:r w:rsidRPr="00C90161">
        <w:tab/>
        <w:t>Články 8 a 9 sa nahrádzajú takto:</w:t>
      </w:r>
    </w:p>
    <w:p w:rsidR="00FF2DB3" w:rsidRPr="00C90161" w:rsidRDefault="00FF2DB3" w:rsidP="00FF2DB3">
      <w:pPr>
        <w:pStyle w:val="Text1"/>
        <w:spacing w:before="0" w:after="240" w:line="240" w:lineRule="auto"/>
      </w:pPr>
      <w:r w:rsidRPr="00C90161">
        <w:t>„</w:t>
      </w:r>
      <w:r w:rsidRPr="00C90161">
        <w:rPr>
          <w:i/>
          <w:iCs/>
        </w:rPr>
        <w:t>Článok 8</w:t>
      </w:r>
      <w:r w:rsidR="005B0B9C" w:rsidRPr="00C90161">
        <w:rPr>
          <w:i/>
          <w:iCs/>
        </w:rPr>
        <w:br/>
      </w:r>
      <w:r w:rsidRPr="00C90161">
        <w:rPr>
          <w:i/>
          <w:iCs/>
        </w:rPr>
        <w:t xml:space="preserve"> Európsky fond na prispôsobenie sa globalizácii</w:t>
      </w:r>
    </w:p>
    <w:p w:rsidR="00FF2DB3" w:rsidRPr="00C90161" w:rsidRDefault="00FF2DB3" w:rsidP="00FF2DB3">
      <w:pPr>
        <w:pStyle w:val="Point1"/>
        <w:spacing w:before="0" w:after="240" w:line="240" w:lineRule="auto"/>
      </w:pPr>
      <w:r w:rsidRPr="00C90161">
        <w:t>1.</w:t>
      </w:r>
      <w:r w:rsidRPr="00C90161">
        <w:tab/>
        <w:t>Európsky fond na prispôsobenie sa globalizácii, ktorého ciele a rozsah pôsobnosti sú vymedzené v nariadení Európskeho parlamentu a Rady (EÚ) 2021/691*, nesmie presiahnuť maximálnu ročnú sumu 30 miliónov EUR (v cenách roku 2018).</w:t>
      </w:r>
    </w:p>
    <w:p w:rsidR="00FF2DB3" w:rsidRPr="00C90161" w:rsidRDefault="00FF2DB3" w:rsidP="00FF2DB3">
      <w:pPr>
        <w:pStyle w:val="Point1"/>
        <w:spacing w:before="0" w:after="240" w:line="240" w:lineRule="auto"/>
      </w:pPr>
      <w:r w:rsidRPr="00C90161">
        <w:t>2.</w:t>
      </w:r>
      <w:r w:rsidRPr="00C90161">
        <w:tab/>
        <w:t>Rozpočtové prostriedky pre Európsky fond na prispôsobenie sa globalizácii sa do všeobecného rozpočtu Únie zahrnú ako rezerva.</w:t>
      </w:r>
    </w:p>
    <w:p w:rsidR="00FF2DB3" w:rsidRPr="00C90161" w:rsidRDefault="00FF2DB3" w:rsidP="00FF2DB3">
      <w:pPr>
        <w:pStyle w:val="Text1"/>
        <w:spacing w:before="0" w:after="240" w:line="240" w:lineRule="auto"/>
      </w:pPr>
      <w:r w:rsidRPr="00C90161">
        <w:rPr>
          <w:i/>
        </w:rPr>
        <w:t>Článok 9</w:t>
      </w:r>
      <w:r w:rsidR="005B0B9C" w:rsidRPr="00C90161">
        <w:rPr>
          <w:i/>
        </w:rPr>
        <w:br/>
      </w:r>
      <w:r w:rsidRPr="00C90161">
        <w:rPr>
          <w:i/>
        </w:rPr>
        <w:t>Rezerva na solidaritu a núdzovú pomoc</w:t>
      </w:r>
    </w:p>
    <w:p w:rsidR="00FF2DB3" w:rsidRPr="00C90161" w:rsidRDefault="00FF2DB3" w:rsidP="00FF2DB3">
      <w:pPr>
        <w:pStyle w:val="Point1"/>
        <w:spacing w:before="0" w:after="240" w:line="240" w:lineRule="auto"/>
      </w:pPr>
      <w:r w:rsidRPr="00C90161">
        <w:t>1.</w:t>
      </w:r>
      <w:r w:rsidRPr="00C90161">
        <w:tab/>
        <w:t>Rezervu na solidaritu a núdzovú pomoc tvoria dva nástroje, ktoré sa môžu použiť na financovanie:</w:t>
      </w:r>
    </w:p>
    <w:p w:rsidR="00FF2DB3" w:rsidRPr="00C90161" w:rsidRDefault="00FF2DB3" w:rsidP="00FF2DB3">
      <w:pPr>
        <w:pStyle w:val="Point2"/>
        <w:spacing w:before="0" w:after="240" w:line="240" w:lineRule="auto"/>
      </w:pPr>
      <w:r w:rsidRPr="00C90161">
        <w:t>a)</w:t>
      </w:r>
      <w:r w:rsidRPr="00C90161">
        <w:tab/>
        <w:t>pomoci pri reakcii na núdzové situácie vyplývajúce z veľkých katastrof, na ktoré sa vzťahuje Fond solidarity Európskej únie, ktorého ciele a rozsah pôsobnosti sú stanovené v nariadení Rady (ES) č. 2012/2002**(„európska rezerva na solidaritu“); a</w:t>
      </w:r>
    </w:p>
    <w:p w:rsidR="00FF2DB3" w:rsidRPr="00C90161" w:rsidRDefault="00FF2DB3" w:rsidP="00FF2DB3">
      <w:pPr>
        <w:pStyle w:val="Point2"/>
        <w:spacing w:before="0" w:after="240" w:line="240" w:lineRule="auto"/>
      </w:pPr>
      <w:r w:rsidRPr="00C90161">
        <w:br w:type="page"/>
        <w:t>b)</w:t>
      </w:r>
      <w:r w:rsidRPr="00C90161">
        <w:tab/>
        <w:t>rýchlej reakcie na konkrétne naliehavé potreby v rámci Únie alebo v tretích krajinách, ktoré vznikli v dôsledku udalostí, ktoré sa nedali predvídať pri zostavovaní rozpočtu, a to predovšetkým na núdzové reakcie a podporné operácie v nadväznosti na prírodné katastrofy, na ktoré sa nevzťahuje písmeno a), katastrofy spôsobené ľudskou činnosťou, humanitárne krízy v prípade rozsiahleho ohrozenia verejného zdravia a veterinárnych alebo rastlinolekárskych hrozieb, ako aj v situáciách veľkého tlaku na vonkajších hraniciach Únie vyplývajúcich z migračných tokov, ak si to okolnosti vyžadujú („rezerva na núdzovú pomoc“).</w:t>
      </w:r>
    </w:p>
    <w:p w:rsidR="00FF2DB3" w:rsidRPr="00C90161" w:rsidRDefault="00FF2DB3" w:rsidP="00FF2DB3">
      <w:pPr>
        <w:pStyle w:val="Point1"/>
        <w:spacing w:before="0" w:after="240" w:line="240" w:lineRule="auto"/>
      </w:pPr>
      <w:r w:rsidRPr="00C90161">
        <w:t>2.</w:t>
      </w:r>
      <w:r w:rsidRPr="00C90161">
        <w:tab/>
        <w:t>Európska rezerva na solidaritu nepresiahne maximálnu ročnú sumu 1 016 miliónov EUR (v cenách roku 2018). Akákoľvek časť ročnej sumy, ktorá sa nepoužije v roku n, sa môže použiť do roku n+1. Časť ročnej sumy pochádzajúcej z predchádzajúcich rokov sa čerpá ako prvá. Akákoľvek časť ročnej sumy z roku n, ktorá sa nepoužije v roku n+1, prepadne.</w:t>
      </w:r>
    </w:p>
    <w:p w:rsidR="00FF2DB3" w:rsidRPr="00C90161" w:rsidRDefault="00FF2DB3" w:rsidP="00FF2DB3">
      <w:pPr>
        <w:pStyle w:val="Text2"/>
        <w:spacing w:before="0" w:after="240" w:line="240" w:lineRule="auto"/>
      </w:pPr>
      <w:r w:rsidRPr="00C90161">
        <w:t>Najmenej jedna štvrtina ročnej sumy európskej rezervy na solidaritu zostane každý rok k 1. októbru k dispozícii na krytie potrieb, ktoré vzniknú do konca uvedeného roka.</w:t>
      </w:r>
    </w:p>
    <w:p w:rsidR="00FF2DB3" w:rsidRPr="00C90161" w:rsidRDefault="00FF2DB3" w:rsidP="00FF2DB3">
      <w:pPr>
        <w:pStyle w:val="Text2"/>
        <w:spacing w:before="0" w:after="240" w:line="240" w:lineRule="auto"/>
      </w:pPr>
      <w:r w:rsidRPr="00C90161">
        <w:br w:type="page"/>
        <w:t xml:space="preserve">Vo výnimočných prípadoch a ak zostávajúce finančné zdroje nie sú dostatočné na pokrytie súm, ktoré sa považujú za potrebné v roku výskytu katastrofy, ako sa uvádza v odseku 1 písm. a), môže Komisia navrhnúť, aby sa tento rozdiel financoval z ročnej sumy uvedenej v prvom </w:t>
      </w:r>
      <w:proofErr w:type="spellStart"/>
      <w:r w:rsidRPr="00C90161">
        <w:t>pododseku</w:t>
      </w:r>
      <w:proofErr w:type="spellEnd"/>
      <w:r w:rsidRPr="00C90161">
        <w:t xml:space="preserve"> tohto odseku, ktorá je k dispozícii v nasledujúcom roku, a to až do maximálnej výšky 400 miliónov EUR (v cenách roku 2018).</w:t>
      </w:r>
    </w:p>
    <w:p w:rsidR="00FF2DB3" w:rsidRPr="00C90161" w:rsidRDefault="00FF2DB3" w:rsidP="00FF2DB3">
      <w:pPr>
        <w:pStyle w:val="Point1"/>
        <w:spacing w:before="0" w:after="240" w:line="240" w:lineRule="auto"/>
      </w:pPr>
      <w:r w:rsidRPr="00C90161">
        <w:t>3.</w:t>
      </w:r>
      <w:r w:rsidRPr="00C90161">
        <w:tab/>
        <w:t>Rezerva na núdzovú pomoc nepresiahne maximálnu ročnú sumu 508 miliónov EUR (v cenách roku 2018). Akákoľvek časť ročnej sumy, ktorá sa nepoužije v roku n, sa môže použiť do roku n+1. Časť ročnej sumy pochádzajúcej z predchádzajúc</w:t>
      </w:r>
      <w:r w:rsidR="00A42130" w:rsidRPr="00C90161">
        <w:t>eho</w:t>
      </w:r>
      <w:r w:rsidRPr="00C90161">
        <w:t xml:space="preserve"> rok</w:t>
      </w:r>
      <w:r w:rsidR="00A42130" w:rsidRPr="00C90161">
        <w:t>u</w:t>
      </w:r>
      <w:r w:rsidRPr="00C90161">
        <w:t xml:space="preserve"> sa čerpá ako prvá. Akákoľvek časť ročnej sumy z roku n, ktorá sa nepoužije v roku n+1, prepadne.</w:t>
      </w:r>
    </w:p>
    <w:p w:rsidR="00FF2DB3" w:rsidRPr="00C90161" w:rsidRDefault="00FF2DB3" w:rsidP="00FF2DB3">
      <w:pPr>
        <w:pStyle w:val="Point1"/>
        <w:spacing w:before="0" w:after="240" w:line="240" w:lineRule="auto"/>
      </w:pPr>
      <w:r w:rsidRPr="00C90161">
        <w:t>4.</w:t>
      </w:r>
      <w:r w:rsidRPr="00C90161">
        <w:tab/>
        <w:t>Rozpočtové prostriedky na európsku rezervu na solidaritu a na rezervu na núdzovú pomoc sa do všeobecného rozpočtu Únie zahrnú ako rezervy.</w:t>
      </w:r>
    </w:p>
    <w:p w:rsidR="00FF2DB3" w:rsidRPr="00C90161" w:rsidRDefault="00FF2DB3" w:rsidP="00FF2DB3">
      <w:pPr>
        <w:pStyle w:val="Text1"/>
        <w:spacing w:before="0" w:after="240" w:line="240" w:lineRule="auto"/>
      </w:pPr>
      <w:r w:rsidRPr="00C90161">
        <w:t>________________</w:t>
      </w:r>
    </w:p>
    <w:p w:rsidR="00FF2DB3" w:rsidRPr="00C90161" w:rsidRDefault="00FF2DB3" w:rsidP="00FF2DB3">
      <w:pPr>
        <w:pStyle w:val="Point1"/>
        <w:spacing w:before="0" w:after="240" w:line="240" w:lineRule="auto"/>
        <w:ind w:left="1418"/>
      </w:pPr>
      <w:r w:rsidRPr="00C90161">
        <w:rPr>
          <w:b/>
          <w:vertAlign w:val="superscript"/>
        </w:rPr>
        <w:t>*</w:t>
      </w:r>
      <w:r w:rsidRPr="00C90161">
        <w:tab/>
        <w:t>Nariadenie Európskeho parlamentu a Rady (EÚ) 2021/691 z 28. apríla 2021 o Európskom fonde na prispôsobenie sa globalizácii na pomoc pracovníkom, ktorí prišli o zamestnanie (EGF), ktorým sa zrušuje nariadenie (EÚ) č. 1309/2013 (Ú. v. EÚ L 153, 3.5.2021, s. 48).</w:t>
      </w:r>
    </w:p>
    <w:p w:rsidR="00FF2DB3" w:rsidRPr="00C90161" w:rsidRDefault="00FF2DB3" w:rsidP="00FF2DB3">
      <w:pPr>
        <w:pStyle w:val="Point1"/>
        <w:spacing w:before="0" w:after="240" w:line="240" w:lineRule="auto"/>
        <w:ind w:left="1418"/>
      </w:pPr>
      <w:r w:rsidRPr="00C90161">
        <w:rPr>
          <w:b/>
          <w:vertAlign w:val="superscript"/>
        </w:rPr>
        <w:t>**</w:t>
      </w:r>
      <w:r w:rsidRPr="00C90161">
        <w:tab/>
        <w:t>Nariadenie Rady (ES) č. 2012/2002 z 11. novembra 2002, ktorým sa zriaďuje fond solidarity Európskej únie (Ú. v. ES L 311, 14.11.2002, s. 3).“</w:t>
      </w:r>
    </w:p>
    <w:p w:rsidR="00FF2DB3" w:rsidRPr="00C90161" w:rsidRDefault="00FF2DB3" w:rsidP="00FF2DB3">
      <w:pPr>
        <w:pStyle w:val="Point0"/>
        <w:spacing w:before="0" w:after="240" w:line="240" w:lineRule="auto"/>
      </w:pPr>
      <w:r w:rsidRPr="00C90161">
        <w:t>5</w:t>
      </w:r>
      <w:r w:rsidR="00CB3484" w:rsidRPr="00C90161">
        <w:t>.</w:t>
      </w:r>
      <w:r w:rsidRPr="00C90161">
        <w:tab/>
      </w:r>
      <w:r w:rsidR="00CB3484" w:rsidRPr="00C90161">
        <w:t>V</w:t>
      </w:r>
      <w:r w:rsidRPr="00C90161">
        <w:t> článku 10 sa odsek 2 nahrádza takto:</w:t>
      </w:r>
    </w:p>
    <w:p w:rsidR="00FF2DB3" w:rsidRPr="00C90161" w:rsidRDefault="00FF2DB3" w:rsidP="00FF2DB3">
      <w:pPr>
        <w:pStyle w:val="Point1"/>
        <w:spacing w:before="0" w:after="240" w:line="240" w:lineRule="auto"/>
      </w:pPr>
      <w:r w:rsidRPr="00C90161">
        <w:t>„2.</w:t>
      </w:r>
      <w:r w:rsidRPr="00C90161">
        <w:tab/>
      </w:r>
      <w:proofErr w:type="spellStart"/>
      <w:r w:rsidRPr="00C90161">
        <w:t>Pobrexitová</w:t>
      </w:r>
      <w:proofErr w:type="spellEnd"/>
      <w:r w:rsidRPr="00C90161">
        <w:t xml:space="preserve"> adaptačná rezerva nepresiahne sumu 4 491</w:t>
      </w:r>
      <w:r w:rsidR="00115C0E" w:rsidRPr="00C90161">
        <w:t> </w:t>
      </w:r>
      <w:r w:rsidRPr="00C90161">
        <w:t>miliónov EUR (v cenách roku 2018).“</w:t>
      </w:r>
    </w:p>
    <w:p w:rsidR="00FF2DB3" w:rsidRPr="00C90161" w:rsidRDefault="00FF2DB3" w:rsidP="00FF2DB3">
      <w:pPr>
        <w:pStyle w:val="Point0"/>
        <w:spacing w:before="0" w:after="240" w:line="240" w:lineRule="auto"/>
      </w:pPr>
      <w:r w:rsidRPr="00C90161">
        <w:br w:type="page"/>
        <w:t>6</w:t>
      </w:r>
      <w:r w:rsidR="00CB3484" w:rsidRPr="00C90161">
        <w:t>.</w:t>
      </w:r>
      <w:r w:rsidRPr="00C90161">
        <w:tab/>
      </w:r>
      <w:r w:rsidR="00CB3484" w:rsidRPr="00C90161">
        <w:t>V</w:t>
      </w:r>
      <w:r w:rsidRPr="00C90161">
        <w:t>kladajú sa tieto články:</w:t>
      </w:r>
    </w:p>
    <w:p w:rsidR="00A42130" w:rsidRPr="00C90161" w:rsidRDefault="00FF2DB3" w:rsidP="00FF2DB3">
      <w:pPr>
        <w:pStyle w:val="Text1"/>
        <w:spacing w:before="0" w:after="240" w:line="240" w:lineRule="auto"/>
        <w:rPr>
          <w:i/>
          <w:iCs/>
        </w:rPr>
      </w:pPr>
      <w:r w:rsidRPr="00C90161">
        <w:t>„</w:t>
      </w:r>
      <w:r w:rsidRPr="00C90161">
        <w:rPr>
          <w:i/>
          <w:iCs/>
        </w:rPr>
        <w:t xml:space="preserve">Článok 10a </w:t>
      </w:r>
    </w:p>
    <w:p w:rsidR="00FF2DB3" w:rsidRPr="00C90161" w:rsidRDefault="00FF2DB3" w:rsidP="00FF2DB3">
      <w:pPr>
        <w:pStyle w:val="Text1"/>
        <w:spacing w:before="0" w:after="240" w:line="240" w:lineRule="auto"/>
      </w:pPr>
      <w:r w:rsidRPr="00C90161">
        <w:rPr>
          <w:i/>
          <w:iCs/>
        </w:rPr>
        <w:t>Nástroj EURI</w:t>
      </w:r>
    </w:p>
    <w:p w:rsidR="00FF2DB3" w:rsidRPr="00C90161" w:rsidRDefault="00FF2DB3" w:rsidP="00FF2DB3">
      <w:pPr>
        <w:pStyle w:val="Point1"/>
        <w:spacing w:before="0" w:after="240" w:line="240" w:lineRule="auto"/>
      </w:pPr>
      <w:r w:rsidRPr="00C90161">
        <w:t>1.</w:t>
      </w:r>
      <w:r w:rsidRPr="00C90161">
        <w:tab/>
        <w:t xml:space="preserve">Od roku 2025 sa nástroj EURI môže použiť na financovanie časti nákladov na úrokové a kupónové platby za daný rok splatné v súvislosti s finančnými prostriedkami vypožičanými na kapitálových trhoch v súlade s článkom 5 ods. 2 rozhodnutia Rady (EÚ, </w:t>
      </w:r>
      <w:proofErr w:type="spellStart"/>
      <w:r w:rsidRPr="00C90161">
        <w:t>Euratom</w:t>
      </w:r>
      <w:proofErr w:type="spellEnd"/>
      <w:r w:rsidRPr="00C90161">
        <w:t>) 2020/2053*. Nástroj EURI sa v rozsahu upresnenom v nasledujúcich odsekoch môže v danom roku mobilizovať len na pokrytie výšky uvedených nákladov, ktoré presahujú tieto sumy (v cenách roku 2018):</w:t>
      </w:r>
    </w:p>
    <w:p w:rsidR="00FF2DB3" w:rsidRPr="00C90161" w:rsidRDefault="00FF2DB3" w:rsidP="00FF2DB3">
      <w:pPr>
        <w:pStyle w:val="Tiret2"/>
        <w:numPr>
          <w:ilvl w:val="0"/>
          <w:numId w:val="0"/>
        </w:numPr>
        <w:tabs>
          <w:tab w:val="left" w:pos="1984"/>
        </w:tabs>
        <w:spacing w:before="0" w:after="240" w:line="240" w:lineRule="auto"/>
        <w:ind w:left="1984" w:hanging="567"/>
      </w:pPr>
      <w:r w:rsidRPr="00C90161">
        <w:rPr>
          <w:bdr w:val="none" w:sz="0" w:space="0" w:color="auto" w:frame="1"/>
        </w:rPr>
        <w:t>–</w:t>
      </w:r>
      <w:r w:rsidRPr="00C90161">
        <w:rPr>
          <w:bdr w:val="none" w:sz="0" w:space="0" w:color="auto" w:frame="1"/>
        </w:rPr>
        <w:tab/>
      </w:r>
      <w:r w:rsidRPr="00C90161">
        <w:t>2025 – 2 332 miliónov EUR,</w:t>
      </w:r>
    </w:p>
    <w:p w:rsidR="00FF2DB3" w:rsidRPr="00C90161" w:rsidRDefault="00FF2DB3" w:rsidP="00FF2DB3">
      <w:pPr>
        <w:pStyle w:val="Tiret2"/>
        <w:numPr>
          <w:ilvl w:val="0"/>
          <w:numId w:val="0"/>
        </w:numPr>
        <w:tabs>
          <w:tab w:val="left" w:pos="1984"/>
        </w:tabs>
        <w:spacing w:before="0" w:after="240" w:line="240" w:lineRule="auto"/>
        <w:ind w:left="1984" w:hanging="567"/>
      </w:pPr>
      <w:r w:rsidRPr="00C90161">
        <w:rPr>
          <w:bdr w:val="none" w:sz="0" w:space="0" w:color="auto" w:frame="1"/>
        </w:rPr>
        <w:t>–</w:t>
      </w:r>
      <w:r w:rsidRPr="00C90161">
        <w:rPr>
          <w:bdr w:val="none" w:sz="0" w:space="0" w:color="auto" w:frame="1"/>
        </w:rPr>
        <w:tab/>
      </w:r>
      <w:r w:rsidRPr="00C90161">
        <w:t>2026 – 3 196 miliónov EUR,</w:t>
      </w:r>
    </w:p>
    <w:p w:rsidR="00FF2DB3" w:rsidRPr="00C90161" w:rsidRDefault="00FF2DB3" w:rsidP="00FF2DB3">
      <w:pPr>
        <w:pStyle w:val="Tiret2"/>
        <w:numPr>
          <w:ilvl w:val="0"/>
          <w:numId w:val="0"/>
        </w:numPr>
        <w:tabs>
          <w:tab w:val="left" w:pos="1984"/>
        </w:tabs>
        <w:spacing w:before="0" w:after="240" w:line="240" w:lineRule="auto"/>
        <w:ind w:left="1984" w:hanging="567"/>
      </w:pPr>
      <w:r w:rsidRPr="00C90161">
        <w:rPr>
          <w:bdr w:val="none" w:sz="0" w:space="0" w:color="auto" w:frame="1"/>
        </w:rPr>
        <w:t>–</w:t>
      </w:r>
      <w:r w:rsidRPr="00C90161">
        <w:rPr>
          <w:bdr w:val="none" w:sz="0" w:space="0" w:color="auto" w:frame="1"/>
        </w:rPr>
        <w:tab/>
      </w:r>
      <w:r w:rsidRPr="00C90161">
        <w:t>2027 – 4 168 miliónov EUR.</w:t>
      </w:r>
    </w:p>
    <w:p w:rsidR="00FF2DB3" w:rsidRPr="00C90161" w:rsidRDefault="00FF2DB3" w:rsidP="00FF2DB3">
      <w:pPr>
        <w:pStyle w:val="Point1"/>
        <w:spacing w:before="0" w:after="240" w:line="240" w:lineRule="auto"/>
      </w:pPr>
      <w:r w:rsidRPr="00C90161">
        <w:t>2.</w:t>
      </w:r>
      <w:r w:rsidRPr="00C90161">
        <w:tab/>
        <w:t xml:space="preserve">Európsky parlament a Rada môžu mobilizovať nástroj EURI v rámci rozpočtového postupu ustanoveného v článku 314 ZFEÚ len po tom, ako sa vyčerpali iné spôsoby financovania, na pokrytie podstatnej časti súm, ktoré presahujú sumy uvedené v odseku 1 tohto článku, </w:t>
      </w:r>
      <w:bookmarkStart w:id="9" w:name="_Hlk155701821"/>
      <w:r w:rsidRPr="00C90161">
        <w:t>a to v súlade s platnými sektorovými pravidlami a inými právnymi záväzkami,</w:t>
      </w:r>
      <w:bookmarkEnd w:id="9"/>
      <w:r w:rsidRPr="00C90161">
        <w:t xml:space="preserve"> pričom sa zohľadnia priority, obozretné zostavovanie rozpočtu a správne finančné riadenie.</w:t>
      </w:r>
    </w:p>
    <w:p w:rsidR="00FF2DB3" w:rsidRPr="00C90161" w:rsidRDefault="00FF2DB3" w:rsidP="00FF2DB3">
      <w:pPr>
        <w:pStyle w:val="Text2"/>
        <w:spacing w:before="0" w:after="240" w:line="240" w:lineRule="auto"/>
      </w:pPr>
      <w:r w:rsidRPr="00C90161">
        <w:br w:type="page"/>
        <w:t>Rozpočtové prostriedky na nástroj EURI sa sprístupnia nad rámec stropov VFR.</w:t>
      </w:r>
    </w:p>
    <w:p w:rsidR="00FF2DB3" w:rsidRPr="00C90161" w:rsidRDefault="00FF2DB3" w:rsidP="00FF2DB3">
      <w:pPr>
        <w:pStyle w:val="Point1"/>
        <w:spacing w:before="0" w:after="240" w:line="240" w:lineRule="auto"/>
      </w:pPr>
      <w:r w:rsidRPr="00C90161">
        <w:t>3.</w:t>
      </w:r>
      <w:r w:rsidRPr="00C90161">
        <w:tab/>
        <w:t>Nástroj EURI tvorí:</w:t>
      </w:r>
    </w:p>
    <w:p w:rsidR="00FF2DB3" w:rsidRPr="00C90161" w:rsidRDefault="00FF2DB3" w:rsidP="00FF2DB3">
      <w:pPr>
        <w:pStyle w:val="Point2"/>
        <w:spacing w:before="0" w:after="240" w:line="240" w:lineRule="auto"/>
      </w:pPr>
      <w:r w:rsidRPr="00C90161">
        <w:t>a)</w:t>
      </w:r>
      <w:r w:rsidRPr="00C90161">
        <w:tab/>
        <w:t>suma zodpovedajúca rozpočtovým prostriedkom, ktorých viazanosť bola zrušená, s výnimkou vonkajších pripísaných príjmov, pričom k zrušeniu viazanosti týchto rozpočtových prostriedkov došlo kumulatívne od roku 2021</w:t>
      </w:r>
      <w:r w:rsidR="00A42130" w:rsidRPr="00C90161">
        <w:t>,</w:t>
      </w:r>
      <w:r w:rsidRPr="00C90161">
        <w:t xml:space="preserve"> a neboli v rámci tohto nástroja v predchádzajúcich rokoch mobilizované, s vylúčením súm, ktorých viazanosť bola zrušená a ktoré boli opätovne sprístupnené v súlade s ustanoveniami článku 15 nariadenia o rozpočtových pravidlách a osobitnými pravidlami týkajúcimi sa opätovného sprístupnenia rozpočtových prostriedkov, ako sa uvádza v príslušných základných aktoch. Táto suma sa čerpá ako prvá;</w:t>
      </w:r>
    </w:p>
    <w:p w:rsidR="00FF2DB3" w:rsidRPr="00C90161" w:rsidRDefault="00FF2DB3" w:rsidP="00FF2DB3">
      <w:pPr>
        <w:pStyle w:val="Point2"/>
        <w:spacing w:before="0" w:after="240" w:line="240" w:lineRule="auto"/>
      </w:pPr>
      <w:r w:rsidRPr="00C90161">
        <w:t>b)</w:t>
      </w:r>
      <w:r w:rsidRPr="00C90161">
        <w:tab/>
        <w:t>len ak je suma uvedená v písmene a) tohto odseku nedostatočná a dodatočná suma je potrebná na úplné financovanie nákladov uvedených v odseku 1 v príslušnom roku.</w:t>
      </w:r>
    </w:p>
    <w:p w:rsidR="00FF2DB3" w:rsidRPr="00C90161" w:rsidRDefault="00FF2DB3" w:rsidP="00FF2DB3">
      <w:pPr>
        <w:pStyle w:val="Text2"/>
        <w:spacing w:before="0" w:after="240" w:line="240" w:lineRule="auto"/>
      </w:pPr>
      <w:r w:rsidRPr="00C90161">
        <w:t xml:space="preserve">Komisia každý rok v rámci technických úprav uvedených v článku 4 vypočíta sumu, ktorá je k dispozícii, na základe prvého </w:t>
      </w:r>
      <w:proofErr w:type="spellStart"/>
      <w:r w:rsidRPr="00C90161">
        <w:t>pododseku</w:t>
      </w:r>
      <w:proofErr w:type="spellEnd"/>
      <w:r w:rsidRPr="00C90161">
        <w:t xml:space="preserve"> písm. a) tohto odseku, s prihliadnutím na sumy zvažované na tento účel v predchádzajúcich rokoch.</w:t>
      </w:r>
    </w:p>
    <w:p w:rsidR="00FF2DB3" w:rsidRPr="00C90161" w:rsidRDefault="00FF2DB3" w:rsidP="00FF2DB3">
      <w:pPr>
        <w:pStyle w:val="Text1"/>
        <w:spacing w:before="0" w:after="240" w:line="240" w:lineRule="auto"/>
        <w:rPr>
          <w:i/>
          <w:iCs/>
        </w:rPr>
      </w:pPr>
      <w:r w:rsidRPr="00C90161">
        <w:br w:type="page"/>
      </w:r>
      <w:r w:rsidRPr="00C90161">
        <w:rPr>
          <w:i/>
        </w:rPr>
        <w:t>Článok 10b</w:t>
      </w:r>
      <w:r w:rsidR="00CB3484" w:rsidRPr="00C90161">
        <w:rPr>
          <w:i/>
        </w:rPr>
        <w:br/>
      </w:r>
      <w:r w:rsidRPr="00C90161">
        <w:rPr>
          <w:i/>
        </w:rPr>
        <w:t>Rezerva pre Ukrajinu</w:t>
      </w:r>
    </w:p>
    <w:p w:rsidR="00FF2DB3" w:rsidRPr="00C90161" w:rsidRDefault="00FF2DB3" w:rsidP="00FF2DB3">
      <w:pPr>
        <w:pStyle w:val="Point1"/>
        <w:spacing w:before="0" w:after="240" w:line="240" w:lineRule="auto"/>
      </w:pPr>
      <w:r w:rsidRPr="00C90161">
        <w:t>1.</w:t>
      </w:r>
      <w:r w:rsidRPr="00C90161">
        <w:tab/>
        <w:t>Rezerva pre Ukrajinu sa môže mobilizovať výlučne na účely financovania výdavkov podľa nariadenia (EÚ) 2024/...</w:t>
      </w:r>
      <w:r w:rsidRPr="00C90161">
        <w:rPr>
          <w:rStyle w:val="FootnoteReference"/>
        </w:rPr>
        <w:footnoteReference w:customMarkFollows="1" w:id="11"/>
        <w:t>+</w:t>
      </w:r>
      <w:r w:rsidRPr="00C90161">
        <w:t>.</w:t>
      </w:r>
    </w:p>
    <w:p w:rsidR="00FF2DB3" w:rsidRPr="00C90161" w:rsidRDefault="00FF2DB3" w:rsidP="00FF2DB3">
      <w:pPr>
        <w:pStyle w:val="Point1"/>
        <w:spacing w:before="0" w:after="240" w:line="240" w:lineRule="auto"/>
      </w:pPr>
      <w:r w:rsidRPr="00C90161">
        <w:t>2.</w:t>
      </w:r>
      <w:r w:rsidRPr="00C90161">
        <w:tab/>
        <w:t>Rezerva pre Ukrajinu nesmie presiahnuť sumu 17 000 miliónov EUR v bežných cenách na obdobie 2024 až 2027.</w:t>
      </w:r>
    </w:p>
    <w:p w:rsidR="00FF2DB3" w:rsidRPr="00C90161" w:rsidRDefault="00FF2DB3" w:rsidP="00FF2DB3">
      <w:pPr>
        <w:pStyle w:val="Point1"/>
        <w:spacing w:before="0" w:after="240" w:line="240" w:lineRule="auto"/>
      </w:pPr>
      <w:r w:rsidRPr="00C90161">
        <w:t>3.</w:t>
      </w:r>
      <w:r w:rsidRPr="00C90161">
        <w:tab/>
        <w:t>Ročná suma mobilizovaná v rámci rezervy pre Ukrajinu v konkrétnom roku nesmie presiahnuť 5 000 miliónov EUR v bežných cenách. Bez toho, aby bola dotknutá celková suma stanovená v odseku 2, sa nepoužitá časť ročnej sumy v danom roku môže použiť v nasledujúcich rokoch až do roku 2027.</w:t>
      </w:r>
    </w:p>
    <w:p w:rsidR="00FF2DB3" w:rsidRPr="00C90161" w:rsidRDefault="00FF2DB3" w:rsidP="00FF2DB3">
      <w:pPr>
        <w:pStyle w:val="Point1"/>
        <w:spacing w:before="0" w:after="240" w:line="240" w:lineRule="auto"/>
      </w:pPr>
      <w:r w:rsidRPr="00C90161">
        <w:t>4.</w:t>
      </w:r>
      <w:r w:rsidRPr="00C90161">
        <w:tab/>
        <w:t>Európsky parlament a Rada môžu mobilizovať rezervu pre Ukrajinu v rámci rozpočtového postupu stanoveného v článku 314 ZFEÚ.</w:t>
      </w:r>
    </w:p>
    <w:p w:rsidR="00FF2DB3" w:rsidRPr="00C90161" w:rsidRDefault="00FF2DB3" w:rsidP="00FF2DB3">
      <w:pPr>
        <w:pStyle w:val="Text1"/>
        <w:spacing w:before="0" w:after="240" w:line="240" w:lineRule="auto"/>
      </w:pPr>
      <w:r w:rsidRPr="00C90161">
        <w:t>________________</w:t>
      </w:r>
    </w:p>
    <w:p w:rsidR="00FF2DB3" w:rsidRPr="00C90161" w:rsidRDefault="00FF2DB3" w:rsidP="00FF2DB3">
      <w:pPr>
        <w:pStyle w:val="Point1"/>
        <w:spacing w:before="0" w:after="240" w:line="240" w:lineRule="auto"/>
        <w:ind w:left="1418"/>
      </w:pPr>
      <w:r w:rsidRPr="00C90161">
        <w:rPr>
          <w:b/>
          <w:vertAlign w:val="superscript"/>
        </w:rPr>
        <w:t>*</w:t>
      </w:r>
      <w:r w:rsidRPr="00C90161">
        <w:tab/>
        <w:t xml:space="preserve">Rozhodnutie Rady (EÚ, </w:t>
      </w:r>
      <w:proofErr w:type="spellStart"/>
      <w:r w:rsidRPr="00C90161">
        <w:t>Euratom</w:t>
      </w:r>
      <w:proofErr w:type="spellEnd"/>
      <w:r w:rsidRPr="00C90161">
        <w:t xml:space="preserve">) 2020/2053 zo 14. decembra 2020 o systéme vlastných zdrojov Európskej únie a o zrušení rozhodnutia 2014/335/EÚ, </w:t>
      </w:r>
      <w:proofErr w:type="spellStart"/>
      <w:r w:rsidRPr="00C90161">
        <w:t>Euratom</w:t>
      </w:r>
      <w:proofErr w:type="spellEnd"/>
      <w:r w:rsidRPr="00C90161">
        <w:t xml:space="preserve"> (Ú. v. EÚ L 424, 15.12.2020, s. 1).“</w:t>
      </w:r>
    </w:p>
    <w:p w:rsidR="00FF2DB3" w:rsidRPr="00C90161" w:rsidRDefault="00FF2DB3" w:rsidP="00FF2DB3">
      <w:pPr>
        <w:pStyle w:val="Point0"/>
        <w:spacing w:before="0" w:after="240" w:line="240" w:lineRule="auto"/>
      </w:pPr>
      <w:r w:rsidRPr="00C90161">
        <w:br w:type="page"/>
        <w:t>7</w:t>
      </w:r>
      <w:r w:rsidR="00CB3484" w:rsidRPr="00C90161">
        <w:t>.</w:t>
      </w:r>
      <w:r w:rsidRPr="00C90161">
        <w:tab/>
        <w:t>V článku 11 sa vkladá tento odsek:</w:t>
      </w:r>
    </w:p>
    <w:p w:rsidR="00FF2DB3" w:rsidRPr="00C90161" w:rsidRDefault="00FF2DB3" w:rsidP="00FF2DB3">
      <w:pPr>
        <w:pStyle w:val="Point1"/>
        <w:spacing w:before="0" w:after="240" w:line="240" w:lineRule="auto"/>
      </w:pPr>
      <w:r w:rsidRPr="00C90161">
        <w:t>„3a.</w:t>
      </w:r>
      <w:r w:rsidRPr="00C90161">
        <w:tab/>
        <w:t xml:space="preserve">Maximálna suma ročnej úpravy uvedenej v odseku 3 tohto článku na rok 2026 zvýšená o sumu uvedenú v článku 5 ods. 2 druhom </w:t>
      </w:r>
      <w:proofErr w:type="spellStart"/>
      <w:r w:rsidRPr="00C90161">
        <w:t>pododseku</w:t>
      </w:r>
      <w:proofErr w:type="spellEnd"/>
      <w:r w:rsidRPr="00C90161">
        <w:t xml:space="preserve"> sa upraví o sumu, ktorá zodpovedá nevyužitej časti maximálnej sumy na rok 2025.“</w:t>
      </w:r>
    </w:p>
    <w:p w:rsidR="00FF2DB3" w:rsidRPr="00C90161" w:rsidRDefault="00FF2DB3" w:rsidP="00FF2DB3">
      <w:pPr>
        <w:pStyle w:val="Point0"/>
        <w:spacing w:before="0" w:after="240" w:line="240" w:lineRule="auto"/>
      </w:pPr>
      <w:r w:rsidRPr="00C90161">
        <w:t>8</w:t>
      </w:r>
      <w:r w:rsidR="00CB3484" w:rsidRPr="00C90161">
        <w:t>.</w:t>
      </w:r>
      <w:r w:rsidRPr="00C90161">
        <w:tab/>
        <w:t>Článok 12 sa nahrádza takto:</w:t>
      </w:r>
    </w:p>
    <w:p w:rsidR="00FF2DB3" w:rsidRPr="00C90161" w:rsidRDefault="00FF2DB3" w:rsidP="00FF2DB3">
      <w:pPr>
        <w:pStyle w:val="Text1"/>
        <w:spacing w:before="0" w:after="240" w:line="240" w:lineRule="auto"/>
      </w:pPr>
      <w:r w:rsidRPr="00C90161">
        <w:t>„</w:t>
      </w:r>
      <w:r w:rsidRPr="00C90161">
        <w:rPr>
          <w:i/>
          <w:iCs/>
        </w:rPr>
        <w:t xml:space="preserve">Článok 12 </w:t>
      </w:r>
      <w:r w:rsidR="00CB3484" w:rsidRPr="00C90161">
        <w:rPr>
          <w:i/>
          <w:iCs/>
        </w:rPr>
        <w:br/>
      </w:r>
      <w:r w:rsidRPr="00C90161">
        <w:rPr>
          <w:i/>
          <w:iCs/>
        </w:rPr>
        <w:t>Nástroj flexibility</w:t>
      </w:r>
    </w:p>
    <w:p w:rsidR="00FF2DB3" w:rsidRPr="00C90161" w:rsidRDefault="00FF2DB3" w:rsidP="00FF2DB3">
      <w:pPr>
        <w:pStyle w:val="Point1"/>
        <w:spacing w:before="0" w:after="240" w:line="240" w:lineRule="auto"/>
      </w:pPr>
      <w:r w:rsidRPr="00C90161">
        <w:t>1.</w:t>
      </w:r>
      <w:r w:rsidRPr="00C90161">
        <w:tab/>
        <w:t>Nástroj flexibility sa môže použiť na financovanie osobitných nepredvídaných výdavkov vo viazaných rozpočtových prostriedkoch a zodpovedajúcich platobných rozpočtových prostriedkoch na daný rozpočtový rok, ktoré nemožno financovať v rámci stropov, ktoré sú k dispozícii pre jeden alebo viacero iných okruhov. Strop pre ročnú sumu dostupnú pre nástroj flexibility v rokoch 2021 až 2023 je 915 miliónov EUR (v cenách roku 2018). Strop pre ročnú sumu dostupnú pre nástroj flexibility v rokoch 2024 až 2027 je 1 346 miliónov EUR (v cenách roku 2018).</w:t>
      </w:r>
    </w:p>
    <w:p w:rsidR="00FF2DB3" w:rsidRPr="00C90161" w:rsidRDefault="00FF2DB3" w:rsidP="00FF2DB3">
      <w:pPr>
        <w:pStyle w:val="Text2"/>
        <w:spacing w:before="0" w:after="240" w:line="240" w:lineRule="auto"/>
      </w:pPr>
      <w:r w:rsidRPr="00C90161">
        <w:t>Ročná suma, ktorá je k dispozícii pre nástroj flexibility, sa každoročne zvýši o sumu zodpovedajúcu častiam ročných súm na európsku rezervu na solidaritu a na rezervu na núdzovú pomoc, ktoré prepadli v predchádzajúcom roku v súlade s článkom 9.</w:t>
      </w:r>
    </w:p>
    <w:p w:rsidR="00FF2DB3" w:rsidRPr="00C90161" w:rsidRDefault="00FF2DB3" w:rsidP="00FF2DB3">
      <w:pPr>
        <w:pStyle w:val="Point1"/>
        <w:spacing w:before="0" w:after="240" w:line="240" w:lineRule="auto"/>
      </w:pPr>
      <w:r w:rsidRPr="00C90161">
        <w:br w:type="page"/>
        <w:t>2.</w:t>
      </w:r>
      <w:r w:rsidRPr="00C90161">
        <w:tab/>
        <w:t>Nepoužitú časť ročnej sumy nástroja flexibility možno použiť do roku n+2. Akákoľvek časť ročnej sumy, ktorá pochádza z predchádzajúcich rokov, sa použije ako prvá, a to v chronologickom poradí. Akákoľvek časť ročnej sumy z roku n, ktorá sa nepoužije do roku n+2, prepadne.“</w:t>
      </w:r>
    </w:p>
    <w:p w:rsidR="00FF2DB3" w:rsidRPr="00C90161" w:rsidRDefault="00FF2DB3" w:rsidP="00FF2DB3">
      <w:pPr>
        <w:pStyle w:val="Point0"/>
        <w:spacing w:before="0" w:after="240" w:line="240" w:lineRule="auto"/>
      </w:pPr>
      <w:r w:rsidRPr="00C90161">
        <w:t>9</w:t>
      </w:r>
      <w:r w:rsidR="00CB3484" w:rsidRPr="00C90161">
        <w:t>.</w:t>
      </w:r>
      <w:r w:rsidRPr="00C90161">
        <w:tab/>
        <w:t>Prílohy I a II sa nahrádzajú textom uvedeným v prílohe k tomuto nariadeniu.</w:t>
      </w:r>
    </w:p>
    <w:p w:rsidR="00FF2DB3" w:rsidRPr="00C90161" w:rsidRDefault="00FF2DB3" w:rsidP="00FF2DB3">
      <w:pPr>
        <w:pStyle w:val="Titrearticle"/>
        <w:spacing w:before="0" w:after="240" w:line="240" w:lineRule="auto"/>
      </w:pPr>
      <w:r w:rsidRPr="00C90161">
        <w:t>Článok 2</w:t>
      </w:r>
    </w:p>
    <w:p w:rsidR="00FF2DB3" w:rsidRPr="00C90161" w:rsidRDefault="00FF2DB3" w:rsidP="00FF2DB3">
      <w:pPr>
        <w:spacing w:after="240"/>
      </w:pPr>
      <w:r w:rsidRPr="00C90161">
        <w:t xml:space="preserve">Toto nariadenie nadobúda účinnosť dňom jeho uverejnenia v </w:t>
      </w:r>
      <w:r w:rsidRPr="00C90161">
        <w:rPr>
          <w:i/>
          <w:iCs/>
        </w:rPr>
        <w:t>Úradnom vestníku Európskej únie.</w:t>
      </w:r>
    </w:p>
    <w:p w:rsidR="00FF2DB3" w:rsidRPr="00C90161" w:rsidRDefault="00FF2DB3" w:rsidP="00FF2DB3">
      <w:pPr>
        <w:spacing w:after="240"/>
      </w:pPr>
      <w:r w:rsidRPr="00C90161">
        <w:t>Uplatňuje sa od 1. januára 2024.</w:t>
      </w:r>
    </w:p>
    <w:p w:rsidR="00FF2DB3" w:rsidRPr="00C90161" w:rsidRDefault="00FF2DB3" w:rsidP="00FF2DB3">
      <w:pPr>
        <w:pStyle w:val="Applicationdirecte"/>
        <w:spacing w:before="0" w:after="240" w:line="240" w:lineRule="auto"/>
      </w:pPr>
      <w:r w:rsidRPr="00C90161">
        <w:t>Toto nariadenie je záväzné v celom svojom rozsahu a priamo uplatniteľné vo všetkých členských štátoch.</w:t>
      </w:r>
    </w:p>
    <w:p w:rsidR="00FF2DB3" w:rsidRPr="00C90161" w:rsidRDefault="00FF2DB3" w:rsidP="00FF2DB3">
      <w:pPr>
        <w:pStyle w:val="Fait"/>
        <w:spacing w:before="0" w:after="240" w:line="240" w:lineRule="auto"/>
      </w:pPr>
      <w:r w:rsidRPr="00C90161">
        <w:t>V …</w:t>
      </w:r>
    </w:p>
    <w:p w:rsidR="00FF2DB3" w:rsidRPr="00C90161" w:rsidRDefault="00FF2DB3" w:rsidP="00FF2DB3">
      <w:pPr>
        <w:pStyle w:val="Institutionquisigne"/>
        <w:spacing w:before="0" w:after="240" w:line="240" w:lineRule="auto"/>
      </w:pPr>
      <w:r w:rsidRPr="00C90161">
        <w:tab/>
        <w:t>Za Radu</w:t>
      </w:r>
    </w:p>
    <w:p w:rsidR="00FF2DB3" w:rsidRPr="00C90161" w:rsidRDefault="00FF2DB3" w:rsidP="00FF2DB3">
      <w:pPr>
        <w:pStyle w:val="Personnequisigne"/>
        <w:spacing w:after="240" w:line="240" w:lineRule="auto"/>
      </w:pPr>
      <w:r w:rsidRPr="00C90161">
        <w:tab/>
        <w:t>predseda</w:t>
      </w:r>
    </w:p>
    <w:p w:rsidR="00FF2DB3" w:rsidRPr="00C90161" w:rsidRDefault="00FF2DB3" w:rsidP="00FF2DB3">
      <w:pPr>
        <w:pStyle w:val="Lignefinal"/>
      </w:pPr>
    </w:p>
    <w:p w:rsidR="00FF2DB3" w:rsidRPr="00C90161" w:rsidRDefault="00FF2DB3" w:rsidP="00FF2DB3"/>
    <w:p w:rsidR="00FF2DB3" w:rsidRPr="00C90161" w:rsidRDefault="00FF2DB3" w:rsidP="00FF2DB3">
      <w:pPr>
        <w:sectPr w:rsidR="00FF2DB3" w:rsidRPr="00C90161" w:rsidSect="00A85530">
          <w:footerReference w:type="even" r:id="rId9"/>
          <w:footerReference w:type="first" r:id="rId10"/>
          <w:footnotePr>
            <w:numRestart w:val="eachPage"/>
          </w:footnotePr>
          <w:pgSz w:w="11907" w:h="16839"/>
          <w:pgMar w:top="1134" w:right="1134" w:bottom="1134" w:left="1134" w:header="567" w:footer="567" w:gutter="0"/>
          <w:cols w:space="720"/>
          <w:docGrid w:linePitch="326"/>
        </w:sectPr>
      </w:pPr>
    </w:p>
    <w:p w:rsidR="00FF2DB3" w:rsidRPr="00C90161" w:rsidRDefault="00FF2DB3" w:rsidP="00FF2DB3">
      <w:pPr>
        <w:pStyle w:val="Annexetitre"/>
      </w:pPr>
      <w:r w:rsidRPr="00C90161">
        <w:t>PRÍLOHA</w:t>
      </w:r>
    </w:p>
    <w:p w:rsidR="00FF2DB3" w:rsidRPr="00C90161" w:rsidRDefault="00FF2DB3" w:rsidP="00FF2DB3">
      <w:pPr>
        <w:pStyle w:val="NormalCentered"/>
      </w:pPr>
      <w:r w:rsidRPr="00C90161">
        <w:t xml:space="preserve">„PRÍLOHA I </w:t>
      </w:r>
      <w:r w:rsidR="00CB3484" w:rsidRPr="00C90161">
        <w:br/>
      </w:r>
      <w:r w:rsidRPr="00C90161">
        <w:t>VIACROČNÝ FINANČNÝ RÁMEC (EÚ-27)</w:t>
      </w:r>
    </w:p>
    <w:tbl>
      <w:tblPr>
        <w:tblW w:w="5050" w:type="pct"/>
        <w:tblLook w:val="04A0" w:firstRow="1" w:lastRow="0" w:firstColumn="1" w:lastColumn="0" w:noHBand="0" w:noVBand="1"/>
      </w:tblPr>
      <w:tblGrid>
        <w:gridCol w:w="6384"/>
        <w:gridCol w:w="996"/>
        <w:gridCol w:w="996"/>
        <w:gridCol w:w="996"/>
        <w:gridCol w:w="996"/>
        <w:gridCol w:w="996"/>
        <w:gridCol w:w="1058"/>
        <w:gridCol w:w="1033"/>
        <w:gridCol w:w="1944"/>
      </w:tblGrid>
      <w:tr w:rsidR="00FF2DB3" w:rsidRPr="00C90161" w:rsidTr="00F75558">
        <w:trPr>
          <w:trHeight w:val="315"/>
          <w:tblHeader/>
        </w:trPr>
        <w:tc>
          <w:tcPr>
            <w:tcW w:w="1927" w:type="pct"/>
            <w:noWrap/>
            <w:vAlign w:val="bottom"/>
            <w:hideMark/>
          </w:tcPr>
          <w:p w:rsidR="00FF2DB3" w:rsidRPr="00C90161" w:rsidRDefault="00FF2DB3" w:rsidP="00F75558"/>
        </w:tc>
        <w:tc>
          <w:tcPr>
            <w:tcW w:w="347" w:type="pct"/>
            <w:noWrap/>
            <w:vAlign w:val="bottom"/>
            <w:hideMark/>
          </w:tcPr>
          <w:p w:rsidR="00FF2DB3" w:rsidRPr="00C90161" w:rsidRDefault="00FF2DB3" w:rsidP="00F75558">
            <w:pPr>
              <w:spacing w:after="160" w:line="256" w:lineRule="auto"/>
              <w:rPr>
                <w:rFonts w:asciiTheme="minorHAnsi" w:hAnsiTheme="minorHAnsi" w:cstheme="minorBidi"/>
                <w:sz w:val="20"/>
              </w:rPr>
            </w:pPr>
          </w:p>
        </w:tc>
        <w:tc>
          <w:tcPr>
            <w:tcW w:w="350" w:type="pct"/>
            <w:noWrap/>
            <w:vAlign w:val="bottom"/>
            <w:hideMark/>
          </w:tcPr>
          <w:p w:rsidR="00FF2DB3" w:rsidRPr="00C90161" w:rsidRDefault="00FF2DB3" w:rsidP="00F75558">
            <w:pPr>
              <w:spacing w:after="160" w:line="256" w:lineRule="auto"/>
              <w:rPr>
                <w:rFonts w:asciiTheme="minorHAnsi" w:hAnsiTheme="minorHAnsi" w:cstheme="minorBidi"/>
                <w:sz w:val="20"/>
              </w:rPr>
            </w:pPr>
          </w:p>
        </w:tc>
        <w:tc>
          <w:tcPr>
            <w:tcW w:w="350" w:type="pct"/>
            <w:noWrap/>
            <w:vAlign w:val="bottom"/>
            <w:hideMark/>
          </w:tcPr>
          <w:p w:rsidR="00FF2DB3" w:rsidRPr="00C90161" w:rsidRDefault="00FF2DB3" w:rsidP="00F75558">
            <w:pPr>
              <w:spacing w:after="160" w:line="256" w:lineRule="auto"/>
              <w:rPr>
                <w:rFonts w:asciiTheme="minorHAnsi" w:hAnsiTheme="minorHAnsi" w:cstheme="minorBidi"/>
                <w:sz w:val="20"/>
              </w:rPr>
            </w:pPr>
          </w:p>
        </w:tc>
        <w:tc>
          <w:tcPr>
            <w:tcW w:w="350" w:type="pct"/>
            <w:noWrap/>
            <w:vAlign w:val="bottom"/>
            <w:hideMark/>
          </w:tcPr>
          <w:p w:rsidR="00FF2DB3" w:rsidRPr="00C90161" w:rsidRDefault="00FF2DB3" w:rsidP="00F75558">
            <w:pPr>
              <w:spacing w:after="160" w:line="256" w:lineRule="auto"/>
              <w:rPr>
                <w:rFonts w:asciiTheme="minorHAnsi" w:hAnsiTheme="minorHAnsi" w:cstheme="minorBidi"/>
                <w:sz w:val="20"/>
              </w:rPr>
            </w:pPr>
          </w:p>
        </w:tc>
        <w:tc>
          <w:tcPr>
            <w:tcW w:w="349" w:type="pct"/>
            <w:noWrap/>
            <w:vAlign w:val="bottom"/>
            <w:hideMark/>
          </w:tcPr>
          <w:p w:rsidR="00FF2DB3" w:rsidRPr="00C90161" w:rsidRDefault="00FF2DB3" w:rsidP="00F75558">
            <w:pPr>
              <w:spacing w:after="160" w:line="256" w:lineRule="auto"/>
              <w:rPr>
                <w:rFonts w:asciiTheme="minorHAnsi" w:hAnsiTheme="minorHAnsi" w:cstheme="minorBidi"/>
                <w:sz w:val="20"/>
              </w:rPr>
            </w:pPr>
          </w:p>
        </w:tc>
        <w:tc>
          <w:tcPr>
            <w:tcW w:w="1327" w:type="pct"/>
            <w:gridSpan w:val="3"/>
            <w:noWrap/>
            <w:vAlign w:val="center"/>
            <w:hideMark/>
          </w:tcPr>
          <w:p w:rsidR="00FF2DB3" w:rsidRPr="00C90161" w:rsidRDefault="00FF2DB3" w:rsidP="00F75558">
            <w:pPr>
              <w:spacing w:before="60" w:after="60"/>
              <w:jc w:val="right"/>
              <w:rPr>
                <w:i/>
                <w:szCs w:val="22"/>
              </w:rPr>
            </w:pPr>
            <w:r w:rsidRPr="00C90161">
              <w:rPr>
                <w:i/>
              </w:rPr>
              <w:t>(v miliónoch EUR, v cenách roku 2018)</w:t>
            </w:r>
          </w:p>
        </w:tc>
      </w:tr>
      <w:tr w:rsidR="00FF2DB3" w:rsidRPr="00C90161" w:rsidTr="00F75558">
        <w:trPr>
          <w:trHeight w:val="645"/>
          <w:tblHeader/>
        </w:trPr>
        <w:tc>
          <w:tcPr>
            <w:tcW w:w="1927" w:type="pct"/>
            <w:tcBorders>
              <w:top w:val="single" w:sz="8" w:space="0" w:color="auto"/>
              <w:left w:val="single" w:sz="8" w:space="0" w:color="auto"/>
              <w:bottom w:val="single" w:sz="8" w:space="0" w:color="auto"/>
              <w:right w:val="single" w:sz="4" w:space="0" w:color="auto"/>
            </w:tcBorders>
            <w:noWrap/>
            <w:vAlign w:val="center"/>
            <w:hideMark/>
          </w:tcPr>
          <w:p w:rsidR="00FF2DB3" w:rsidRPr="00C90161" w:rsidRDefault="00FF2DB3" w:rsidP="00F75558">
            <w:pPr>
              <w:spacing w:before="60" w:after="60"/>
              <w:jc w:val="center"/>
              <w:rPr>
                <w:b/>
                <w:bCs/>
              </w:rPr>
            </w:pPr>
            <w:r w:rsidRPr="00C90161">
              <w:rPr>
                <w:b/>
              </w:rPr>
              <w:t>VIAZANÉ ROZPOČTOVÉ PROSTRIEDKY</w:t>
            </w:r>
          </w:p>
        </w:tc>
        <w:tc>
          <w:tcPr>
            <w:tcW w:w="347" w:type="pct"/>
            <w:tcBorders>
              <w:top w:val="single" w:sz="8" w:space="0" w:color="auto"/>
              <w:left w:val="nil"/>
              <w:bottom w:val="single" w:sz="8" w:space="0" w:color="auto"/>
              <w:right w:val="nil"/>
            </w:tcBorders>
            <w:noWrap/>
            <w:vAlign w:val="center"/>
            <w:hideMark/>
          </w:tcPr>
          <w:p w:rsidR="00FF2DB3" w:rsidRPr="00C90161" w:rsidRDefault="00FF2DB3" w:rsidP="00F75558">
            <w:pPr>
              <w:spacing w:before="60" w:after="60"/>
              <w:jc w:val="center"/>
              <w:rPr>
                <w:b/>
                <w:bCs/>
              </w:rPr>
            </w:pPr>
            <w:r w:rsidRPr="00C90161">
              <w:rPr>
                <w:b/>
              </w:rPr>
              <w:t>2021</w:t>
            </w:r>
          </w:p>
        </w:tc>
        <w:tc>
          <w:tcPr>
            <w:tcW w:w="350" w:type="pct"/>
            <w:tcBorders>
              <w:top w:val="single" w:sz="8" w:space="0" w:color="auto"/>
              <w:left w:val="nil"/>
              <w:bottom w:val="single" w:sz="8" w:space="0" w:color="auto"/>
              <w:right w:val="nil"/>
            </w:tcBorders>
            <w:noWrap/>
            <w:vAlign w:val="center"/>
            <w:hideMark/>
          </w:tcPr>
          <w:p w:rsidR="00FF2DB3" w:rsidRPr="00C90161" w:rsidRDefault="00FF2DB3" w:rsidP="00F75558">
            <w:pPr>
              <w:spacing w:before="60" w:after="60"/>
              <w:jc w:val="center"/>
              <w:rPr>
                <w:b/>
                <w:bCs/>
              </w:rPr>
            </w:pPr>
            <w:r w:rsidRPr="00C90161">
              <w:rPr>
                <w:b/>
              </w:rPr>
              <w:t>2022</w:t>
            </w:r>
          </w:p>
        </w:tc>
        <w:tc>
          <w:tcPr>
            <w:tcW w:w="350" w:type="pct"/>
            <w:tcBorders>
              <w:top w:val="single" w:sz="8" w:space="0" w:color="auto"/>
              <w:left w:val="nil"/>
              <w:bottom w:val="single" w:sz="8" w:space="0" w:color="auto"/>
              <w:right w:val="nil"/>
            </w:tcBorders>
            <w:noWrap/>
            <w:vAlign w:val="center"/>
            <w:hideMark/>
          </w:tcPr>
          <w:p w:rsidR="00FF2DB3" w:rsidRPr="00C90161" w:rsidRDefault="00FF2DB3" w:rsidP="00F75558">
            <w:pPr>
              <w:spacing w:before="60" w:after="60"/>
              <w:jc w:val="center"/>
              <w:rPr>
                <w:b/>
                <w:bCs/>
              </w:rPr>
            </w:pPr>
            <w:r w:rsidRPr="00C90161">
              <w:rPr>
                <w:b/>
              </w:rPr>
              <w:t>2023</w:t>
            </w:r>
          </w:p>
        </w:tc>
        <w:tc>
          <w:tcPr>
            <w:tcW w:w="350" w:type="pct"/>
            <w:tcBorders>
              <w:top w:val="single" w:sz="8" w:space="0" w:color="auto"/>
              <w:left w:val="nil"/>
              <w:bottom w:val="single" w:sz="8" w:space="0" w:color="auto"/>
              <w:right w:val="nil"/>
            </w:tcBorders>
            <w:noWrap/>
            <w:vAlign w:val="center"/>
            <w:hideMark/>
          </w:tcPr>
          <w:p w:rsidR="00FF2DB3" w:rsidRPr="00C90161" w:rsidRDefault="00FF2DB3" w:rsidP="00F75558">
            <w:pPr>
              <w:spacing w:before="60" w:after="60"/>
              <w:jc w:val="center"/>
              <w:rPr>
                <w:b/>
                <w:bCs/>
              </w:rPr>
            </w:pPr>
            <w:r w:rsidRPr="00C90161">
              <w:rPr>
                <w:b/>
              </w:rPr>
              <w:t>2024</w:t>
            </w:r>
          </w:p>
        </w:tc>
        <w:tc>
          <w:tcPr>
            <w:tcW w:w="349" w:type="pct"/>
            <w:tcBorders>
              <w:top w:val="single" w:sz="8" w:space="0" w:color="auto"/>
              <w:left w:val="nil"/>
              <w:bottom w:val="single" w:sz="8" w:space="0" w:color="auto"/>
              <w:right w:val="nil"/>
            </w:tcBorders>
            <w:noWrap/>
            <w:vAlign w:val="center"/>
            <w:hideMark/>
          </w:tcPr>
          <w:p w:rsidR="00FF2DB3" w:rsidRPr="00C90161" w:rsidRDefault="00FF2DB3" w:rsidP="00F75558">
            <w:pPr>
              <w:spacing w:before="60" w:after="60"/>
              <w:jc w:val="center"/>
              <w:rPr>
                <w:b/>
                <w:bCs/>
              </w:rPr>
            </w:pPr>
            <w:r w:rsidRPr="00C90161">
              <w:rPr>
                <w:b/>
              </w:rPr>
              <w:t>2025</w:t>
            </w:r>
          </w:p>
        </w:tc>
        <w:tc>
          <w:tcPr>
            <w:tcW w:w="348" w:type="pct"/>
            <w:tcBorders>
              <w:top w:val="single" w:sz="8" w:space="0" w:color="auto"/>
              <w:left w:val="nil"/>
              <w:bottom w:val="single" w:sz="8" w:space="0" w:color="auto"/>
              <w:right w:val="nil"/>
            </w:tcBorders>
            <w:noWrap/>
            <w:vAlign w:val="center"/>
            <w:hideMark/>
          </w:tcPr>
          <w:p w:rsidR="00FF2DB3" w:rsidRPr="00C90161" w:rsidRDefault="00FF2DB3" w:rsidP="00F75558">
            <w:pPr>
              <w:spacing w:before="60" w:after="60"/>
              <w:jc w:val="center"/>
              <w:rPr>
                <w:b/>
                <w:bCs/>
              </w:rPr>
            </w:pPr>
            <w:r w:rsidRPr="00C90161">
              <w:rPr>
                <w:b/>
              </w:rPr>
              <w:t>2026</w:t>
            </w:r>
          </w:p>
        </w:tc>
        <w:tc>
          <w:tcPr>
            <w:tcW w:w="340" w:type="pct"/>
            <w:tcBorders>
              <w:top w:val="single" w:sz="8" w:space="0" w:color="auto"/>
              <w:left w:val="nil"/>
              <w:bottom w:val="single" w:sz="8" w:space="0" w:color="auto"/>
              <w:right w:val="nil"/>
            </w:tcBorders>
            <w:noWrap/>
            <w:vAlign w:val="center"/>
            <w:hideMark/>
          </w:tcPr>
          <w:p w:rsidR="00FF2DB3" w:rsidRPr="00C90161" w:rsidRDefault="00FF2DB3" w:rsidP="00F75558">
            <w:pPr>
              <w:spacing w:before="60" w:after="60"/>
              <w:jc w:val="center"/>
              <w:rPr>
                <w:b/>
                <w:bCs/>
              </w:rPr>
            </w:pPr>
            <w:r w:rsidRPr="00C90161">
              <w:rPr>
                <w:b/>
              </w:rPr>
              <w:t>2027</w:t>
            </w:r>
          </w:p>
        </w:tc>
        <w:tc>
          <w:tcPr>
            <w:tcW w:w="639" w:type="pct"/>
            <w:tcBorders>
              <w:top w:val="single" w:sz="8" w:space="0" w:color="auto"/>
              <w:left w:val="single" w:sz="4" w:space="0" w:color="auto"/>
              <w:bottom w:val="single" w:sz="8" w:space="0" w:color="auto"/>
              <w:right w:val="single" w:sz="8" w:space="0" w:color="auto"/>
            </w:tcBorders>
            <w:vAlign w:val="center"/>
            <w:hideMark/>
          </w:tcPr>
          <w:p w:rsidR="00FF2DB3" w:rsidRPr="00C90161" w:rsidRDefault="00FF2DB3" w:rsidP="00F75558">
            <w:pPr>
              <w:spacing w:before="60" w:after="60"/>
              <w:jc w:val="center"/>
              <w:rPr>
                <w:b/>
                <w:bCs/>
              </w:rPr>
            </w:pPr>
            <w:r w:rsidRPr="00C90161">
              <w:rPr>
                <w:b/>
              </w:rPr>
              <w:t>Spolu za roky 2021 – 2027</w:t>
            </w:r>
          </w:p>
        </w:tc>
      </w:tr>
      <w:tr w:rsidR="00FF2DB3" w:rsidRPr="00C90161" w:rsidTr="00F75558">
        <w:trPr>
          <w:trHeight w:val="300"/>
        </w:trPr>
        <w:tc>
          <w:tcPr>
            <w:tcW w:w="1927" w:type="pct"/>
            <w:tcBorders>
              <w:top w:val="nil"/>
              <w:left w:val="single" w:sz="8" w:space="0" w:color="auto"/>
              <w:bottom w:val="nil"/>
              <w:right w:val="single" w:sz="4" w:space="0" w:color="auto"/>
            </w:tcBorders>
            <w:noWrap/>
            <w:vAlign w:val="center"/>
            <w:hideMark/>
          </w:tcPr>
          <w:p w:rsidR="00FF2DB3" w:rsidRPr="00C90161" w:rsidRDefault="00FF2DB3" w:rsidP="00F75558">
            <w:pPr>
              <w:spacing w:before="60" w:after="60"/>
              <w:rPr>
                <w:b/>
                <w:bCs/>
              </w:rPr>
            </w:pPr>
            <w:r w:rsidRPr="00C90161">
              <w:rPr>
                <w:b/>
              </w:rPr>
              <w:t>1.</w:t>
            </w:r>
            <w:r w:rsidRPr="00C90161">
              <w:rPr>
                <w:b/>
              </w:rPr>
              <w:tab/>
              <w:t>Jednotný trh, inovácie a digitálna ekonomika</w:t>
            </w:r>
          </w:p>
        </w:tc>
        <w:tc>
          <w:tcPr>
            <w:tcW w:w="347" w:type="pct"/>
            <w:noWrap/>
            <w:vAlign w:val="center"/>
            <w:hideMark/>
          </w:tcPr>
          <w:p w:rsidR="00FF2DB3" w:rsidRPr="00C90161" w:rsidRDefault="00FF2DB3" w:rsidP="00F75558">
            <w:pPr>
              <w:spacing w:before="60" w:after="60"/>
              <w:jc w:val="right"/>
              <w:rPr>
                <w:b/>
                <w:bCs/>
              </w:rPr>
            </w:pPr>
            <w:r w:rsidRPr="00C90161">
              <w:rPr>
                <w:b/>
              </w:rPr>
              <w:t>19 712</w:t>
            </w:r>
          </w:p>
        </w:tc>
        <w:tc>
          <w:tcPr>
            <w:tcW w:w="350" w:type="pct"/>
            <w:noWrap/>
            <w:vAlign w:val="center"/>
            <w:hideMark/>
          </w:tcPr>
          <w:p w:rsidR="00FF2DB3" w:rsidRPr="00C90161" w:rsidRDefault="00FF2DB3" w:rsidP="00F75558">
            <w:pPr>
              <w:spacing w:before="60" w:after="60"/>
              <w:jc w:val="right"/>
              <w:rPr>
                <w:b/>
                <w:bCs/>
              </w:rPr>
            </w:pPr>
            <w:r w:rsidRPr="00C90161">
              <w:rPr>
                <w:b/>
              </w:rPr>
              <w:t>20 211</w:t>
            </w:r>
          </w:p>
        </w:tc>
        <w:tc>
          <w:tcPr>
            <w:tcW w:w="350" w:type="pct"/>
            <w:noWrap/>
            <w:vAlign w:val="center"/>
            <w:hideMark/>
          </w:tcPr>
          <w:p w:rsidR="00FF2DB3" w:rsidRPr="00C90161" w:rsidRDefault="00FF2DB3" w:rsidP="00F75558">
            <w:pPr>
              <w:spacing w:before="60" w:after="60"/>
              <w:jc w:val="right"/>
              <w:rPr>
                <w:b/>
                <w:bCs/>
              </w:rPr>
            </w:pPr>
            <w:r w:rsidRPr="00C90161">
              <w:rPr>
                <w:b/>
              </w:rPr>
              <w:t>19 678</w:t>
            </w:r>
          </w:p>
        </w:tc>
        <w:tc>
          <w:tcPr>
            <w:tcW w:w="350" w:type="pct"/>
            <w:noWrap/>
            <w:vAlign w:val="center"/>
            <w:hideMark/>
          </w:tcPr>
          <w:p w:rsidR="00FF2DB3" w:rsidRPr="00C90161" w:rsidRDefault="00FF2DB3" w:rsidP="00F75558">
            <w:pPr>
              <w:spacing w:before="60" w:after="60"/>
              <w:jc w:val="right"/>
              <w:rPr>
                <w:b/>
                <w:bCs/>
              </w:rPr>
            </w:pPr>
            <w:r w:rsidRPr="00C90161">
              <w:rPr>
                <w:b/>
              </w:rPr>
              <w:t>19 178</w:t>
            </w:r>
          </w:p>
        </w:tc>
        <w:tc>
          <w:tcPr>
            <w:tcW w:w="349" w:type="pct"/>
            <w:noWrap/>
            <w:vAlign w:val="center"/>
            <w:hideMark/>
          </w:tcPr>
          <w:p w:rsidR="00FF2DB3" w:rsidRPr="00C90161" w:rsidRDefault="00FF2DB3" w:rsidP="00F75558">
            <w:pPr>
              <w:spacing w:before="60" w:after="60"/>
              <w:jc w:val="right"/>
              <w:rPr>
                <w:b/>
                <w:bCs/>
              </w:rPr>
            </w:pPr>
            <w:r w:rsidRPr="00C90161">
              <w:rPr>
                <w:b/>
              </w:rPr>
              <w:t>18 173</w:t>
            </w:r>
          </w:p>
        </w:tc>
        <w:tc>
          <w:tcPr>
            <w:tcW w:w="348" w:type="pct"/>
            <w:noWrap/>
            <w:vAlign w:val="center"/>
            <w:hideMark/>
          </w:tcPr>
          <w:p w:rsidR="00FF2DB3" w:rsidRPr="00C90161" w:rsidRDefault="00FF2DB3" w:rsidP="00F75558">
            <w:pPr>
              <w:spacing w:before="60" w:after="60"/>
              <w:jc w:val="right"/>
              <w:rPr>
                <w:b/>
                <w:bCs/>
              </w:rPr>
            </w:pPr>
            <w:r w:rsidRPr="00C90161">
              <w:rPr>
                <w:b/>
              </w:rPr>
              <w:t>18 120</w:t>
            </w:r>
          </w:p>
        </w:tc>
        <w:tc>
          <w:tcPr>
            <w:tcW w:w="340" w:type="pct"/>
            <w:noWrap/>
            <w:vAlign w:val="center"/>
            <w:hideMark/>
          </w:tcPr>
          <w:p w:rsidR="00FF2DB3" w:rsidRPr="00C90161" w:rsidRDefault="00FF2DB3" w:rsidP="00F75558">
            <w:pPr>
              <w:spacing w:before="60" w:after="60"/>
              <w:jc w:val="right"/>
              <w:rPr>
                <w:b/>
                <w:bCs/>
              </w:rPr>
            </w:pPr>
            <w:r w:rsidRPr="00C90161">
              <w:rPr>
                <w:b/>
              </w:rPr>
              <w:t>17 565</w:t>
            </w:r>
          </w:p>
        </w:tc>
        <w:tc>
          <w:tcPr>
            <w:tcW w:w="639" w:type="pct"/>
            <w:tcBorders>
              <w:top w:val="nil"/>
              <w:left w:val="single" w:sz="4" w:space="0" w:color="auto"/>
              <w:bottom w:val="nil"/>
              <w:right w:val="single" w:sz="8" w:space="0" w:color="auto"/>
            </w:tcBorders>
            <w:noWrap/>
            <w:vAlign w:val="center"/>
            <w:hideMark/>
          </w:tcPr>
          <w:p w:rsidR="00FF2DB3" w:rsidRPr="00C90161" w:rsidRDefault="00FF2DB3" w:rsidP="00F75558">
            <w:pPr>
              <w:spacing w:before="60" w:after="60"/>
              <w:jc w:val="right"/>
              <w:rPr>
                <w:b/>
                <w:bCs/>
              </w:rPr>
            </w:pPr>
            <w:r w:rsidRPr="00C90161">
              <w:rPr>
                <w:b/>
              </w:rPr>
              <w:t>132 637</w:t>
            </w:r>
          </w:p>
        </w:tc>
      </w:tr>
      <w:tr w:rsidR="00FF2DB3" w:rsidRPr="00C90161" w:rsidTr="00F75558">
        <w:trPr>
          <w:trHeight w:val="300"/>
        </w:trPr>
        <w:tc>
          <w:tcPr>
            <w:tcW w:w="1927" w:type="pct"/>
            <w:tcBorders>
              <w:top w:val="nil"/>
              <w:left w:val="single" w:sz="8" w:space="0" w:color="auto"/>
              <w:bottom w:val="nil"/>
              <w:right w:val="single" w:sz="4" w:space="0" w:color="auto"/>
            </w:tcBorders>
            <w:noWrap/>
            <w:vAlign w:val="center"/>
            <w:hideMark/>
          </w:tcPr>
          <w:p w:rsidR="00FF2DB3" w:rsidRPr="00C90161" w:rsidRDefault="00FF2DB3" w:rsidP="00F75558">
            <w:pPr>
              <w:spacing w:before="60" w:after="60"/>
              <w:rPr>
                <w:b/>
                <w:bCs/>
              </w:rPr>
            </w:pPr>
            <w:r w:rsidRPr="00C90161">
              <w:rPr>
                <w:b/>
              </w:rPr>
              <w:t>2.</w:t>
            </w:r>
            <w:r w:rsidRPr="00C90161">
              <w:rPr>
                <w:b/>
              </w:rPr>
              <w:tab/>
              <w:t>Súdržnosť, odolnosť a hodnoty</w:t>
            </w:r>
          </w:p>
        </w:tc>
        <w:tc>
          <w:tcPr>
            <w:tcW w:w="347" w:type="pct"/>
            <w:noWrap/>
            <w:vAlign w:val="center"/>
            <w:hideMark/>
          </w:tcPr>
          <w:p w:rsidR="00FF2DB3" w:rsidRPr="00C90161" w:rsidRDefault="00FF2DB3" w:rsidP="00F75558">
            <w:pPr>
              <w:spacing w:before="60" w:after="60"/>
              <w:jc w:val="right"/>
              <w:rPr>
                <w:b/>
                <w:bCs/>
              </w:rPr>
            </w:pPr>
            <w:r w:rsidRPr="00C90161">
              <w:rPr>
                <w:b/>
              </w:rPr>
              <w:t>5 996</w:t>
            </w:r>
          </w:p>
        </w:tc>
        <w:tc>
          <w:tcPr>
            <w:tcW w:w="350" w:type="pct"/>
            <w:noWrap/>
            <w:vAlign w:val="center"/>
            <w:hideMark/>
          </w:tcPr>
          <w:p w:rsidR="00FF2DB3" w:rsidRPr="00C90161" w:rsidRDefault="00FF2DB3" w:rsidP="00F75558">
            <w:pPr>
              <w:spacing w:before="60" w:after="60"/>
              <w:jc w:val="right"/>
              <w:rPr>
                <w:b/>
                <w:bCs/>
              </w:rPr>
            </w:pPr>
            <w:r w:rsidRPr="00C90161">
              <w:rPr>
                <w:b/>
              </w:rPr>
              <w:t>62 642</w:t>
            </w:r>
          </w:p>
        </w:tc>
        <w:tc>
          <w:tcPr>
            <w:tcW w:w="350" w:type="pct"/>
            <w:noWrap/>
            <w:vAlign w:val="center"/>
            <w:hideMark/>
          </w:tcPr>
          <w:p w:rsidR="00FF2DB3" w:rsidRPr="00C90161" w:rsidRDefault="00FF2DB3" w:rsidP="00F75558">
            <w:pPr>
              <w:spacing w:before="60" w:after="60"/>
              <w:jc w:val="right"/>
              <w:rPr>
                <w:b/>
                <w:bCs/>
              </w:rPr>
            </w:pPr>
            <w:r w:rsidRPr="00C90161">
              <w:rPr>
                <w:b/>
              </w:rPr>
              <w:t>63 525</w:t>
            </w:r>
          </w:p>
        </w:tc>
        <w:tc>
          <w:tcPr>
            <w:tcW w:w="350" w:type="pct"/>
            <w:noWrap/>
            <w:vAlign w:val="center"/>
            <w:hideMark/>
          </w:tcPr>
          <w:p w:rsidR="00FF2DB3" w:rsidRPr="00C90161" w:rsidRDefault="00FF2DB3" w:rsidP="00F75558">
            <w:pPr>
              <w:spacing w:before="60" w:after="60"/>
              <w:jc w:val="right"/>
              <w:rPr>
                <w:b/>
                <w:bCs/>
              </w:rPr>
            </w:pPr>
            <w:r w:rsidRPr="00C90161">
              <w:rPr>
                <w:b/>
              </w:rPr>
              <w:t>65 079</w:t>
            </w:r>
          </w:p>
        </w:tc>
        <w:tc>
          <w:tcPr>
            <w:tcW w:w="349" w:type="pct"/>
            <w:noWrap/>
            <w:vAlign w:val="center"/>
            <w:hideMark/>
          </w:tcPr>
          <w:p w:rsidR="00FF2DB3" w:rsidRPr="00C90161" w:rsidRDefault="00FF2DB3" w:rsidP="00F75558">
            <w:pPr>
              <w:spacing w:before="60" w:after="60"/>
              <w:jc w:val="right"/>
              <w:rPr>
                <w:b/>
                <w:bCs/>
              </w:rPr>
            </w:pPr>
            <w:r w:rsidRPr="00C90161">
              <w:rPr>
                <w:b/>
              </w:rPr>
              <w:t>65 184</w:t>
            </w:r>
          </w:p>
        </w:tc>
        <w:tc>
          <w:tcPr>
            <w:tcW w:w="348" w:type="pct"/>
            <w:noWrap/>
            <w:vAlign w:val="center"/>
            <w:hideMark/>
          </w:tcPr>
          <w:p w:rsidR="00FF2DB3" w:rsidRPr="00C90161" w:rsidRDefault="00FF2DB3" w:rsidP="00F75558">
            <w:pPr>
              <w:spacing w:before="60" w:after="60"/>
              <w:jc w:val="right"/>
              <w:rPr>
                <w:b/>
                <w:bCs/>
              </w:rPr>
            </w:pPr>
            <w:r w:rsidRPr="00C90161">
              <w:rPr>
                <w:b/>
              </w:rPr>
              <w:t>56 675</w:t>
            </w:r>
          </w:p>
        </w:tc>
        <w:tc>
          <w:tcPr>
            <w:tcW w:w="340" w:type="pct"/>
            <w:noWrap/>
            <w:vAlign w:val="center"/>
            <w:hideMark/>
          </w:tcPr>
          <w:p w:rsidR="00FF2DB3" w:rsidRPr="00C90161" w:rsidRDefault="00FF2DB3" w:rsidP="00F75558">
            <w:pPr>
              <w:spacing w:before="60" w:after="60"/>
              <w:jc w:val="right"/>
              <w:rPr>
                <w:b/>
                <w:bCs/>
              </w:rPr>
            </w:pPr>
            <w:r w:rsidRPr="00C90161">
              <w:rPr>
                <w:b/>
              </w:rPr>
              <w:t>58 680</w:t>
            </w:r>
          </w:p>
        </w:tc>
        <w:tc>
          <w:tcPr>
            <w:tcW w:w="639" w:type="pct"/>
            <w:tcBorders>
              <w:top w:val="nil"/>
              <w:left w:val="single" w:sz="4" w:space="0" w:color="auto"/>
              <w:bottom w:val="nil"/>
              <w:right w:val="single" w:sz="8" w:space="0" w:color="auto"/>
            </w:tcBorders>
            <w:noWrap/>
            <w:vAlign w:val="center"/>
            <w:hideMark/>
          </w:tcPr>
          <w:p w:rsidR="00FF2DB3" w:rsidRPr="00C90161" w:rsidRDefault="00FF2DB3" w:rsidP="00F75558">
            <w:pPr>
              <w:spacing w:before="60" w:after="60"/>
              <w:jc w:val="right"/>
              <w:rPr>
                <w:b/>
                <w:bCs/>
              </w:rPr>
            </w:pPr>
            <w:r w:rsidRPr="00C90161">
              <w:rPr>
                <w:b/>
              </w:rPr>
              <w:t>377 781</w:t>
            </w:r>
          </w:p>
        </w:tc>
      </w:tr>
      <w:tr w:rsidR="00FF2DB3" w:rsidRPr="00C90161" w:rsidTr="00F75558">
        <w:trPr>
          <w:trHeight w:val="300"/>
        </w:trPr>
        <w:tc>
          <w:tcPr>
            <w:tcW w:w="1927" w:type="pct"/>
            <w:tcBorders>
              <w:top w:val="nil"/>
              <w:left w:val="single" w:sz="8" w:space="0" w:color="auto"/>
              <w:bottom w:val="nil"/>
              <w:right w:val="single" w:sz="4" w:space="0" w:color="auto"/>
            </w:tcBorders>
            <w:noWrap/>
            <w:vAlign w:val="center"/>
            <w:hideMark/>
          </w:tcPr>
          <w:p w:rsidR="00FF2DB3" w:rsidRPr="00C90161" w:rsidRDefault="00FF2DB3" w:rsidP="00F75558">
            <w:pPr>
              <w:spacing w:before="60" w:after="60"/>
              <w:ind w:left="720"/>
            </w:pPr>
            <w:r w:rsidRPr="00C90161">
              <w:t>2a.</w:t>
            </w:r>
            <w:r w:rsidRPr="00C90161">
              <w:tab/>
              <w:t>Hospodárska, sociálna a územná súdržnosť</w:t>
            </w:r>
          </w:p>
        </w:tc>
        <w:tc>
          <w:tcPr>
            <w:tcW w:w="347" w:type="pct"/>
            <w:noWrap/>
            <w:vAlign w:val="center"/>
            <w:hideMark/>
          </w:tcPr>
          <w:p w:rsidR="00FF2DB3" w:rsidRPr="00C90161" w:rsidRDefault="00FF2DB3" w:rsidP="00F75558">
            <w:pPr>
              <w:spacing w:before="60" w:after="60"/>
              <w:jc w:val="right"/>
            </w:pPr>
            <w:r w:rsidRPr="00C90161">
              <w:t>1 666</w:t>
            </w:r>
          </w:p>
        </w:tc>
        <w:tc>
          <w:tcPr>
            <w:tcW w:w="350" w:type="pct"/>
            <w:noWrap/>
            <w:vAlign w:val="center"/>
            <w:hideMark/>
          </w:tcPr>
          <w:p w:rsidR="00FF2DB3" w:rsidRPr="00C90161" w:rsidRDefault="00FF2DB3" w:rsidP="00F75558">
            <w:pPr>
              <w:spacing w:before="60" w:after="60"/>
              <w:jc w:val="right"/>
            </w:pPr>
            <w:r w:rsidRPr="00C90161">
              <w:t>56 673</w:t>
            </w:r>
          </w:p>
        </w:tc>
        <w:tc>
          <w:tcPr>
            <w:tcW w:w="350" w:type="pct"/>
            <w:noWrap/>
            <w:vAlign w:val="center"/>
            <w:hideMark/>
          </w:tcPr>
          <w:p w:rsidR="00FF2DB3" w:rsidRPr="00C90161" w:rsidRDefault="00FF2DB3" w:rsidP="00F75558">
            <w:pPr>
              <w:spacing w:before="60" w:after="60"/>
              <w:jc w:val="right"/>
            </w:pPr>
            <w:r w:rsidRPr="00C90161">
              <w:t>57 005</w:t>
            </w:r>
          </w:p>
        </w:tc>
        <w:tc>
          <w:tcPr>
            <w:tcW w:w="350" w:type="pct"/>
            <w:noWrap/>
            <w:vAlign w:val="center"/>
            <w:hideMark/>
          </w:tcPr>
          <w:p w:rsidR="00FF2DB3" w:rsidRPr="00C90161" w:rsidRDefault="00FF2DB3" w:rsidP="00F75558">
            <w:pPr>
              <w:spacing w:before="60" w:after="60"/>
              <w:jc w:val="right"/>
            </w:pPr>
            <w:r w:rsidRPr="00C90161">
              <w:t>57 436</w:t>
            </w:r>
          </w:p>
        </w:tc>
        <w:tc>
          <w:tcPr>
            <w:tcW w:w="349" w:type="pct"/>
            <w:noWrap/>
            <w:vAlign w:val="center"/>
            <w:hideMark/>
          </w:tcPr>
          <w:p w:rsidR="00FF2DB3" w:rsidRPr="00C90161" w:rsidRDefault="00FF2DB3" w:rsidP="00F75558">
            <w:pPr>
              <w:spacing w:before="60" w:after="60"/>
              <w:jc w:val="right"/>
            </w:pPr>
            <w:r w:rsidRPr="00C90161">
              <w:t>57 772</w:t>
            </w:r>
          </w:p>
        </w:tc>
        <w:tc>
          <w:tcPr>
            <w:tcW w:w="348" w:type="pct"/>
            <w:noWrap/>
            <w:vAlign w:val="center"/>
            <w:hideMark/>
          </w:tcPr>
          <w:p w:rsidR="00FF2DB3" w:rsidRPr="00C90161" w:rsidRDefault="00FF2DB3" w:rsidP="00F75558">
            <w:pPr>
              <w:spacing w:before="60" w:after="60"/>
              <w:jc w:val="right"/>
            </w:pPr>
            <w:r w:rsidRPr="00C90161">
              <w:t>48 302</w:t>
            </w:r>
          </w:p>
        </w:tc>
        <w:tc>
          <w:tcPr>
            <w:tcW w:w="340" w:type="pct"/>
            <w:noWrap/>
            <w:vAlign w:val="center"/>
            <w:hideMark/>
          </w:tcPr>
          <w:p w:rsidR="00FF2DB3" w:rsidRPr="00C90161" w:rsidRDefault="00FF2DB3" w:rsidP="00F75558">
            <w:pPr>
              <w:spacing w:before="60" w:after="60"/>
              <w:jc w:val="right"/>
            </w:pPr>
            <w:r w:rsidRPr="00C90161">
              <w:t>48 937</w:t>
            </w:r>
          </w:p>
        </w:tc>
        <w:tc>
          <w:tcPr>
            <w:tcW w:w="639" w:type="pct"/>
            <w:tcBorders>
              <w:top w:val="nil"/>
              <w:left w:val="single" w:sz="4" w:space="0" w:color="auto"/>
              <w:bottom w:val="nil"/>
              <w:right w:val="single" w:sz="8" w:space="0" w:color="auto"/>
            </w:tcBorders>
            <w:noWrap/>
            <w:vAlign w:val="center"/>
            <w:hideMark/>
          </w:tcPr>
          <w:p w:rsidR="00FF2DB3" w:rsidRPr="00C90161" w:rsidRDefault="00FF2DB3" w:rsidP="00F75558">
            <w:pPr>
              <w:spacing w:before="60" w:after="60"/>
              <w:jc w:val="right"/>
            </w:pPr>
            <w:r w:rsidRPr="00C90161">
              <w:t>327 791</w:t>
            </w:r>
          </w:p>
        </w:tc>
      </w:tr>
      <w:tr w:rsidR="00FF2DB3" w:rsidRPr="00C90161" w:rsidTr="00F75558">
        <w:trPr>
          <w:trHeight w:val="300"/>
        </w:trPr>
        <w:tc>
          <w:tcPr>
            <w:tcW w:w="1927" w:type="pct"/>
            <w:tcBorders>
              <w:top w:val="nil"/>
              <w:left w:val="single" w:sz="8" w:space="0" w:color="auto"/>
              <w:bottom w:val="nil"/>
              <w:right w:val="single" w:sz="4" w:space="0" w:color="auto"/>
            </w:tcBorders>
            <w:noWrap/>
            <w:vAlign w:val="center"/>
            <w:hideMark/>
          </w:tcPr>
          <w:p w:rsidR="00FF2DB3" w:rsidRPr="00C90161" w:rsidRDefault="00FF2DB3" w:rsidP="00F75558">
            <w:pPr>
              <w:spacing w:before="60" w:after="60"/>
              <w:ind w:left="720"/>
            </w:pPr>
            <w:r w:rsidRPr="00C90161">
              <w:t>2b.</w:t>
            </w:r>
            <w:r w:rsidRPr="00C90161">
              <w:tab/>
              <w:t>Odolnosť a hodnoty</w:t>
            </w:r>
          </w:p>
        </w:tc>
        <w:tc>
          <w:tcPr>
            <w:tcW w:w="347" w:type="pct"/>
            <w:noWrap/>
            <w:vAlign w:val="center"/>
            <w:hideMark/>
          </w:tcPr>
          <w:p w:rsidR="00FF2DB3" w:rsidRPr="00C90161" w:rsidRDefault="00FF2DB3" w:rsidP="00F75558">
            <w:pPr>
              <w:spacing w:before="60" w:after="60"/>
              <w:jc w:val="right"/>
            </w:pPr>
            <w:r w:rsidRPr="00C90161">
              <w:t>4 330</w:t>
            </w:r>
          </w:p>
        </w:tc>
        <w:tc>
          <w:tcPr>
            <w:tcW w:w="350" w:type="pct"/>
            <w:noWrap/>
            <w:vAlign w:val="center"/>
            <w:hideMark/>
          </w:tcPr>
          <w:p w:rsidR="00FF2DB3" w:rsidRPr="00C90161" w:rsidRDefault="00FF2DB3" w:rsidP="00F75558">
            <w:pPr>
              <w:spacing w:before="60" w:after="60"/>
              <w:jc w:val="right"/>
            </w:pPr>
            <w:r w:rsidRPr="00C90161">
              <w:t>5 969</w:t>
            </w:r>
          </w:p>
        </w:tc>
        <w:tc>
          <w:tcPr>
            <w:tcW w:w="350" w:type="pct"/>
            <w:noWrap/>
            <w:vAlign w:val="center"/>
            <w:hideMark/>
          </w:tcPr>
          <w:p w:rsidR="00FF2DB3" w:rsidRPr="00C90161" w:rsidRDefault="00FF2DB3" w:rsidP="00F75558">
            <w:pPr>
              <w:spacing w:before="60" w:after="60"/>
              <w:jc w:val="right"/>
            </w:pPr>
            <w:r w:rsidRPr="00C90161">
              <w:t>6 520</w:t>
            </w:r>
          </w:p>
        </w:tc>
        <w:tc>
          <w:tcPr>
            <w:tcW w:w="350" w:type="pct"/>
            <w:noWrap/>
            <w:vAlign w:val="center"/>
            <w:hideMark/>
          </w:tcPr>
          <w:p w:rsidR="00FF2DB3" w:rsidRPr="00C90161" w:rsidRDefault="00FF2DB3" w:rsidP="00F75558">
            <w:pPr>
              <w:spacing w:before="60" w:after="60"/>
              <w:jc w:val="right"/>
            </w:pPr>
            <w:r w:rsidRPr="00C90161">
              <w:t>7 643</w:t>
            </w:r>
          </w:p>
        </w:tc>
        <w:tc>
          <w:tcPr>
            <w:tcW w:w="349" w:type="pct"/>
            <w:noWrap/>
            <w:vAlign w:val="center"/>
            <w:hideMark/>
          </w:tcPr>
          <w:p w:rsidR="00FF2DB3" w:rsidRPr="00C90161" w:rsidRDefault="00FF2DB3" w:rsidP="00F75558">
            <w:pPr>
              <w:spacing w:before="60" w:after="60"/>
              <w:jc w:val="right"/>
            </w:pPr>
            <w:r w:rsidRPr="00C90161">
              <w:t>7 412</w:t>
            </w:r>
          </w:p>
        </w:tc>
        <w:tc>
          <w:tcPr>
            <w:tcW w:w="348" w:type="pct"/>
            <w:noWrap/>
            <w:vAlign w:val="center"/>
            <w:hideMark/>
          </w:tcPr>
          <w:p w:rsidR="00FF2DB3" w:rsidRPr="00C90161" w:rsidRDefault="00FF2DB3" w:rsidP="00F75558">
            <w:pPr>
              <w:spacing w:before="60" w:after="60"/>
              <w:jc w:val="right"/>
            </w:pPr>
            <w:r w:rsidRPr="00C90161">
              <w:t>8 373</w:t>
            </w:r>
          </w:p>
        </w:tc>
        <w:tc>
          <w:tcPr>
            <w:tcW w:w="340" w:type="pct"/>
            <w:noWrap/>
            <w:vAlign w:val="center"/>
            <w:hideMark/>
          </w:tcPr>
          <w:p w:rsidR="00FF2DB3" w:rsidRPr="00C90161" w:rsidRDefault="00FF2DB3" w:rsidP="00F75558">
            <w:pPr>
              <w:spacing w:before="60" w:after="60"/>
              <w:jc w:val="right"/>
            </w:pPr>
            <w:r w:rsidRPr="00C90161">
              <w:t>9 743</w:t>
            </w:r>
          </w:p>
        </w:tc>
        <w:tc>
          <w:tcPr>
            <w:tcW w:w="639" w:type="pct"/>
            <w:tcBorders>
              <w:top w:val="nil"/>
              <w:left w:val="single" w:sz="4" w:space="0" w:color="auto"/>
              <w:bottom w:val="nil"/>
              <w:right w:val="single" w:sz="8" w:space="0" w:color="auto"/>
            </w:tcBorders>
            <w:noWrap/>
            <w:vAlign w:val="center"/>
            <w:hideMark/>
          </w:tcPr>
          <w:p w:rsidR="00FF2DB3" w:rsidRPr="00C90161" w:rsidRDefault="00FF2DB3" w:rsidP="00F75558">
            <w:pPr>
              <w:spacing w:before="60" w:after="60"/>
              <w:jc w:val="right"/>
            </w:pPr>
            <w:r w:rsidRPr="00C90161">
              <w:t>49 990</w:t>
            </w:r>
          </w:p>
        </w:tc>
      </w:tr>
      <w:tr w:rsidR="00FF2DB3" w:rsidRPr="00C90161" w:rsidTr="00F75558">
        <w:trPr>
          <w:trHeight w:val="300"/>
        </w:trPr>
        <w:tc>
          <w:tcPr>
            <w:tcW w:w="1927" w:type="pct"/>
            <w:tcBorders>
              <w:top w:val="nil"/>
              <w:left w:val="single" w:sz="8" w:space="0" w:color="auto"/>
              <w:bottom w:val="nil"/>
              <w:right w:val="single" w:sz="4" w:space="0" w:color="auto"/>
            </w:tcBorders>
            <w:noWrap/>
            <w:vAlign w:val="center"/>
            <w:hideMark/>
          </w:tcPr>
          <w:p w:rsidR="00FF2DB3" w:rsidRPr="00C90161" w:rsidRDefault="00FF2DB3" w:rsidP="00F75558">
            <w:pPr>
              <w:spacing w:before="60" w:after="60"/>
              <w:rPr>
                <w:b/>
                <w:bCs/>
              </w:rPr>
            </w:pPr>
            <w:r w:rsidRPr="00C90161">
              <w:rPr>
                <w:b/>
              </w:rPr>
              <w:t>3.</w:t>
            </w:r>
            <w:r w:rsidRPr="00C90161">
              <w:rPr>
                <w:b/>
              </w:rPr>
              <w:tab/>
              <w:t>Prírodné zdroje a životné prostredie</w:t>
            </w:r>
          </w:p>
        </w:tc>
        <w:tc>
          <w:tcPr>
            <w:tcW w:w="347" w:type="pct"/>
            <w:noWrap/>
            <w:vAlign w:val="center"/>
            <w:hideMark/>
          </w:tcPr>
          <w:p w:rsidR="00FF2DB3" w:rsidRPr="00C90161" w:rsidRDefault="00FF2DB3" w:rsidP="00F75558">
            <w:pPr>
              <w:spacing w:before="60" w:after="60"/>
              <w:jc w:val="right"/>
              <w:rPr>
                <w:b/>
                <w:bCs/>
              </w:rPr>
            </w:pPr>
            <w:r w:rsidRPr="00C90161">
              <w:rPr>
                <w:b/>
              </w:rPr>
              <w:t>53 562</w:t>
            </w:r>
          </w:p>
        </w:tc>
        <w:tc>
          <w:tcPr>
            <w:tcW w:w="350" w:type="pct"/>
            <w:noWrap/>
            <w:vAlign w:val="center"/>
            <w:hideMark/>
          </w:tcPr>
          <w:p w:rsidR="00FF2DB3" w:rsidRPr="00C90161" w:rsidRDefault="00FF2DB3" w:rsidP="00F75558">
            <w:pPr>
              <w:spacing w:before="60" w:after="60"/>
              <w:jc w:val="right"/>
              <w:rPr>
                <w:b/>
                <w:bCs/>
              </w:rPr>
            </w:pPr>
            <w:r w:rsidRPr="00C90161">
              <w:rPr>
                <w:b/>
              </w:rPr>
              <w:t>52 626</w:t>
            </w:r>
          </w:p>
        </w:tc>
        <w:tc>
          <w:tcPr>
            <w:tcW w:w="350" w:type="pct"/>
            <w:noWrap/>
            <w:vAlign w:val="center"/>
            <w:hideMark/>
          </w:tcPr>
          <w:p w:rsidR="00FF2DB3" w:rsidRPr="00C90161" w:rsidRDefault="00FF2DB3" w:rsidP="00F75558">
            <w:pPr>
              <w:spacing w:before="60" w:after="60"/>
              <w:jc w:val="right"/>
              <w:rPr>
                <w:b/>
                <w:bCs/>
              </w:rPr>
            </w:pPr>
            <w:r w:rsidRPr="00C90161">
              <w:rPr>
                <w:b/>
              </w:rPr>
              <w:t>51 893</w:t>
            </w:r>
          </w:p>
        </w:tc>
        <w:tc>
          <w:tcPr>
            <w:tcW w:w="350" w:type="pct"/>
            <w:noWrap/>
            <w:vAlign w:val="center"/>
            <w:hideMark/>
          </w:tcPr>
          <w:p w:rsidR="00FF2DB3" w:rsidRPr="00C90161" w:rsidRDefault="00FF2DB3" w:rsidP="00F75558">
            <w:pPr>
              <w:spacing w:before="60" w:after="60"/>
              <w:jc w:val="right"/>
              <w:rPr>
                <w:b/>
                <w:bCs/>
              </w:rPr>
            </w:pPr>
            <w:r w:rsidRPr="00C90161">
              <w:rPr>
                <w:b/>
              </w:rPr>
              <w:t>51 013</w:t>
            </w:r>
          </w:p>
        </w:tc>
        <w:tc>
          <w:tcPr>
            <w:tcW w:w="349" w:type="pct"/>
            <w:noWrap/>
            <w:vAlign w:val="center"/>
            <w:hideMark/>
          </w:tcPr>
          <w:p w:rsidR="00FF2DB3" w:rsidRPr="00C90161" w:rsidRDefault="00FF2DB3" w:rsidP="00F75558">
            <w:pPr>
              <w:spacing w:before="60" w:after="60"/>
              <w:jc w:val="right"/>
              <w:rPr>
                <w:b/>
                <w:bCs/>
              </w:rPr>
            </w:pPr>
            <w:r w:rsidRPr="00C90161">
              <w:rPr>
                <w:b/>
              </w:rPr>
              <w:t>49 914</w:t>
            </w:r>
          </w:p>
        </w:tc>
        <w:tc>
          <w:tcPr>
            <w:tcW w:w="348" w:type="pct"/>
            <w:noWrap/>
            <w:vAlign w:val="center"/>
            <w:hideMark/>
          </w:tcPr>
          <w:p w:rsidR="00FF2DB3" w:rsidRPr="00C90161" w:rsidRDefault="00FF2DB3" w:rsidP="00F75558">
            <w:pPr>
              <w:spacing w:before="60" w:after="60"/>
              <w:jc w:val="right"/>
              <w:rPr>
                <w:b/>
                <w:bCs/>
              </w:rPr>
            </w:pPr>
            <w:r w:rsidRPr="00C90161">
              <w:rPr>
                <w:b/>
              </w:rPr>
              <w:t>48 734</w:t>
            </w:r>
          </w:p>
        </w:tc>
        <w:tc>
          <w:tcPr>
            <w:tcW w:w="340" w:type="pct"/>
            <w:noWrap/>
            <w:vAlign w:val="center"/>
            <w:hideMark/>
          </w:tcPr>
          <w:p w:rsidR="00FF2DB3" w:rsidRPr="00C90161" w:rsidRDefault="00FF2DB3" w:rsidP="00F75558">
            <w:pPr>
              <w:spacing w:before="60" w:after="60"/>
              <w:jc w:val="right"/>
              <w:rPr>
                <w:b/>
                <w:bCs/>
              </w:rPr>
            </w:pPr>
            <w:r w:rsidRPr="00C90161">
              <w:rPr>
                <w:b/>
              </w:rPr>
              <w:t>47 960</w:t>
            </w:r>
          </w:p>
        </w:tc>
        <w:tc>
          <w:tcPr>
            <w:tcW w:w="639" w:type="pct"/>
            <w:tcBorders>
              <w:top w:val="nil"/>
              <w:left w:val="single" w:sz="4" w:space="0" w:color="auto"/>
              <w:bottom w:val="nil"/>
              <w:right w:val="single" w:sz="8" w:space="0" w:color="auto"/>
            </w:tcBorders>
            <w:noWrap/>
            <w:vAlign w:val="center"/>
            <w:hideMark/>
          </w:tcPr>
          <w:p w:rsidR="00FF2DB3" w:rsidRPr="00C90161" w:rsidRDefault="00FF2DB3" w:rsidP="00F75558">
            <w:pPr>
              <w:spacing w:before="60" w:after="60"/>
              <w:jc w:val="right"/>
              <w:rPr>
                <w:b/>
                <w:bCs/>
              </w:rPr>
            </w:pPr>
            <w:r w:rsidRPr="00C90161">
              <w:rPr>
                <w:b/>
              </w:rPr>
              <w:t>355 702</w:t>
            </w:r>
          </w:p>
        </w:tc>
      </w:tr>
      <w:tr w:rsidR="00FF2DB3" w:rsidRPr="00C90161" w:rsidTr="00F75558">
        <w:trPr>
          <w:trHeight w:val="300"/>
        </w:trPr>
        <w:tc>
          <w:tcPr>
            <w:tcW w:w="1927" w:type="pct"/>
            <w:tcBorders>
              <w:top w:val="nil"/>
              <w:left w:val="single" w:sz="8" w:space="0" w:color="auto"/>
              <w:bottom w:val="nil"/>
              <w:right w:val="single" w:sz="4" w:space="0" w:color="auto"/>
            </w:tcBorders>
            <w:noWrap/>
            <w:vAlign w:val="center"/>
            <w:hideMark/>
          </w:tcPr>
          <w:p w:rsidR="00FF2DB3" w:rsidRPr="00C90161" w:rsidRDefault="00FF2DB3" w:rsidP="00F75558">
            <w:pPr>
              <w:spacing w:before="60" w:after="60"/>
              <w:ind w:left="720"/>
            </w:pPr>
            <w:r w:rsidRPr="00C90161">
              <w:t>z toho: výdavky súvisiace s trhom a priame platby</w:t>
            </w:r>
          </w:p>
        </w:tc>
        <w:tc>
          <w:tcPr>
            <w:tcW w:w="347" w:type="pct"/>
            <w:noWrap/>
            <w:vAlign w:val="center"/>
            <w:hideMark/>
          </w:tcPr>
          <w:p w:rsidR="00FF2DB3" w:rsidRPr="00C90161" w:rsidRDefault="00FF2DB3" w:rsidP="00F75558">
            <w:pPr>
              <w:spacing w:before="60" w:after="60"/>
              <w:jc w:val="right"/>
            </w:pPr>
            <w:r w:rsidRPr="00C90161">
              <w:t>38 040</w:t>
            </w:r>
          </w:p>
        </w:tc>
        <w:tc>
          <w:tcPr>
            <w:tcW w:w="350" w:type="pct"/>
            <w:noWrap/>
            <w:vAlign w:val="center"/>
            <w:hideMark/>
          </w:tcPr>
          <w:p w:rsidR="00FF2DB3" w:rsidRPr="00C90161" w:rsidRDefault="00FF2DB3" w:rsidP="00F75558">
            <w:pPr>
              <w:spacing w:before="60" w:after="60"/>
              <w:jc w:val="right"/>
            </w:pPr>
            <w:r w:rsidRPr="00C90161">
              <w:t>37 544</w:t>
            </w:r>
          </w:p>
        </w:tc>
        <w:tc>
          <w:tcPr>
            <w:tcW w:w="350" w:type="pct"/>
            <w:noWrap/>
            <w:vAlign w:val="center"/>
            <w:hideMark/>
          </w:tcPr>
          <w:p w:rsidR="00FF2DB3" w:rsidRPr="00C90161" w:rsidRDefault="00FF2DB3" w:rsidP="00F75558">
            <w:pPr>
              <w:spacing w:before="60" w:after="60"/>
              <w:jc w:val="right"/>
            </w:pPr>
            <w:r w:rsidRPr="00C90161">
              <w:t>36 857</w:t>
            </w:r>
          </w:p>
        </w:tc>
        <w:tc>
          <w:tcPr>
            <w:tcW w:w="350" w:type="pct"/>
            <w:noWrap/>
            <w:vAlign w:val="center"/>
            <w:hideMark/>
          </w:tcPr>
          <w:p w:rsidR="00FF2DB3" w:rsidRPr="00C90161" w:rsidRDefault="00FF2DB3" w:rsidP="00F75558">
            <w:pPr>
              <w:spacing w:before="60" w:after="60"/>
              <w:jc w:val="right"/>
            </w:pPr>
            <w:r w:rsidRPr="00C90161">
              <w:t>36 054</w:t>
            </w:r>
          </w:p>
        </w:tc>
        <w:tc>
          <w:tcPr>
            <w:tcW w:w="349" w:type="pct"/>
            <w:noWrap/>
            <w:vAlign w:val="center"/>
            <w:hideMark/>
          </w:tcPr>
          <w:p w:rsidR="00FF2DB3" w:rsidRPr="00C90161" w:rsidRDefault="00FF2DB3" w:rsidP="00F75558">
            <w:pPr>
              <w:spacing w:before="60" w:after="60"/>
              <w:jc w:val="right"/>
            </w:pPr>
            <w:r w:rsidRPr="00C90161">
              <w:t>35 283</w:t>
            </w:r>
          </w:p>
        </w:tc>
        <w:tc>
          <w:tcPr>
            <w:tcW w:w="348" w:type="pct"/>
            <w:noWrap/>
            <w:vAlign w:val="center"/>
            <w:hideMark/>
          </w:tcPr>
          <w:p w:rsidR="00FF2DB3" w:rsidRPr="00C90161" w:rsidRDefault="00FF2DB3" w:rsidP="00F75558">
            <w:pPr>
              <w:spacing w:before="60" w:after="60"/>
              <w:jc w:val="right"/>
            </w:pPr>
            <w:r w:rsidRPr="00C90161">
              <w:t>34 602</w:t>
            </w:r>
          </w:p>
        </w:tc>
        <w:tc>
          <w:tcPr>
            <w:tcW w:w="340" w:type="pct"/>
            <w:noWrap/>
            <w:vAlign w:val="center"/>
            <w:hideMark/>
          </w:tcPr>
          <w:p w:rsidR="00FF2DB3" w:rsidRPr="00C90161" w:rsidRDefault="00FF2DB3" w:rsidP="00F75558">
            <w:pPr>
              <w:spacing w:before="60" w:after="60"/>
              <w:jc w:val="right"/>
            </w:pPr>
            <w:r w:rsidRPr="00C90161">
              <w:t>33 886</w:t>
            </w:r>
          </w:p>
        </w:tc>
        <w:tc>
          <w:tcPr>
            <w:tcW w:w="639" w:type="pct"/>
            <w:tcBorders>
              <w:top w:val="nil"/>
              <w:left w:val="single" w:sz="4" w:space="0" w:color="auto"/>
              <w:bottom w:val="nil"/>
              <w:right w:val="single" w:sz="8" w:space="0" w:color="auto"/>
            </w:tcBorders>
            <w:noWrap/>
            <w:vAlign w:val="center"/>
            <w:hideMark/>
          </w:tcPr>
          <w:p w:rsidR="00FF2DB3" w:rsidRPr="00C90161" w:rsidRDefault="00FF2DB3" w:rsidP="00F75558">
            <w:pPr>
              <w:spacing w:before="60" w:after="60"/>
              <w:jc w:val="right"/>
            </w:pPr>
            <w:r w:rsidRPr="00C90161">
              <w:t>252 266</w:t>
            </w:r>
          </w:p>
        </w:tc>
      </w:tr>
      <w:tr w:rsidR="00FF2DB3" w:rsidRPr="00C90161" w:rsidTr="00F75558">
        <w:trPr>
          <w:trHeight w:val="300"/>
        </w:trPr>
        <w:tc>
          <w:tcPr>
            <w:tcW w:w="1927" w:type="pct"/>
            <w:tcBorders>
              <w:top w:val="nil"/>
              <w:left w:val="single" w:sz="8" w:space="0" w:color="auto"/>
              <w:bottom w:val="nil"/>
              <w:right w:val="single" w:sz="4" w:space="0" w:color="auto"/>
            </w:tcBorders>
            <w:noWrap/>
            <w:vAlign w:val="center"/>
            <w:hideMark/>
          </w:tcPr>
          <w:p w:rsidR="00FF2DB3" w:rsidRPr="00C90161" w:rsidRDefault="00FF2DB3" w:rsidP="00F75558">
            <w:pPr>
              <w:pageBreakBefore/>
              <w:spacing w:before="60" w:after="60"/>
              <w:rPr>
                <w:b/>
                <w:bCs/>
              </w:rPr>
            </w:pPr>
            <w:r w:rsidRPr="00C90161">
              <w:rPr>
                <w:b/>
              </w:rPr>
              <w:t>4.</w:t>
            </w:r>
            <w:r w:rsidRPr="00C90161">
              <w:rPr>
                <w:b/>
              </w:rPr>
              <w:tab/>
              <w:t>Migrácia a riadenie hraníc</w:t>
            </w:r>
          </w:p>
        </w:tc>
        <w:tc>
          <w:tcPr>
            <w:tcW w:w="347" w:type="pct"/>
            <w:noWrap/>
            <w:vAlign w:val="center"/>
            <w:hideMark/>
          </w:tcPr>
          <w:p w:rsidR="00FF2DB3" w:rsidRPr="00C90161" w:rsidRDefault="00FF2DB3" w:rsidP="00F75558">
            <w:pPr>
              <w:spacing w:before="60" w:after="60"/>
              <w:jc w:val="right"/>
              <w:rPr>
                <w:b/>
                <w:bCs/>
              </w:rPr>
            </w:pPr>
            <w:r w:rsidRPr="00C90161">
              <w:rPr>
                <w:b/>
              </w:rPr>
              <w:t>1 687</w:t>
            </w:r>
          </w:p>
        </w:tc>
        <w:tc>
          <w:tcPr>
            <w:tcW w:w="350" w:type="pct"/>
            <w:noWrap/>
            <w:vAlign w:val="center"/>
            <w:hideMark/>
          </w:tcPr>
          <w:p w:rsidR="00FF2DB3" w:rsidRPr="00C90161" w:rsidRDefault="00FF2DB3" w:rsidP="00F75558">
            <w:pPr>
              <w:spacing w:before="60" w:after="60"/>
              <w:jc w:val="right"/>
              <w:rPr>
                <w:b/>
                <w:bCs/>
              </w:rPr>
            </w:pPr>
            <w:r w:rsidRPr="00C90161">
              <w:rPr>
                <w:b/>
              </w:rPr>
              <w:t>3 104</w:t>
            </w:r>
          </w:p>
        </w:tc>
        <w:tc>
          <w:tcPr>
            <w:tcW w:w="350" w:type="pct"/>
            <w:noWrap/>
            <w:vAlign w:val="center"/>
            <w:hideMark/>
          </w:tcPr>
          <w:p w:rsidR="00FF2DB3" w:rsidRPr="00C90161" w:rsidRDefault="00FF2DB3" w:rsidP="00F75558">
            <w:pPr>
              <w:spacing w:before="60" w:after="60"/>
              <w:jc w:val="right"/>
              <w:rPr>
                <w:b/>
                <w:bCs/>
              </w:rPr>
            </w:pPr>
            <w:r w:rsidRPr="00C90161">
              <w:rPr>
                <w:b/>
              </w:rPr>
              <w:t>3 454</w:t>
            </w:r>
          </w:p>
        </w:tc>
        <w:tc>
          <w:tcPr>
            <w:tcW w:w="350" w:type="pct"/>
            <w:noWrap/>
            <w:vAlign w:val="center"/>
            <w:hideMark/>
          </w:tcPr>
          <w:p w:rsidR="00FF2DB3" w:rsidRPr="00C90161" w:rsidRDefault="00FF2DB3" w:rsidP="00F75558">
            <w:pPr>
              <w:spacing w:before="60" w:after="60"/>
              <w:jc w:val="right"/>
              <w:rPr>
                <w:b/>
                <w:bCs/>
              </w:rPr>
            </w:pPr>
            <w:r w:rsidRPr="00C90161">
              <w:rPr>
                <w:b/>
              </w:rPr>
              <w:t>3 569</w:t>
            </w:r>
          </w:p>
        </w:tc>
        <w:tc>
          <w:tcPr>
            <w:tcW w:w="349" w:type="pct"/>
            <w:noWrap/>
            <w:vAlign w:val="center"/>
            <w:hideMark/>
          </w:tcPr>
          <w:p w:rsidR="00FF2DB3" w:rsidRPr="00C90161" w:rsidRDefault="00FF2DB3" w:rsidP="00F75558">
            <w:pPr>
              <w:spacing w:before="60" w:after="60"/>
              <w:jc w:val="right"/>
              <w:rPr>
                <w:b/>
                <w:bCs/>
              </w:rPr>
            </w:pPr>
            <w:r w:rsidRPr="00C90161">
              <w:rPr>
                <w:b/>
              </w:rPr>
              <w:t>4 083</w:t>
            </w:r>
          </w:p>
        </w:tc>
        <w:tc>
          <w:tcPr>
            <w:tcW w:w="348" w:type="pct"/>
            <w:noWrap/>
            <w:vAlign w:val="center"/>
            <w:hideMark/>
          </w:tcPr>
          <w:p w:rsidR="00FF2DB3" w:rsidRPr="00C90161" w:rsidRDefault="00FF2DB3" w:rsidP="00F75558">
            <w:pPr>
              <w:spacing w:before="60" w:after="60"/>
              <w:jc w:val="right"/>
              <w:rPr>
                <w:b/>
                <w:bCs/>
              </w:rPr>
            </w:pPr>
            <w:r w:rsidRPr="00C90161">
              <w:rPr>
                <w:b/>
              </w:rPr>
              <w:t>4 145</w:t>
            </w:r>
          </w:p>
        </w:tc>
        <w:tc>
          <w:tcPr>
            <w:tcW w:w="340" w:type="pct"/>
            <w:noWrap/>
            <w:vAlign w:val="center"/>
            <w:hideMark/>
          </w:tcPr>
          <w:p w:rsidR="00FF2DB3" w:rsidRPr="00C90161" w:rsidRDefault="00FF2DB3" w:rsidP="00F75558">
            <w:pPr>
              <w:spacing w:before="60" w:after="60"/>
              <w:jc w:val="right"/>
              <w:rPr>
                <w:b/>
                <w:bCs/>
              </w:rPr>
            </w:pPr>
            <w:r w:rsidRPr="00C90161">
              <w:rPr>
                <w:b/>
              </w:rPr>
              <w:t>4 701</w:t>
            </w:r>
          </w:p>
        </w:tc>
        <w:tc>
          <w:tcPr>
            <w:tcW w:w="639" w:type="pct"/>
            <w:tcBorders>
              <w:top w:val="nil"/>
              <w:left w:val="single" w:sz="4" w:space="0" w:color="auto"/>
              <w:bottom w:val="nil"/>
              <w:right w:val="single" w:sz="8" w:space="0" w:color="auto"/>
            </w:tcBorders>
            <w:noWrap/>
            <w:vAlign w:val="center"/>
            <w:hideMark/>
          </w:tcPr>
          <w:p w:rsidR="00FF2DB3" w:rsidRPr="00C90161" w:rsidRDefault="00FF2DB3" w:rsidP="00F75558">
            <w:pPr>
              <w:spacing w:before="60" w:after="60"/>
              <w:jc w:val="right"/>
              <w:rPr>
                <w:b/>
                <w:bCs/>
              </w:rPr>
            </w:pPr>
            <w:r w:rsidRPr="00C90161">
              <w:rPr>
                <w:b/>
              </w:rPr>
              <w:t>24 743</w:t>
            </w:r>
          </w:p>
        </w:tc>
      </w:tr>
      <w:tr w:rsidR="00FF2DB3" w:rsidRPr="00C90161" w:rsidTr="00F75558">
        <w:trPr>
          <w:trHeight w:val="300"/>
        </w:trPr>
        <w:tc>
          <w:tcPr>
            <w:tcW w:w="1927" w:type="pct"/>
            <w:tcBorders>
              <w:top w:val="nil"/>
              <w:left w:val="single" w:sz="8" w:space="0" w:color="auto"/>
              <w:bottom w:val="nil"/>
              <w:right w:val="single" w:sz="4" w:space="0" w:color="auto"/>
            </w:tcBorders>
            <w:noWrap/>
            <w:vAlign w:val="center"/>
            <w:hideMark/>
          </w:tcPr>
          <w:p w:rsidR="00FF2DB3" w:rsidRPr="00C90161" w:rsidRDefault="00FF2DB3" w:rsidP="00F75558">
            <w:pPr>
              <w:spacing w:before="60" w:after="60"/>
              <w:rPr>
                <w:b/>
                <w:bCs/>
              </w:rPr>
            </w:pPr>
            <w:r w:rsidRPr="00C90161">
              <w:rPr>
                <w:b/>
              </w:rPr>
              <w:t>5.</w:t>
            </w:r>
            <w:r w:rsidRPr="00C90161">
              <w:rPr>
                <w:b/>
              </w:rPr>
              <w:tab/>
              <w:t>Bezpečnosť a obrana</w:t>
            </w:r>
          </w:p>
        </w:tc>
        <w:tc>
          <w:tcPr>
            <w:tcW w:w="347" w:type="pct"/>
            <w:noWrap/>
            <w:vAlign w:val="center"/>
            <w:hideMark/>
          </w:tcPr>
          <w:p w:rsidR="00FF2DB3" w:rsidRPr="00C90161" w:rsidRDefault="00FF2DB3" w:rsidP="00F75558">
            <w:pPr>
              <w:spacing w:before="60" w:after="60"/>
              <w:jc w:val="right"/>
              <w:rPr>
                <w:b/>
                <w:bCs/>
              </w:rPr>
            </w:pPr>
            <w:r w:rsidRPr="00C90161">
              <w:rPr>
                <w:b/>
              </w:rPr>
              <w:t>1 598</w:t>
            </w:r>
          </w:p>
        </w:tc>
        <w:tc>
          <w:tcPr>
            <w:tcW w:w="350" w:type="pct"/>
            <w:noWrap/>
            <w:vAlign w:val="center"/>
            <w:hideMark/>
          </w:tcPr>
          <w:p w:rsidR="00FF2DB3" w:rsidRPr="00C90161" w:rsidRDefault="00FF2DB3" w:rsidP="00F75558">
            <w:pPr>
              <w:spacing w:before="60" w:after="60"/>
              <w:jc w:val="right"/>
              <w:rPr>
                <w:b/>
                <w:bCs/>
              </w:rPr>
            </w:pPr>
            <w:r w:rsidRPr="00C90161">
              <w:rPr>
                <w:b/>
              </w:rPr>
              <w:t>1 750</w:t>
            </w:r>
          </w:p>
        </w:tc>
        <w:tc>
          <w:tcPr>
            <w:tcW w:w="350" w:type="pct"/>
            <w:noWrap/>
            <w:vAlign w:val="center"/>
            <w:hideMark/>
          </w:tcPr>
          <w:p w:rsidR="00FF2DB3" w:rsidRPr="00C90161" w:rsidRDefault="00FF2DB3" w:rsidP="00F75558">
            <w:pPr>
              <w:spacing w:before="60" w:after="60"/>
              <w:jc w:val="right"/>
              <w:rPr>
                <w:b/>
                <w:bCs/>
              </w:rPr>
            </w:pPr>
            <w:r w:rsidRPr="00C90161">
              <w:rPr>
                <w:b/>
              </w:rPr>
              <w:t>1 762</w:t>
            </w:r>
          </w:p>
        </w:tc>
        <w:tc>
          <w:tcPr>
            <w:tcW w:w="350" w:type="pct"/>
            <w:noWrap/>
            <w:vAlign w:val="center"/>
            <w:hideMark/>
          </w:tcPr>
          <w:p w:rsidR="00FF2DB3" w:rsidRPr="00C90161" w:rsidRDefault="00FF2DB3" w:rsidP="00F75558">
            <w:pPr>
              <w:spacing w:before="60" w:after="60"/>
              <w:jc w:val="right"/>
              <w:rPr>
                <w:b/>
                <w:bCs/>
              </w:rPr>
            </w:pPr>
            <w:r w:rsidRPr="00C90161">
              <w:rPr>
                <w:b/>
              </w:rPr>
              <w:t>2 112</w:t>
            </w:r>
          </w:p>
        </w:tc>
        <w:tc>
          <w:tcPr>
            <w:tcW w:w="349" w:type="pct"/>
            <w:noWrap/>
            <w:vAlign w:val="center"/>
            <w:hideMark/>
          </w:tcPr>
          <w:p w:rsidR="00FF2DB3" w:rsidRPr="00C90161" w:rsidRDefault="00FF2DB3" w:rsidP="00F75558">
            <w:pPr>
              <w:spacing w:before="60" w:after="60"/>
              <w:jc w:val="right"/>
              <w:rPr>
                <w:b/>
                <w:bCs/>
              </w:rPr>
            </w:pPr>
            <w:r w:rsidRPr="00C90161">
              <w:rPr>
                <w:b/>
              </w:rPr>
              <w:t>2 277</w:t>
            </w:r>
          </w:p>
        </w:tc>
        <w:tc>
          <w:tcPr>
            <w:tcW w:w="348" w:type="pct"/>
            <w:noWrap/>
            <w:vAlign w:val="center"/>
            <w:hideMark/>
          </w:tcPr>
          <w:p w:rsidR="00FF2DB3" w:rsidRPr="00C90161" w:rsidRDefault="00FF2DB3" w:rsidP="00F75558">
            <w:pPr>
              <w:spacing w:before="60" w:after="60"/>
              <w:jc w:val="right"/>
              <w:rPr>
                <w:b/>
                <w:bCs/>
              </w:rPr>
            </w:pPr>
            <w:r w:rsidRPr="00C90161">
              <w:rPr>
                <w:b/>
              </w:rPr>
              <w:t>2 398</w:t>
            </w:r>
          </w:p>
        </w:tc>
        <w:tc>
          <w:tcPr>
            <w:tcW w:w="340" w:type="pct"/>
            <w:noWrap/>
            <w:vAlign w:val="center"/>
            <w:hideMark/>
          </w:tcPr>
          <w:p w:rsidR="00FF2DB3" w:rsidRPr="00C90161" w:rsidRDefault="00FF2DB3" w:rsidP="00F75558">
            <w:pPr>
              <w:spacing w:before="60" w:after="60"/>
              <w:jc w:val="right"/>
              <w:rPr>
                <w:b/>
                <w:bCs/>
              </w:rPr>
            </w:pPr>
            <w:r w:rsidRPr="00C90161">
              <w:rPr>
                <w:b/>
              </w:rPr>
              <w:t>2 576</w:t>
            </w:r>
          </w:p>
        </w:tc>
        <w:tc>
          <w:tcPr>
            <w:tcW w:w="639" w:type="pct"/>
            <w:tcBorders>
              <w:top w:val="nil"/>
              <w:left w:val="single" w:sz="4" w:space="0" w:color="auto"/>
              <w:bottom w:val="nil"/>
              <w:right w:val="single" w:sz="8" w:space="0" w:color="auto"/>
            </w:tcBorders>
            <w:noWrap/>
            <w:vAlign w:val="center"/>
            <w:hideMark/>
          </w:tcPr>
          <w:p w:rsidR="00FF2DB3" w:rsidRPr="00C90161" w:rsidRDefault="00FF2DB3" w:rsidP="00F75558">
            <w:pPr>
              <w:spacing w:before="60" w:after="60"/>
              <w:jc w:val="right"/>
              <w:rPr>
                <w:b/>
                <w:bCs/>
              </w:rPr>
            </w:pPr>
            <w:r w:rsidRPr="00C90161">
              <w:rPr>
                <w:b/>
              </w:rPr>
              <w:t>14 473</w:t>
            </w:r>
          </w:p>
        </w:tc>
      </w:tr>
      <w:tr w:rsidR="00FF2DB3" w:rsidRPr="00C90161" w:rsidTr="00F75558">
        <w:trPr>
          <w:trHeight w:val="300"/>
        </w:trPr>
        <w:tc>
          <w:tcPr>
            <w:tcW w:w="1927" w:type="pct"/>
            <w:tcBorders>
              <w:top w:val="nil"/>
              <w:left w:val="single" w:sz="8" w:space="0" w:color="auto"/>
              <w:bottom w:val="nil"/>
              <w:right w:val="single" w:sz="4" w:space="0" w:color="auto"/>
            </w:tcBorders>
            <w:noWrap/>
            <w:vAlign w:val="center"/>
            <w:hideMark/>
          </w:tcPr>
          <w:p w:rsidR="00FF2DB3" w:rsidRPr="00C90161" w:rsidRDefault="00FF2DB3" w:rsidP="00F75558">
            <w:pPr>
              <w:spacing w:before="60" w:after="60"/>
              <w:rPr>
                <w:b/>
                <w:bCs/>
              </w:rPr>
            </w:pPr>
            <w:r w:rsidRPr="00C90161">
              <w:rPr>
                <w:b/>
              </w:rPr>
              <w:t>6.</w:t>
            </w:r>
            <w:r w:rsidRPr="00C90161">
              <w:rPr>
                <w:b/>
              </w:rPr>
              <w:tab/>
              <w:t>Susedstvo a svet</w:t>
            </w:r>
          </w:p>
        </w:tc>
        <w:tc>
          <w:tcPr>
            <w:tcW w:w="347" w:type="pct"/>
            <w:noWrap/>
            <w:vAlign w:val="center"/>
            <w:hideMark/>
          </w:tcPr>
          <w:p w:rsidR="00FF2DB3" w:rsidRPr="00C90161" w:rsidRDefault="00FF2DB3" w:rsidP="00F75558">
            <w:pPr>
              <w:spacing w:before="60" w:after="60"/>
              <w:jc w:val="right"/>
              <w:rPr>
                <w:b/>
                <w:bCs/>
              </w:rPr>
            </w:pPr>
            <w:r w:rsidRPr="00C90161">
              <w:rPr>
                <w:b/>
              </w:rPr>
              <w:t>15 309</w:t>
            </w:r>
          </w:p>
        </w:tc>
        <w:tc>
          <w:tcPr>
            <w:tcW w:w="350" w:type="pct"/>
            <w:noWrap/>
            <w:vAlign w:val="center"/>
            <w:hideMark/>
          </w:tcPr>
          <w:p w:rsidR="00FF2DB3" w:rsidRPr="00C90161" w:rsidRDefault="00FF2DB3" w:rsidP="00F75558">
            <w:pPr>
              <w:spacing w:before="60" w:after="60"/>
              <w:jc w:val="right"/>
              <w:rPr>
                <w:b/>
                <w:bCs/>
              </w:rPr>
            </w:pPr>
            <w:r w:rsidRPr="00C90161">
              <w:rPr>
                <w:b/>
              </w:rPr>
              <w:t>15 522</w:t>
            </w:r>
          </w:p>
        </w:tc>
        <w:tc>
          <w:tcPr>
            <w:tcW w:w="350" w:type="pct"/>
            <w:noWrap/>
            <w:vAlign w:val="center"/>
            <w:hideMark/>
          </w:tcPr>
          <w:p w:rsidR="00FF2DB3" w:rsidRPr="00C90161" w:rsidRDefault="00FF2DB3" w:rsidP="00F75558">
            <w:pPr>
              <w:spacing w:before="60" w:after="60"/>
              <w:jc w:val="right"/>
              <w:rPr>
                <w:b/>
                <w:bCs/>
              </w:rPr>
            </w:pPr>
            <w:r w:rsidRPr="00C90161">
              <w:rPr>
                <w:b/>
              </w:rPr>
              <w:t>14 789</w:t>
            </w:r>
          </w:p>
        </w:tc>
        <w:tc>
          <w:tcPr>
            <w:tcW w:w="350" w:type="pct"/>
            <w:noWrap/>
            <w:vAlign w:val="center"/>
            <w:hideMark/>
          </w:tcPr>
          <w:p w:rsidR="00FF2DB3" w:rsidRPr="00C90161" w:rsidRDefault="00FF2DB3" w:rsidP="00F75558">
            <w:pPr>
              <w:spacing w:before="60" w:after="60"/>
              <w:jc w:val="right"/>
              <w:rPr>
                <w:b/>
                <w:bCs/>
              </w:rPr>
            </w:pPr>
            <w:r w:rsidRPr="00C90161">
              <w:rPr>
                <w:b/>
              </w:rPr>
              <w:t>14 500</w:t>
            </w:r>
          </w:p>
        </w:tc>
        <w:tc>
          <w:tcPr>
            <w:tcW w:w="349" w:type="pct"/>
            <w:noWrap/>
            <w:vAlign w:val="center"/>
            <w:hideMark/>
          </w:tcPr>
          <w:p w:rsidR="00FF2DB3" w:rsidRPr="00C90161" w:rsidRDefault="00FF2DB3" w:rsidP="00F75558">
            <w:pPr>
              <w:spacing w:before="60" w:after="60"/>
              <w:jc w:val="right"/>
              <w:rPr>
                <w:b/>
                <w:bCs/>
              </w:rPr>
            </w:pPr>
            <w:r w:rsidRPr="00C90161">
              <w:rPr>
                <w:b/>
              </w:rPr>
              <w:t>14 192</w:t>
            </w:r>
          </w:p>
        </w:tc>
        <w:tc>
          <w:tcPr>
            <w:tcW w:w="348" w:type="pct"/>
            <w:noWrap/>
            <w:vAlign w:val="center"/>
            <w:hideMark/>
          </w:tcPr>
          <w:p w:rsidR="00FF2DB3" w:rsidRPr="00C90161" w:rsidRDefault="00FF2DB3" w:rsidP="00F75558">
            <w:pPr>
              <w:spacing w:before="60" w:after="60"/>
              <w:jc w:val="right"/>
              <w:rPr>
                <w:b/>
                <w:bCs/>
              </w:rPr>
            </w:pPr>
            <w:r w:rsidRPr="00C90161">
              <w:rPr>
                <w:b/>
              </w:rPr>
              <w:t>13 326</w:t>
            </w:r>
          </w:p>
        </w:tc>
        <w:tc>
          <w:tcPr>
            <w:tcW w:w="340" w:type="pct"/>
            <w:noWrap/>
            <w:vAlign w:val="center"/>
            <w:hideMark/>
          </w:tcPr>
          <w:p w:rsidR="00FF2DB3" w:rsidRPr="00C90161" w:rsidRDefault="00FF2DB3" w:rsidP="00F75558">
            <w:pPr>
              <w:spacing w:before="60" w:after="60"/>
              <w:jc w:val="right"/>
              <w:rPr>
                <w:b/>
                <w:bCs/>
              </w:rPr>
            </w:pPr>
            <w:r w:rsidRPr="00C90161">
              <w:rPr>
                <w:b/>
              </w:rPr>
              <w:t>13 447</w:t>
            </w:r>
          </w:p>
        </w:tc>
        <w:tc>
          <w:tcPr>
            <w:tcW w:w="639" w:type="pct"/>
            <w:tcBorders>
              <w:top w:val="nil"/>
              <w:left w:val="single" w:sz="4" w:space="0" w:color="auto"/>
              <w:bottom w:val="nil"/>
              <w:right w:val="single" w:sz="8" w:space="0" w:color="auto"/>
            </w:tcBorders>
            <w:noWrap/>
            <w:vAlign w:val="center"/>
            <w:hideMark/>
          </w:tcPr>
          <w:p w:rsidR="00FF2DB3" w:rsidRPr="00C90161" w:rsidRDefault="00FF2DB3" w:rsidP="00F75558">
            <w:pPr>
              <w:spacing w:before="60" w:after="60"/>
              <w:jc w:val="right"/>
              <w:rPr>
                <w:b/>
                <w:bCs/>
              </w:rPr>
            </w:pPr>
            <w:r w:rsidRPr="00C90161">
              <w:rPr>
                <w:b/>
              </w:rPr>
              <w:t>101 085</w:t>
            </w:r>
          </w:p>
        </w:tc>
      </w:tr>
      <w:tr w:rsidR="00FF2DB3" w:rsidRPr="00C90161" w:rsidTr="00F75558">
        <w:trPr>
          <w:trHeight w:val="300"/>
        </w:trPr>
        <w:tc>
          <w:tcPr>
            <w:tcW w:w="1927" w:type="pct"/>
            <w:tcBorders>
              <w:top w:val="nil"/>
              <w:left w:val="single" w:sz="8" w:space="0" w:color="auto"/>
              <w:bottom w:val="nil"/>
              <w:right w:val="single" w:sz="4" w:space="0" w:color="auto"/>
            </w:tcBorders>
            <w:noWrap/>
            <w:vAlign w:val="center"/>
            <w:hideMark/>
          </w:tcPr>
          <w:p w:rsidR="00FF2DB3" w:rsidRPr="00C90161" w:rsidRDefault="00FF2DB3" w:rsidP="00F75558">
            <w:pPr>
              <w:spacing w:before="60" w:after="60"/>
              <w:rPr>
                <w:b/>
                <w:bCs/>
              </w:rPr>
            </w:pPr>
            <w:r w:rsidRPr="00C90161">
              <w:rPr>
                <w:b/>
              </w:rPr>
              <w:t>7.</w:t>
            </w:r>
            <w:r w:rsidRPr="00C90161">
              <w:rPr>
                <w:b/>
              </w:rPr>
              <w:tab/>
              <w:t>Európska verejná správa</w:t>
            </w:r>
          </w:p>
        </w:tc>
        <w:tc>
          <w:tcPr>
            <w:tcW w:w="347" w:type="pct"/>
            <w:noWrap/>
            <w:vAlign w:val="center"/>
            <w:hideMark/>
          </w:tcPr>
          <w:p w:rsidR="00FF2DB3" w:rsidRPr="00C90161" w:rsidRDefault="00FF2DB3" w:rsidP="00F75558">
            <w:pPr>
              <w:spacing w:before="60" w:after="60"/>
              <w:jc w:val="right"/>
              <w:rPr>
                <w:b/>
                <w:bCs/>
              </w:rPr>
            </w:pPr>
            <w:r w:rsidRPr="00C90161">
              <w:rPr>
                <w:b/>
              </w:rPr>
              <w:t>10 021</w:t>
            </w:r>
          </w:p>
        </w:tc>
        <w:tc>
          <w:tcPr>
            <w:tcW w:w="350" w:type="pct"/>
            <w:noWrap/>
            <w:vAlign w:val="center"/>
            <w:hideMark/>
          </w:tcPr>
          <w:p w:rsidR="00FF2DB3" w:rsidRPr="00C90161" w:rsidRDefault="00FF2DB3" w:rsidP="00F75558">
            <w:pPr>
              <w:spacing w:before="60" w:after="60"/>
              <w:jc w:val="right"/>
              <w:rPr>
                <w:b/>
                <w:bCs/>
              </w:rPr>
            </w:pPr>
            <w:r w:rsidRPr="00C90161">
              <w:rPr>
                <w:b/>
              </w:rPr>
              <w:t>10 215</w:t>
            </w:r>
          </w:p>
        </w:tc>
        <w:tc>
          <w:tcPr>
            <w:tcW w:w="350" w:type="pct"/>
            <w:noWrap/>
            <w:vAlign w:val="center"/>
            <w:hideMark/>
          </w:tcPr>
          <w:p w:rsidR="00FF2DB3" w:rsidRPr="00C90161" w:rsidRDefault="00FF2DB3" w:rsidP="00F75558">
            <w:pPr>
              <w:spacing w:before="60" w:after="60"/>
              <w:jc w:val="right"/>
              <w:rPr>
                <w:b/>
                <w:bCs/>
              </w:rPr>
            </w:pPr>
            <w:r w:rsidRPr="00C90161">
              <w:rPr>
                <w:b/>
              </w:rPr>
              <w:t>10 342</w:t>
            </w:r>
          </w:p>
        </w:tc>
        <w:tc>
          <w:tcPr>
            <w:tcW w:w="350" w:type="pct"/>
            <w:noWrap/>
            <w:vAlign w:val="center"/>
            <w:hideMark/>
          </w:tcPr>
          <w:p w:rsidR="00FF2DB3" w:rsidRPr="00C90161" w:rsidRDefault="00FF2DB3" w:rsidP="00F75558">
            <w:pPr>
              <w:spacing w:before="60" w:after="60"/>
              <w:jc w:val="right"/>
              <w:rPr>
                <w:b/>
                <w:bCs/>
              </w:rPr>
            </w:pPr>
            <w:r w:rsidRPr="00C90161">
              <w:rPr>
                <w:b/>
              </w:rPr>
              <w:t>10 454</w:t>
            </w:r>
          </w:p>
        </w:tc>
        <w:tc>
          <w:tcPr>
            <w:tcW w:w="349" w:type="pct"/>
            <w:noWrap/>
            <w:vAlign w:val="center"/>
            <w:hideMark/>
          </w:tcPr>
          <w:p w:rsidR="00FF2DB3" w:rsidRPr="00C90161" w:rsidRDefault="00FF2DB3" w:rsidP="00F75558">
            <w:pPr>
              <w:spacing w:before="60" w:after="60"/>
              <w:jc w:val="right"/>
              <w:rPr>
                <w:b/>
                <w:bCs/>
              </w:rPr>
            </w:pPr>
            <w:r w:rsidRPr="00C90161">
              <w:rPr>
                <w:b/>
              </w:rPr>
              <w:t>10 554</w:t>
            </w:r>
          </w:p>
        </w:tc>
        <w:tc>
          <w:tcPr>
            <w:tcW w:w="348" w:type="pct"/>
            <w:noWrap/>
            <w:vAlign w:val="center"/>
            <w:hideMark/>
          </w:tcPr>
          <w:p w:rsidR="00FF2DB3" w:rsidRPr="00C90161" w:rsidRDefault="00FF2DB3" w:rsidP="00F75558">
            <w:pPr>
              <w:spacing w:before="60" w:after="60"/>
              <w:jc w:val="right"/>
              <w:rPr>
                <w:b/>
                <w:bCs/>
              </w:rPr>
            </w:pPr>
            <w:r w:rsidRPr="00C90161">
              <w:rPr>
                <w:b/>
              </w:rPr>
              <w:t>10 673</w:t>
            </w:r>
          </w:p>
        </w:tc>
        <w:tc>
          <w:tcPr>
            <w:tcW w:w="340" w:type="pct"/>
            <w:noWrap/>
            <w:vAlign w:val="center"/>
            <w:hideMark/>
          </w:tcPr>
          <w:p w:rsidR="00FF2DB3" w:rsidRPr="00C90161" w:rsidRDefault="00FF2DB3" w:rsidP="00F75558">
            <w:pPr>
              <w:spacing w:before="60" w:after="60"/>
              <w:jc w:val="right"/>
              <w:rPr>
                <w:b/>
                <w:bCs/>
              </w:rPr>
            </w:pPr>
            <w:r w:rsidRPr="00C90161">
              <w:rPr>
                <w:b/>
              </w:rPr>
              <w:t>10 843</w:t>
            </w:r>
          </w:p>
        </w:tc>
        <w:tc>
          <w:tcPr>
            <w:tcW w:w="639" w:type="pct"/>
            <w:tcBorders>
              <w:top w:val="nil"/>
              <w:left w:val="single" w:sz="4" w:space="0" w:color="auto"/>
              <w:bottom w:val="nil"/>
              <w:right w:val="single" w:sz="8" w:space="0" w:color="auto"/>
            </w:tcBorders>
            <w:noWrap/>
            <w:vAlign w:val="center"/>
            <w:hideMark/>
          </w:tcPr>
          <w:p w:rsidR="00FF2DB3" w:rsidRPr="00C90161" w:rsidRDefault="00FF2DB3" w:rsidP="00F75558">
            <w:pPr>
              <w:spacing w:before="60" w:after="60"/>
              <w:jc w:val="right"/>
              <w:rPr>
                <w:b/>
                <w:bCs/>
              </w:rPr>
            </w:pPr>
            <w:r w:rsidRPr="00C90161">
              <w:rPr>
                <w:b/>
              </w:rPr>
              <w:t>73 102</w:t>
            </w:r>
          </w:p>
        </w:tc>
      </w:tr>
      <w:tr w:rsidR="00FF2DB3" w:rsidRPr="00C90161" w:rsidTr="00F75558">
        <w:trPr>
          <w:trHeight w:val="315"/>
        </w:trPr>
        <w:tc>
          <w:tcPr>
            <w:tcW w:w="1927" w:type="pct"/>
            <w:tcBorders>
              <w:top w:val="nil"/>
              <w:left w:val="single" w:sz="8" w:space="0" w:color="auto"/>
              <w:bottom w:val="single" w:sz="8" w:space="0" w:color="auto"/>
              <w:right w:val="single" w:sz="4" w:space="0" w:color="auto"/>
            </w:tcBorders>
            <w:noWrap/>
            <w:vAlign w:val="center"/>
            <w:hideMark/>
          </w:tcPr>
          <w:p w:rsidR="00FF2DB3" w:rsidRPr="00C90161" w:rsidRDefault="00FF2DB3" w:rsidP="00F75558">
            <w:pPr>
              <w:spacing w:before="60" w:after="60"/>
              <w:ind w:left="720"/>
            </w:pPr>
            <w:r w:rsidRPr="00C90161">
              <w:t>z toho: Administratívne výdavky inštitúcií</w:t>
            </w:r>
          </w:p>
        </w:tc>
        <w:tc>
          <w:tcPr>
            <w:tcW w:w="347" w:type="pct"/>
            <w:tcBorders>
              <w:top w:val="nil"/>
              <w:left w:val="nil"/>
              <w:bottom w:val="single" w:sz="8" w:space="0" w:color="auto"/>
              <w:right w:val="nil"/>
            </w:tcBorders>
            <w:noWrap/>
            <w:vAlign w:val="center"/>
            <w:hideMark/>
          </w:tcPr>
          <w:p w:rsidR="00FF2DB3" w:rsidRPr="00C90161" w:rsidRDefault="00FF2DB3" w:rsidP="00F75558">
            <w:pPr>
              <w:spacing w:before="60" w:after="60"/>
              <w:jc w:val="right"/>
            </w:pPr>
            <w:r w:rsidRPr="00C90161">
              <w:t>7 742</w:t>
            </w:r>
          </w:p>
        </w:tc>
        <w:tc>
          <w:tcPr>
            <w:tcW w:w="350" w:type="pct"/>
            <w:tcBorders>
              <w:top w:val="nil"/>
              <w:left w:val="nil"/>
              <w:bottom w:val="single" w:sz="8" w:space="0" w:color="auto"/>
              <w:right w:val="nil"/>
            </w:tcBorders>
            <w:noWrap/>
            <w:vAlign w:val="center"/>
            <w:hideMark/>
          </w:tcPr>
          <w:p w:rsidR="00FF2DB3" w:rsidRPr="00C90161" w:rsidRDefault="00FF2DB3" w:rsidP="00F75558">
            <w:pPr>
              <w:spacing w:before="60" w:after="60"/>
              <w:jc w:val="right"/>
            </w:pPr>
            <w:r w:rsidRPr="00C90161">
              <w:t>7 878</w:t>
            </w:r>
          </w:p>
        </w:tc>
        <w:tc>
          <w:tcPr>
            <w:tcW w:w="350" w:type="pct"/>
            <w:tcBorders>
              <w:top w:val="nil"/>
              <w:left w:val="nil"/>
              <w:bottom w:val="single" w:sz="8" w:space="0" w:color="auto"/>
              <w:right w:val="nil"/>
            </w:tcBorders>
            <w:noWrap/>
            <w:vAlign w:val="center"/>
            <w:hideMark/>
          </w:tcPr>
          <w:p w:rsidR="00FF2DB3" w:rsidRPr="00C90161" w:rsidRDefault="00FF2DB3" w:rsidP="00F75558">
            <w:pPr>
              <w:spacing w:before="60" w:after="60"/>
              <w:jc w:val="right"/>
            </w:pPr>
            <w:r w:rsidRPr="00C90161">
              <w:t>7 945</w:t>
            </w:r>
          </w:p>
        </w:tc>
        <w:tc>
          <w:tcPr>
            <w:tcW w:w="350" w:type="pct"/>
            <w:tcBorders>
              <w:top w:val="nil"/>
              <w:left w:val="nil"/>
              <w:bottom w:val="single" w:sz="8" w:space="0" w:color="auto"/>
              <w:right w:val="nil"/>
            </w:tcBorders>
            <w:noWrap/>
            <w:vAlign w:val="center"/>
            <w:hideMark/>
          </w:tcPr>
          <w:p w:rsidR="00FF2DB3" w:rsidRPr="00C90161" w:rsidRDefault="00FF2DB3" w:rsidP="00F75558">
            <w:pPr>
              <w:spacing w:before="60" w:after="60"/>
              <w:jc w:val="right"/>
            </w:pPr>
            <w:r w:rsidRPr="00C90161">
              <w:t>7 997</w:t>
            </w:r>
          </w:p>
        </w:tc>
        <w:tc>
          <w:tcPr>
            <w:tcW w:w="349" w:type="pct"/>
            <w:tcBorders>
              <w:top w:val="nil"/>
              <w:left w:val="nil"/>
              <w:bottom w:val="single" w:sz="8" w:space="0" w:color="auto"/>
              <w:right w:val="nil"/>
            </w:tcBorders>
            <w:noWrap/>
            <w:vAlign w:val="center"/>
            <w:hideMark/>
          </w:tcPr>
          <w:p w:rsidR="00FF2DB3" w:rsidRPr="00C90161" w:rsidRDefault="00FF2DB3" w:rsidP="00F75558">
            <w:pPr>
              <w:spacing w:before="60" w:after="60"/>
              <w:jc w:val="right"/>
            </w:pPr>
            <w:r w:rsidRPr="00C90161">
              <w:t>8 025</w:t>
            </w:r>
          </w:p>
        </w:tc>
        <w:tc>
          <w:tcPr>
            <w:tcW w:w="348" w:type="pct"/>
            <w:tcBorders>
              <w:top w:val="nil"/>
              <w:left w:val="nil"/>
              <w:bottom w:val="single" w:sz="8" w:space="0" w:color="auto"/>
              <w:right w:val="nil"/>
            </w:tcBorders>
            <w:noWrap/>
            <w:vAlign w:val="center"/>
            <w:hideMark/>
          </w:tcPr>
          <w:p w:rsidR="00FF2DB3" w:rsidRPr="00C90161" w:rsidRDefault="00FF2DB3" w:rsidP="00F75558">
            <w:pPr>
              <w:spacing w:before="60" w:after="60"/>
              <w:jc w:val="right"/>
            </w:pPr>
            <w:r w:rsidRPr="00C90161">
              <w:t>8 077</w:t>
            </w:r>
          </w:p>
        </w:tc>
        <w:tc>
          <w:tcPr>
            <w:tcW w:w="340" w:type="pct"/>
            <w:tcBorders>
              <w:top w:val="nil"/>
              <w:left w:val="nil"/>
              <w:bottom w:val="single" w:sz="8" w:space="0" w:color="auto"/>
              <w:right w:val="nil"/>
            </w:tcBorders>
            <w:noWrap/>
            <w:vAlign w:val="center"/>
            <w:hideMark/>
          </w:tcPr>
          <w:p w:rsidR="00FF2DB3" w:rsidRPr="00C90161" w:rsidRDefault="00FF2DB3" w:rsidP="00F75558">
            <w:pPr>
              <w:spacing w:before="60" w:after="60"/>
              <w:jc w:val="right"/>
            </w:pPr>
            <w:r w:rsidRPr="00C90161">
              <w:t>8 188</w:t>
            </w:r>
          </w:p>
        </w:tc>
        <w:tc>
          <w:tcPr>
            <w:tcW w:w="639" w:type="pct"/>
            <w:tcBorders>
              <w:top w:val="nil"/>
              <w:left w:val="single" w:sz="4" w:space="0" w:color="auto"/>
              <w:bottom w:val="single" w:sz="8" w:space="0" w:color="auto"/>
              <w:right w:val="single" w:sz="8" w:space="0" w:color="auto"/>
            </w:tcBorders>
            <w:noWrap/>
            <w:vAlign w:val="center"/>
            <w:hideMark/>
          </w:tcPr>
          <w:p w:rsidR="00FF2DB3" w:rsidRPr="00C90161" w:rsidRDefault="00FF2DB3" w:rsidP="00F75558">
            <w:pPr>
              <w:spacing w:before="60" w:after="60"/>
              <w:jc w:val="right"/>
            </w:pPr>
            <w:r w:rsidRPr="00C90161">
              <w:t>55 852</w:t>
            </w:r>
          </w:p>
        </w:tc>
      </w:tr>
      <w:tr w:rsidR="00FF2DB3" w:rsidRPr="00C90161" w:rsidTr="00F75558">
        <w:trPr>
          <w:trHeight w:val="315"/>
        </w:trPr>
        <w:tc>
          <w:tcPr>
            <w:tcW w:w="1927" w:type="pct"/>
            <w:tcBorders>
              <w:top w:val="nil"/>
              <w:left w:val="single" w:sz="8" w:space="0" w:color="auto"/>
              <w:bottom w:val="single" w:sz="8" w:space="0" w:color="auto"/>
              <w:right w:val="nil"/>
            </w:tcBorders>
            <w:noWrap/>
            <w:vAlign w:val="center"/>
            <w:hideMark/>
          </w:tcPr>
          <w:p w:rsidR="00FF2DB3" w:rsidRPr="00C90161" w:rsidRDefault="00FF2DB3" w:rsidP="00F75558">
            <w:pPr>
              <w:spacing w:before="60" w:after="60"/>
              <w:jc w:val="right"/>
              <w:rPr>
                <w:b/>
                <w:bCs/>
              </w:rPr>
            </w:pPr>
            <w:r w:rsidRPr="00C90161">
              <w:rPr>
                <w:b/>
              </w:rPr>
              <w:t>VIAZANÉ ROZPOČTOVÉ PROSTRIEDKY SPOLU</w:t>
            </w:r>
          </w:p>
        </w:tc>
        <w:tc>
          <w:tcPr>
            <w:tcW w:w="347" w:type="pct"/>
            <w:tcBorders>
              <w:top w:val="nil"/>
              <w:left w:val="single" w:sz="4" w:space="0" w:color="auto"/>
              <w:bottom w:val="single" w:sz="8" w:space="0" w:color="auto"/>
              <w:right w:val="nil"/>
            </w:tcBorders>
            <w:noWrap/>
            <w:vAlign w:val="center"/>
            <w:hideMark/>
          </w:tcPr>
          <w:p w:rsidR="00FF2DB3" w:rsidRPr="00C90161" w:rsidRDefault="00FF2DB3" w:rsidP="00F75558">
            <w:pPr>
              <w:spacing w:before="60" w:after="60"/>
              <w:jc w:val="right"/>
              <w:rPr>
                <w:b/>
                <w:bCs/>
              </w:rPr>
            </w:pPr>
            <w:r w:rsidRPr="00C90161">
              <w:rPr>
                <w:b/>
              </w:rPr>
              <w:t>107 885</w:t>
            </w:r>
          </w:p>
        </w:tc>
        <w:tc>
          <w:tcPr>
            <w:tcW w:w="350" w:type="pct"/>
            <w:tcBorders>
              <w:top w:val="nil"/>
              <w:left w:val="nil"/>
              <w:bottom w:val="single" w:sz="8" w:space="0" w:color="auto"/>
              <w:right w:val="nil"/>
            </w:tcBorders>
            <w:noWrap/>
            <w:vAlign w:val="center"/>
            <w:hideMark/>
          </w:tcPr>
          <w:p w:rsidR="00FF2DB3" w:rsidRPr="00C90161" w:rsidRDefault="00FF2DB3" w:rsidP="00F75558">
            <w:pPr>
              <w:spacing w:before="60" w:after="60"/>
              <w:jc w:val="right"/>
              <w:rPr>
                <w:b/>
                <w:bCs/>
              </w:rPr>
            </w:pPr>
            <w:r w:rsidRPr="00C90161">
              <w:rPr>
                <w:b/>
              </w:rPr>
              <w:t>166 070</w:t>
            </w:r>
          </w:p>
        </w:tc>
        <w:tc>
          <w:tcPr>
            <w:tcW w:w="350" w:type="pct"/>
            <w:tcBorders>
              <w:top w:val="nil"/>
              <w:left w:val="nil"/>
              <w:bottom w:val="single" w:sz="8" w:space="0" w:color="auto"/>
              <w:right w:val="nil"/>
            </w:tcBorders>
            <w:noWrap/>
            <w:vAlign w:val="center"/>
            <w:hideMark/>
          </w:tcPr>
          <w:p w:rsidR="00FF2DB3" w:rsidRPr="00C90161" w:rsidRDefault="00FF2DB3" w:rsidP="00F75558">
            <w:pPr>
              <w:spacing w:before="60" w:after="60"/>
              <w:jc w:val="right"/>
              <w:rPr>
                <w:b/>
                <w:bCs/>
              </w:rPr>
            </w:pPr>
            <w:r w:rsidRPr="00C90161">
              <w:rPr>
                <w:b/>
              </w:rPr>
              <w:t>165 443</w:t>
            </w:r>
          </w:p>
        </w:tc>
        <w:tc>
          <w:tcPr>
            <w:tcW w:w="350" w:type="pct"/>
            <w:tcBorders>
              <w:top w:val="nil"/>
              <w:left w:val="nil"/>
              <w:bottom w:val="single" w:sz="8" w:space="0" w:color="auto"/>
              <w:right w:val="nil"/>
            </w:tcBorders>
            <w:noWrap/>
            <w:vAlign w:val="center"/>
            <w:hideMark/>
          </w:tcPr>
          <w:p w:rsidR="00FF2DB3" w:rsidRPr="00C90161" w:rsidRDefault="00FF2DB3" w:rsidP="00F75558">
            <w:pPr>
              <w:spacing w:before="60" w:after="60"/>
              <w:jc w:val="right"/>
              <w:rPr>
                <w:b/>
                <w:bCs/>
              </w:rPr>
            </w:pPr>
            <w:r w:rsidRPr="00C90161">
              <w:rPr>
                <w:b/>
              </w:rPr>
              <w:t>165 905</w:t>
            </w:r>
          </w:p>
        </w:tc>
        <w:tc>
          <w:tcPr>
            <w:tcW w:w="349" w:type="pct"/>
            <w:tcBorders>
              <w:top w:val="nil"/>
              <w:left w:val="nil"/>
              <w:bottom w:val="single" w:sz="8" w:space="0" w:color="auto"/>
              <w:right w:val="nil"/>
            </w:tcBorders>
            <w:noWrap/>
            <w:vAlign w:val="center"/>
            <w:hideMark/>
          </w:tcPr>
          <w:p w:rsidR="00FF2DB3" w:rsidRPr="00C90161" w:rsidRDefault="00FF2DB3" w:rsidP="00F75558">
            <w:pPr>
              <w:spacing w:before="60" w:after="60"/>
              <w:jc w:val="right"/>
              <w:rPr>
                <w:b/>
                <w:bCs/>
              </w:rPr>
            </w:pPr>
            <w:r w:rsidRPr="00C90161">
              <w:rPr>
                <w:b/>
              </w:rPr>
              <w:t>164 377</w:t>
            </w:r>
          </w:p>
        </w:tc>
        <w:tc>
          <w:tcPr>
            <w:tcW w:w="348" w:type="pct"/>
            <w:tcBorders>
              <w:top w:val="nil"/>
              <w:left w:val="nil"/>
              <w:bottom w:val="single" w:sz="8" w:space="0" w:color="auto"/>
              <w:right w:val="nil"/>
            </w:tcBorders>
            <w:noWrap/>
            <w:vAlign w:val="center"/>
            <w:hideMark/>
          </w:tcPr>
          <w:p w:rsidR="00FF2DB3" w:rsidRPr="00C90161" w:rsidRDefault="00FF2DB3" w:rsidP="00F75558">
            <w:pPr>
              <w:spacing w:before="60" w:after="60"/>
              <w:jc w:val="right"/>
              <w:rPr>
                <w:b/>
                <w:bCs/>
              </w:rPr>
            </w:pPr>
            <w:r w:rsidRPr="00C90161">
              <w:rPr>
                <w:b/>
              </w:rPr>
              <w:t>154 071</w:t>
            </w:r>
          </w:p>
        </w:tc>
        <w:tc>
          <w:tcPr>
            <w:tcW w:w="340" w:type="pct"/>
            <w:tcBorders>
              <w:top w:val="nil"/>
              <w:left w:val="nil"/>
              <w:bottom w:val="single" w:sz="8" w:space="0" w:color="auto"/>
              <w:right w:val="nil"/>
            </w:tcBorders>
            <w:noWrap/>
            <w:vAlign w:val="center"/>
            <w:hideMark/>
          </w:tcPr>
          <w:p w:rsidR="00FF2DB3" w:rsidRPr="00C90161" w:rsidRDefault="00FF2DB3" w:rsidP="00F75558">
            <w:pPr>
              <w:spacing w:before="60" w:after="60"/>
              <w:jc w:val="right"/>
              <w:rPr>
                <w:b/>
                <w:bCs/>
              </w:rPr>
            </w:pPr>
            <w:r w:rsidRPr="00C90161">
              <w:rPr>
                <w:b/>
              </w:rPr>
              <w:t>155 772</w:t>
            </w:r>
          </w:p>
        </w:tc>
        <w:tc>
          <w:tcPr>
            <w:tcW w:w="639" w:type="pct"/>
            <w:tcBorders>
              <w:top w:val="nil"/>
              <w:left w:val="single" w:sz="4" w:space="0" w:color="auto"/>
              <w:bottom w:val="single" w:sz="8" w:space="0" w:color="auto"/>
              <w:right w:val="single" w:sz="8" w:space="0" w:color="auto"/>
            </w:tcBorders>
            <w:noWrap/>
            <w:vAlign w:val="center"/>
            <w:hideMark/>
          </w:tcPr>
          <w:p w:rsidR="00FF2DB3" w:rsidRPr="00C90161" w:rsidRDefault="00FF2DB3" w:rsidP="00F75558">
            <w:pPr>
              <w:spacing w:before="60" w:after="60"/>
              <w:jc w:val="right"/>
              <w:rPr>
                <w:b/>
                <w:bCs/>
              </w:rPr>
            </w:pPr>
            <w:r w:rsidRPr="00C90161">
              <w:rPr>
                <w:b/>
              </w:rPr>
              <w:t>1 079 523</w:t>
            </w:r>
          </w:p>
        </w:tc>
      </w:tr>
      <w:tr w:rsidR="00FF2DB3" w:rsidRPr="00C90161" w:rsidTr="00F75558">
        <w:trPr>
          <w:trHeight w:val="315"/>
        </w:trPr>
        <w:tc>
          <w:tcPr>
            <w:tcW w:w="1927" w:type="pct"/>
            <w:tcBorders>
              <w:top w:val="single" w:sz="8" w:space="0" w:color="auto"/>
              <w:left w:val="nil"/>
              <w:bottom w:val="single" w:sz="8" w:space="0" w:color="auto"/>
              <w:right w:val="nil"/>
            </w:tcBorders>
            <w:noWrap/>
            <w:vAlign w:val="center"/>
          </w:tcPr>
          <w:p w:rsidR="00FF2DB3" w:rsidRPr="00C90161" w:rsidRDefault="00FF2DB3" w:rsidP="00F75558">
            <w:pPr>
              <w:spacing w:before="60" w:after="60"/>
            </w:pPr>
          </w:p>
        </w:tc>
        <w:tc>
          <w:tcPr>
            <w:tcW w:w="347" w:type="pct"/>
            <w:tcBorders>
              <w:top w:val="single" w:sz="8" w:space="0" w:color="auto"/>
              <w:left w:val="nil"/>
              <w:bottom w:val="single" w:sz="8" w:space="0" w:color="auto"/>
              <w:right w:val="nil"/>
            </w:tcBorders>
            <w:noWrap/>
            <w:vAlign w:val="center"/>
          </w:tcPr>
          <w:p w:rsidR="00FF2DB3" w:rsidRPr="00C90161" w:rsidRDefault="00FF2DB3" w:rsidP="00F75558">
            <w:pPr>
              <w:spacing w:before="60" w:after="60"/>
              <w:jc w:val="right"/>
            </w:pPr>
          </w:p>
        </w:tc>
        <w:tc>
          <w:tcPr>
            <w:tcW w:w="350" w:type="pct"/>
            <w:tcBorders>
              <w:top w:val="single" w:sz="8" w:space="0" w:color="auto"/>
              <w:left w:val="nil"/>
              <w:bottom w:val="single" w:sz="8" w:space="0" w:color="auto"/>
              <w:right w:val="nil"/>
            </w:tcBorders>
            <w:noWrap/>
            <w:vAlign w:val="center"/>
          </w:tcPr>
          <w:p w:rsidR="00FF2DB3" w:rsidRPr="00C90161" w:rsidRDefault="00FF2DB3" w:rsidP="00F75558">
            <w:pPr>
              <w:spacing w:before="60" w:after="60"/>
              <w:jc w:val="right"/>
            </w:pPr>
          </w:p>
        </w:tc>
        <w:tc>
          <w:tcPr>
            <w:tcW w:w="350" w:type="pct"/>
            <w:tcBorders>
              <w:top w:val="single" w:sz="8" w:space="0" w:color="auto"/>
              <w:left w:val="nil"/>
              <w:bottom w:val="single" w:sz="8" w:space="0" w:color="auto"/>
              <w:right w:val="nil"/>
            </w:tcBorders>
            <w:noWrap/>
            <w:vAlign w:val="center"/>
          </w:tcPr>
          <w:p w:rsidR="00FF2DB3" w:rsidRPr="00C90161" w:rsidRDefault="00FF2DB3" w:rsidP="00F75558">
            <w:pPr>
              <w:spacing w:before="60" w:after="60"/>
              <w:jc w:val="right"/>
            </w:pPr>
          </w:p>
        </w:tc>
        <w:tc>
          <w:tcPr>
            <w:tcW w:w="350" w:type="pct"/>
            <w:tcBorders>
              <w:top w:val="single" w:sz="8" w:space="0" w:color="auto"/>
              <w:left w:val="nil"/>
              <w:bottom w:val="single" w:sz="8" w:space="0" w:color="auto"/>
              <w:right w:val="nil"/>
            </w:tcBorders>
            <w:noWrap/>
            <w:vAlign w:val="center"/>
          </w:tcPr>
          <w:p w:rsidR="00FF2DB3" w:rsidRPr="00C90161" w:rsidRDefault="00FF2DB3" w:rsidP="00F75558">
            <w:pPr>
              <w:spacing w:before="60" w:after="60"/>
              <w:jc w:val="right"/>
            </w:pPr>
          </w:p>
        </w:tc>
        <w:tc>
          <w:tcPr>
            <w:tcW w:w="349" w:type="pct"/>
            <w:tcBorders>
              <w:top w:val="single" w:sz="8" w:space="0" w:color="auto"/>
              <w:left w:val="nil"/>
              <w:bottom w:val="single" w:sz="8" w:space="0" w:color="auto"/>
              <w:right w:val="nil"/>
            </w:tcBorders>
            <w:noWrap/>
            <w:vAlign w:val="center"/>
          </w:tcPr>
          <w:p w:rsidR="00FF2DB3" w:rsidRPr="00C90161" w:rsidRDefault="00FF2DB3" w:rsidP="00F75558">
            <w:pPr>
              <w:spacing w:before="60" w:after="60"/>
              <w:jc w:val="right"/>
            </w:pPr>
          </w:p>
        </w:tc>
        <w:tc>
          <w:tcPr>
            <w:tcW w:w="348" w:type="pct"/>
            <w:tcBorders>
              <w:top w:val="single" w:sz="8" w:space="0" w:color="auto"/>
              <w:left w:val="nil"/>
              <w:bottom w:val="single" w:sz="8" w:space="0" w:color="auto"/>
              <w:right w:val="nil"/>
            </w:tcBorders>
            <w:noWrap/>
            <w:vAlign w:val="center"/>
          </w:tcPr>
          <w:p w:rsidR="00FF2DB3" w:rsidRPr="00C90161" w:rsidRDefault="00FF2DB3" w:rsidP="00F75558">
            <w:pPr>
              <w:spacing w:before="60" w:after="60"/>
              <w:jc w:val="right"/>
            </w:pPr>
          </w:p>
        </w:tc>
        <w:tc>
          <w:tcPr>
            <w:tcW w:w="340" w:type="pct"/>
            <w:tcBorders>
              <w:top w:val="single" w:sz="8" w:space="0" w:color="auto"/>
              <w:left w:val="nil"/>
              <w:bottom w:val="single" w:sz="8" w:space="0" w:color="auto"/>
              <w:right w:val="nil"/>
            </w:tcBorders>
            <w:noWrap/>
            <w:vAlign w:val="center"/>
          </w:tcPr>
          <w:p w:rsidR="00FF2DB3" w:rsidRPr="00C90161" w:rsidRDefault="00FF2DB3" w:rsidP="00F75558">
            <w:pPr>
              <w:spacing w:before="60" w:after="60"/>
              <w:jc w:val="right"/>
            </w:pPr>
          </w:p>
        </w:tc>
        <w:tc>
          <w:tcPr>
            <w:tcW w:w="639" w:type="pct"/>
            <w:tcBorders>
              <w:top w:val="single" w:sz="8" w:space="0" w:color="auto"/>
              <w:left w:val="nil"/>
              <w:bottom w:val="single" w:sz="8" w:space="0" w:color="auto"/>
              <w:right w:val="nil"/>
            </w:tcBorders>
            <w:noWrap/>
            <w:vAlign w:val="center"/>
          </w:tcPr>
          <w:p w:rsidR="00FF2DB3" w:rsidRPr="00C90161" w:rsidRDefault="00FF2DB3" w:rsidP="00F75558">
            <w:pPr>
              <w:spacing w:before="60" w:after="60"/>
              <w:jc w:val="right"/>
            </w:pPr>
          </w:p>
        </w:tc>
      </w:tr>
      <w:tr w:rsidR="00FF2DB3" w:rsidRPr="00C90161" w:rsidTr="00F75558">
        <w:trPr>
          <w:trHeight w:val="315"/>
        </w:trPr>
        <w:tc>
          <w:tcPr>
            <w:tcW w:w="1927" w:type="pct"/>
            <w:tcBorders>
              <w:top w:val="single" w:sz="8" w:space="0" w:color="auto"/>
              <w:left w:val="single" w:sz="8" w:space="0" w:color="auto"/>
              <w:bottom w:val="single" w:sz="8" w:space="0" w:color="auto"/>
              <w:right w:val="nil"/>
            </w:tcBorders>
            <w:noWrap/>
            <w:vAlign w:val="center"/>
            <w:hideMark/>
          </w:tcPr>
          <w:p w:rsidR="00FF2DB3" w:rsidRPr="00C90161" w:rsidRDefault="00FF2DB3" w:rsidP="00F75558">
            <w:pPr>
              <w:spacing w:before="60" w:after="60"/>
              <w:jc w:val="right"/>
              <w:rPr>
                <w:b/>
                <w:bCs/>
              </w:rPr>
            </w:pPr>
            <w:r w:rsidRPr="00C90161">
              <w:rPr>
                <w:b/>
              </w:rPr>
              <w:t>CELKOVÉ PLATOBNÉ ROZPOČTOVÉ PROSTRIEDKY</w:t>
            </w:r>
          </w:p>
        </w:tc>
        <w:tc>
          <w:tcPr>
            <w:tcW w:w="347" w:type="pct"/>
            <w:tcBorders>
              <w:top w:val="single" w:sz="8" w:space="0" w:color="auto"/>
              <w:left w:val="single" w:sz="4" w:space="0" w:color="auto"/>
              <w:bottom w:val="single" w:sz="8" w:space="0" w:color="auto"/>
              <w:right w:val="nil"/>
            </w:tcBorders>
            <w:noWrap/>
            <w:vAlign w:val="center"/>
            <w:hideMark/>
          </w:tcPr>
          <w:p w:rsidR="00FF2DB3" w:rsidRPr="00C90161" w:rsidRDefault="00FF2DB3" w:rsidP="00F75558">
            <w:pPr>
              <w:spacing w:before="60" w:after="60"/>
              <w:jc w:val="right"/>
              <w:rPr>
                <w:b/>
                <w:bCs/>
              </w:rPr>
            </w:pPr>
            <w:r w:rsidRPr="00C90161">
              <w:rPr>
                <w:b/>
              </w:rPr>
              <w:t>154 065</w:t>
            </w:r>
          </w:p>
        </w:tc>
        <w:tc>
          <w:tcPr>
            <w:tcW w:w="350" w:type="pct"/>
            <w:tcBorders>
              <w:top w:val="single" w:sz="8" w:space="0" w:color="auto"/>
              <w:left w:val="nil"/>
              <w:bottom w:val="single" w:sz="8" w:space="0" w:color="auto"/>
              <w:right w:val="nil"/>
            </w:tcBorders>
            <w:noWrap/>
            <w:vAlign w:val="center"/>
            <w:hideMark/>
          </w:tcPr>
          <w:p w:rsidR="00FF2DB3" w:rsidRPr="00C90161" w:rsidRDefault="00FF2DB3" w:rsidP="00F75558">
            <w:pPr>
              <w:spacing w:before="60" w:after="60"/>
              <w:jc w:val="right"/>
              <w:rPr>
                <w:b/>
                <w:bCs/>
              </w:rPr>
            </w:pPr>
            <w:r w:rsidRPr="00C90161">
              <w:rPr>
                <w:b/>
              </w:rPr>
              <w:t>153 850</w:t>
            </w:r>
          </w:p>
        </w:tc>
        <w:tc>
          <w:tcPr>
            <w:tcW w:w="350" w:type="pct"/>
            <w:tcBorders>
              <w:top w:val="single" w:sz="8" w:space="0" w:color="auto"/>
              <w:left w:val="nil"/>
              <w:bottom w:val="single" w:sz="8" w:space="0" w:color="auto"/>
              <w:right w:val="nil"/>
            </w:tcBorders>
            <w:noWrap/>
            <w:vAlign w:val="center"/>
            <w:hideMark/>
          </w:tcPr>
          <w:p w:rsidR="00FF2DB3" w:rsidRPr="00C90161" w:rsidRDefault="00FF2DB3" w:rsidP="00F75558">
            <w:pPr>
              <w:spacing w:before="60" w:after="60"/>
              <w:jc w:val="right"/>
              <w:rPr>
                <w:b/>
                <w:bCs/>
              </w:rPr>
            </w:pPr>
            <w:r w:rsidRPr="00C90161">
              <w:rPr>
                <w:b/>
              </w:rPr>
              <w:t>152 682</w:t>
            </w:r>
          </w:p>
        </w:tc>
        <w:tc>
          <w:tcPr>
            <w:tcW w:w="350" w:type="pct"/>
            <w:tcBorders>
              <w:top w:val="single" w:sz="8" w:space="0" w:color="auto"/>
              <w:left w:val="nil"/>
              <w:bottom w:val="single" w:sz="8" w:space="0" w:color="auto"/>
              <w:right w:val="nil"/>
            </w:tcBorders>
            <w:noWrap/>
            <w:vAlign w:val="center"/>
            <w:hideMark/>
          </w:tcPr>
          <w:p w:rsidR="00FF2DB3" w:rsidRPr="00C90161" w:rsidRDefault="00FF2DB3" w:rsidP="00F75558">
            <w:pPr>
              <w:spacing w:before="60" w:after="60"/>
              <w:jc w:val="right"/>
              <w:rPr>
                <w:b/>
                <w:bCs/>
              </w:rPr>
            </w:pPr>
            <w:r w:rsidRPr="00C90161">
              <w:rPr>
                <w:b/>
              </w:rPr>
              <w:t>151 436</w:t>
            </w:r>
          </w:p>
        </w:tc>
        <w:tc>
          <w:tcPr>
            <w:tcW w:w="349" w:type="pct"/>
            <w:tcBorders>
              <w:top w:val="single" w:sz="8" w:space="0" w:color="auto"/>
              <w:left w:val="nil"/>
              <w:bottom w:val="single" w:sz="8" w:space="0" w:color="auto"/>
              <w:right w:val="nil"/>
            </w:tcBorders>
            <w:noWrap/>
            <w:vAlign w:val="center"/>
            <w:hideMark/>
          </w:tcPr>
          <w:p w:rsidR="00FF2DB3" w:rsidRPr="00C90161" w:rsidRDefault="00FF2DB3" w:rsidP="00F75558">
            <w:pPr>
              <w:spacing w:before="60" w:after="60"/>
              <w:jc w:val="right"/>
              <w:rPr>
                <w:b/>
                <w:bCs/>
              </w:rPr>
            </w:pPr>
            <w:r w:rsidRPr="00C90161">
              <w:rPr>
                <w:b/>
              </w:rPr>
              <w:t>151 175</w:t>
            </w:r>
          </w:p>
        </w:tc>
        <w:tc>
          <w:tcPr>
            <w:tcW w:w="348" w:type="pct"/>
            <w:tcBorders>
              <w:top w:val="single" w:sz="8" w:space="0" w:color="auto"/>
              <w:left w:val="nil"/>
              <w:bottom w:val="single" w:sz="8" w:space="0" w:color="auto"/>
              <w:right w:val="nil"/>
            </w:tcBorders>
            <w:noWrap/>
            <w:vAlign w:val="center"/>
            <w:hideMark/>
          </w:tcPr>
          <w:p w:rsidR="00FF2DB3" w:rsidRPr="00C90161" w:rsidRDefault="00FF2DB3" w:rsidP="00F75558">
            <w:pPr>
              <w:spacing w:before="60" w:after="60"/>
              <w:jc w:val="right"/>
              <w:rPr>
                <w:b/>
                <w:bCs/>
              </w:rPr>
            </w:pPr>
            <w:r w:rsidRPr="00C90161">
              <w:rPr>
                <w:b/>
              </w:rPr>
              <w:t>151 175</w:t>
            </w:r>
          </w:p>
        </w:tc>
        <w:tc>
          <w:tcPr>
            <w:tcW w:w="340" w:type="pct"/>
            <w:tcBorders>
              <w:top w:val="single" w:sz="8" w:space="0" w:color="auto"/>
              <w:left w:val="nil"/>
              <w:bottom w:val="single" w:sz="8" w:space="0" w:color="auto"/>
              <w:right w:val="nil"/>
            </w:tcBorders>
            <w:noWrap/>
            <w:vAlign w:val="center"/>
            <w:hideMark/>
          </w:tcPr>
          <w:p w:rsidR="00FF2DB3" w:rsidRPr="00C90161" w:rsidRDefault="00FF2DB3" w:rsidP="00F75558">
            <w:pPr>
              <w:spacing w:before="60" w:after="60"/>
              <w:jc w:val="right"/>
              <w:rPr>
                <w:b/>
                <w:bCs/>
              </w:rPr>
            </w:pPr>
            <w:r w:rsidRPr="00C90161">
              <w:rPr>
                <w:b/>
              </w:rPr>
              <w:t>151 175</w:t>
            </w:r>
          </w:p>
        </w:tc>
        <w:tc>
          <w:tcPr>
            <w:tcW w:w="639" w:type="pct"/>
            <w:tcBorders>
              <w:top w:val="single" w:sz="8" w:space="0" w:color="auto"/>
              <w:left w:val="single" w:sz="4" w:space="0" w:color="auto"/>
              <w:bottom w:val="single" w:sz="8" w:space="0" w:color="auto"/>
              <w:right w:val="single" w:sz="8" w:space="0" w:color="auto"/>
            </w:tcBorders>
            <w:noWrap/>
            <w:vAlign w:val="center"/>
            <w:hideMark/>
          </w:tcPr>
          <w:p w:rsidR="00FF2DB3" w:rsidRPr="00C90161" w:rsidRDefault="00FF2DB3" w:rsidP="00F75558">
            <w:pPr>
              <w:spacing w:before="60" w:after="60"/>
              <w:jc w:val="right"/>
              <w:rPr>
                <w:b/>
                <w:bCs/>
              </w:rPr>
            </w:pPr>
            <w:r w:rsidRPr="00C90161">
              <w:rPr>
                <w:b/>
              </w:rPr>
              <w:t>1 065 558</w:t>
            </w:r>
          </w:p>
        </w:tc>
      </w:tr>
    </w:tbl>
    <w:p w:rsidR="00FF2DB3" w:rsidRPr="00C90161" w:rsidRDefault="00FF2DB3" w:rsidP="00FF2DB3">
      <w:pPr>
        <w:pStyle w:val="NormalRight"/>
      </w:pPr>
    </w:p>
    <w:p w:rsidR="00FF2DB3" w:rsidRPr="00C90161" w:rsidRDefault="00FF2DB3" w:rsidP="00FF2DB3">
      <w:pPr>
        <w:pStyle w:val="NormalCentered"/>
      </w:pPr>
      <w:r w:rsidRPr="00C90161">
        <w:br w:type="page"/>
        <w:t xml:space="preserve">PRÍLOHA II </w:t>
      </w:r>
      <w:r w:rsidR="0054227C" w:rsidRPr="00C90161">
        <w:br/>
      </w:r>
      <w:r w:rsidRPr="00C90161">
        <w:t>ÚPRAVA ŠPECIFICKÁ PRE PROGRAM – ZOZNAM PROGRAMOV, DISTRIBUČNÝ KĽÚČ A CELKOVÉ DODATOČNÉ PRIDELENIE VIAZANÝCH ROZPOČTOVÝCH PROSTRIEDKOV</w:t>
      </w:r>
    </w:p>
    <w:tbl>
      <w:tblPr>
        <w:tblW w:w="5000" w:type="pct"/>
        <w:tblLook w:val="04A0" w:firstRow="1" w:lastRow="0" w:firstColumn="1" w:lastColumn="0" w:noHBand="0" w:noVBand="1"/>
      </w:tblPr>
      <w:tblGrid>
        <w:gridCol w:w="5694"/>
        <w:gridCol w:w="2154"/>
        <w:gridCol w:w="2292"/>
        <w:gridCol w:w="4146"/>
      </w:tblGrid>
      <w:tr w:rsidR="00FF2DB3" w:rsidRPr="00C90161" w:rsidTr="00F75558">
        <w:trPr>
          <w:trHeight w:val="20"/>
        </w:trPr>
        <w:tc>
          <w:tcPr>
            <w:tcW w:w="1810" w:type="pct"/>
            <w:tcBorders>
              <w:top w:val="nil"/>
              <w:left w:val="nil"/>
              <w:bottom w:val="single" w:sz="8" w:space="0" w:color="auto"/>
              <w:right w:val="nil"/>
            </w:tcBorders>
            <w:noWrap/>
            <w:hideMark/>
          </w:tcPr>
          <w:p w:rsidR="00FF2DB3" w:rsidRPr="00C90161" w:rsidRDefault="00FF2DB3" w:rsidP="00F75558"/>
        </w:tc>
        <w:tc>
          <w:tcPr>
            <w:tcW w:w="815" w:type="pct"/>
            <w:tcBorders>
              <w:top w:val="nil"/>
              <w:left w:val="nil"/>
              <w:bottom w:val="single" w:sz="8" w:space="0" w:color="auto"/>
              <w:right w:val="nil"/>
            </w:tcBorders>
            <w:noWrap/>
            <w:hideMark/>
          </w:tcPr>
          <w:p w:rsidR="00FF2DB3" w:rsidRPr="00C90161" w:rsidRDefault="00FF2DB3" w:rsidP="00F75558">
            <w:pPr>
              <w:spacing w:after="160" w:line="256" w:lineRule="auto"/>
              <w:rPr>
                <w:rFonts w:asciiTheme="minorHAnsi" w:hAnsiTheme="minorHAnsi" w:cstheme="minorBidi"/>
                <w:sz w:val="20"/>
              </w:rPr>
            </w:pPr>
          </w:p>
        </w:tc>
        <w:tc>
          <w:tcPr>
            <w:tcW w:w="863" w:type="pct"/>
            <w:tcBorders>
              <w:top w:val="nil"/>
              <w:left w:val="nil"/>
              <w:bottom w:val="single" w:sz="8" w:space="0" w:color="auto"/>
              <w:right w:val="nil"/>
            </w:tcBorders>
          </w:tcPr>
          <w:p w:rsidR="00FF2DB3" w:rsidRPr="00C90161" w:rsidRDefault="00FF2DB3" w:rsidP="00F75558">
            <w:pPr>
              <w:spacing w:before="60" w:after="60"/>
              <w:jc w:val="right"/>
              <w:rPr>
                <w:szCs w:val="22"/>
                <w:lang w:eastAsia="en-US"/>
              </w:rPr>
            </w:pPr>
          </w:p>
        </w:tc>
        <w:tc>
          <w:tcPr>
            <w:tcW w:w="1512" w:type="pct"/>
            <w:tcBorders>
              <w:top w:val="nil"/>
              <w:left w:val="nil"/>
              <w:bottom w:val="single" w:sz="8" w:space="0" w:color="auto"/>
              <w:right w:val="nil"/>
            </w:tcBorders>
            <w:noWrap/>
            <w:hideMark/>
          </w:tcPr>
          <w:p w:rsidR="00FF2DB3" w:rsidRPr="00C90161" w:rsidRDefault="00FF2DB3" w:rsidP="00F75558">
            <w:pPr>
              <w:spacing w:before="60" w:after="60"/>
              <w:jc w:val="right"/>
            </w:pPr>
            <w:r w:rsidRPr="00C90161">
              <w:t>(</w:t>
            </w:r>
            <w:r w:rsidRPr="00C90161">
              <w:rPr>
                <w:i/>
                <w:iCs/>
              </w:rPr>
              <w:t>v miliónoch EUR, v cenách roku 2018</w:t>
            </w:r>
            <w:r w:rsidRPr="00C90161">
              <w:t>)</w:t>
            </w:r>
          </w:p>
        </w:tc>
      </w:tr>
      <w:tr w:rsidR="00FF2DB3" w:rsidRPr="00C90161" w:rsidTr="00F75558">
        <w:trPr>
          <w:trHeight w:val="20"/>
        </w:trPr>
        <w:tc>
          <w:tcPr>
            <w:tcW w:w="1810" w:type="pct"/>
            <w:tcBorders>
              <w:top w:val="single" w:sz="8" w:space="0" w:color="auto"/>
              <w:left w:val="nil"/>
              <w:bottom w:val="single" w:sz="8" w:space="0" w:color="auto"/>
              <w:right w:val="nil"/>
            </w:tcBorders>
            <w:noWrap/>
            <w:hideMark/>
          </w:tcPr>
          <w:p w:rsidR="00FF2DB3" w:rsidRPr="00C90161" w:rsidRDefault="00FF2DB3" w:rsidP="00F75558"/>
        </w:tc>
        <w:tc>
          <w:tcPr>
            <w:tcW w:w="1678" w:type="pct"/>
            <w:gridSpan w:val="2"/>
            <w:tcBorders>
              <w:top w:val="single" w:sz="4" w:space="0" w:color="auto"/>
              <w:left w:val="nil"/>
              <w:bottom w:val="single" w:sz="8" w:space="0" w:color="auto"/>
              <w:right w:val="nil"/>
            </w:tcBorders>
            <w:noWrap/>
            <w:hideMark/>
          </w:tcPr>
          <w:p w:rsidR="00FF2DB3" w:rsidRPr="00C90161" w:rsidRDefault="00FF2DB3" w:rsidP="00F75558">
            <w:pPr>
              <w:spacing w:before="60" w:after="60"/>
              <w:jc w:val="center"/>
              <w:rPr>
                <w:szCs w:val="22"/>
              </w:rPr>
            </w:pPr>
            <w:r w:rsidRPr="00C90161">
              <w:t>Distribučný kľúč</w:t>
            </w:r>
          </w:p>
        </w:tc>
        <w:tc>
          <w:tcPr>
            <w:tcW w:w="1512" w:type="pct"/>
            <w:tcBorders>
              <w:top w:val="single" w:sz="8" w:space="0" w:color="auto"/>
              <w:left w:val="nil"/>
              <w:bottom w:val="single" w:sz="8" w:space="0" w:color="auto"/>
              <w:right w:val="nil"/>
            </w:tcBorders>
            <w:hideMark/>
          </w:tcPr>
          <w:p w:rsidR="00FF2DB3" w:rsidRPr="00C90161" w:rsidRDefault="00FF2DB3" w:rsidP="00F75558">
            <w:pPr>
              <w:spacing w:before="60" w:after="60"/>
              <w:jc w:val="center"/>
            </w:pPr>
            <w:r w:rsidRPr="00C90161">
              <w:t>Celkové dodatočné pridelenie viazaných rozpočtových prostriedkov podľa článku 5</w:t>
            </w:r>
          </w:p>
        </w:tc>
      </w:tr>
      <w:tr w:rsidR="00FF2DB3" w:rsidRPr="00C90161" w:rsidTr="00F75558">
        <w:trPr>
          <w:trHeight w:val="20"/>
        </w:trPr>
        <w:tc>
          <w:tcPr>
            <w:tcW w:w="1810" w:type="pct"/>
            <w:tcBorders>
              <w:top w:val="single" w:sz="8" w:space="0" w:color="auto"/>
              <w:left w:val="nil"/>
              <w:bottom w:val="nil"/>
              <w:right w:val="nil"/>
            </w:tcBorders>
            <w:noWrap/>
          </w:tcPr>
          <w:p w:rsidR="00FF2DB3" w:rsidRPr="00C90161" w:rsidRDefault="00FF2DB3" w:rsidP="00F75558">
            <w:pPr>
              <w:spacing w:before="60" w:after="60"/>
              <w:jc w:val="center"/>
            </w:pPr>
          </w:p>
        </w:tc>
        <w:tc>
          <w:tcPr>
            <w:tcW w:w="815" w:type="pct"/>
            <w:tcBorders>
              <w:top w:val="single" w:sz="8" w:space="0" w:color="auto"/>
              <w:left w:val="nil"/>
              <w:bottom w:val="nil"/>
              <w:right w:val="nil"/>
            </w:tcBorders>
            <w:noWrap/>
            <w:hideMark/>
          </w:tcPr>
          <w:p w:rsidR="00FF2DB3" w:rsidRPr="00C90161" w:rsidRDefault="00FF2DB3" w:rsidP="00F75558">
            <w:pPr>
              <w:spacing w:before="60" w:after="60"/>
              <w:jc w:val="center"/>
              <w:rPr>
                <w:b/>
              </w:rPr>
            </w:pPr>
            <w:r w:rsidRPr="00C90161">
              <w:rPr>
                <w:b/>
              </w:rPr>
              <w:t>2022-2024</w:t>
            </w:r>
          </w:p>
        </w:tc>
        <w:tc>
          <w:tcPr>
            <w:tcW w:w="863" w:type="pct"/>
            <w:tcBorders>
              <w:top w:val="single" w:sz="8" w:space="0" w:color="auto"/>
              <w:left w:val="nil"/>
              <w:bottom w:val="nil"/>
              <w:right w:val="nil"/>
            </w:tcBorders>
            <w:hideMark/>
          </w:tcPr>
          <w:p w:rsidR="00FF2DB3" w:rsidRPr="00C90161" w:rsidRDefault="00FF2DB3" w:rsidP="00F75558">
            <w:pPr>
              <w:spacing w:before="60" w:after="60"/>
              <w:jc w:val="center"/>
              <w:rPr>
                <w:b/>
              </w:rPr>
            </w:pPr>
            <w:r w:rsidRPr="00C90161">
              <w:rPr>
                <w:b/>
              </w:rPr>
              <w:t>2025-2027</w:t>
            </w:r>
          </w:p>
        </w:tc>
        <w:tc>
          <w:tcPr>
            <w:tcW w:w="1512" w:type="pct"/>
            <w:tcBorders>
              <w:top w:val="single" w:sz="8" w:space="0" w:color="auto"/>
              <w:left w:val="nil"/>
              <w:bottom w:val="nil"/>
              <w:right w:val="nil"/>
            </w:tcBorders>
          </w:tcPr>
          <w:p w:rsidR="00FF2DB3" w:rsidRPr="00C90161" w:rsidRDefault="00FF2DB3" w:rsidP="00F75558">
            <w:pPr>
              <w:spacing w:before="60" w:after="60"/>
              <w:jc w:val="center"/>
            </w:pPr>
          </w:p>
        </w:tc>
      </w:tr>
      <w:tr w:rsidR="00FF2DB3" w:rsidRPr="00C90161" w:rsidTr="00F75558">
        <w:trPr>
          <w:trHeight w:val="20"/>
        </w:trPr>
        <w:tc>
          <w:tcPr>
            <w:tcW w:w="1810" w:type="pct"/>
            <w:noWrap/>
            <w:hideMark/>
          </w:tcPr>
          <w:p w:rsidR="00FF2DB3" w:rsidRPr="00C90161" w:rsidRDefault="00FF2DB3" w:rsidP="00F75558">
            <w:pPr>
              <w:pStyle w:val="Point0"/>
              <w:spacing w:before="60" w:after="60" w:line="240" w:lineRule="auto"/>
              <w:rPr>
                <w:b/>
                <w:bCs/>
              </w:rPr>
            </w:pPr>
            <w:r w:rsidRPr="00C90161">
              <w:rPr>
                <w:b/>
              </w:rPr>
              <w:t>1.</w:t>
            </w:r>
            <w:r w:rsidRPr="00C90161">
              <w:rPr>
                <w:b/>
              </w:rPr>
              <w:tab/>
              <w:t>Jednotný trh, inovácie a digitálna ekonomika</w:t>
            </w:r>
          </w:p>
        </w:tc>
        <w:tc>
          <w:tcPr>
            <w:tcW w:w="815" w:type="pct"/>
            <w:noWrap/>
            <w:hideMark/>
          </w:tcPr>
          <w:p w:rsidR="00FF2DB3" w:rsidRPr="00C90161" w:rsidRDefault="00FF2DB3" w:rsidP="00F75558">
            <w:pPr>
              <w:spacing w:before="60" w:after="60"/>
              <w:ind w:right="567"/>
              <w:jc w:val="right"/>
              <w:rPr>
                <w:b/>
              </w:rPr>
            </w:pPr>
            <w:r w:rsidRPr="00C90161">
              <w:rPr>
                <w:b/>
              </w:rPr>
              <w:t>36,36 %</w:t>
            </w:r>
          </w:p>
        </w:tc>
        <w:tc>
          <w:tcPr>
            <w:tcW w:w="863" w:type="pct"/>
            <w:hideMark/>
          </w:tcPr>
          <w:p w:rsidR="00FF2DB3" w:rsidRPr="00C90161" w:rsidRDefault="00FF2DB3" w:rsidP="00F75558">
            <w:pPr>
              <w:spacing w:before="60" w:after="60"/>
              <w:ind w:right="567"/>
              <w:jc w:val="right"/>
              <w:rPr>
                <w:b/>
              </w:rPr>
            </w:pPr>
            <w:r w:rsidRPr="00C90161">
              <w:rPr>
                <w:b/>
              </w:rPr>
              <w:t>41,79 %</w:t>
            </w:r>
          </w:p>
        </w:tc>
        <w:tc>
          <w:tcPr>
            <w:tcW w:w="1512" w:type="pct"/>
            <w:noWrap/>
            <w:hideMark/>
          </w:tcPr>
          <w:p w:rsidR="00FF2DB3" w:rsidRPr="00C90161" w:rsidRDefault="00FF2DB3" w:rsidP="00F75558">
            <w:pPr>
              <w:spacing w:before="60" w:after="60"/>
              <w:ind w:right="1134"/>
              <w:jc w:val="right"/>
              <w:rPr>
                <w:b/>
              </w:rPr>
            </w:pPr>
            <w:r w:rsidRPr="00C90161">
              <w:rPr>
                <w:b/>
              </w:rPr>
              <w:t>4 000</w:t>
            </w:r>
          </w:p>
        </w:tc>
      </w:tr>
      <w:tr w:rsidR="00FF2DB3" w:rsidRPr="00C90161" w:rsidTr="00F75558">
        <w:trPr>
          <w:trHeight w:val="20"/>
        </w:trPr>
        <w:tc>
          <w:tcPr>
            <w:tcW w:w="1810" w:type="pct"/>
            <w:noWrap/>
            <w:hideMark/>
          </w:tcPr>
          <w:p w:rsidR="00FF2DB3" w:rsidRPr="00C90161" w:rsidRDefault="00FF2DB3" w:rsidP="00F75558">
            <w:pPr>
              <w:pStyle w:val="Text1"/>
              <w:spacing w:before="60" w:after="60" w:line="240" w:lineRule="auto"/>
            </w:pPr>
            <w:r w:rsidRPr="00C90161">
              <w:t>Horizont Európa</w:t>
            </w:r>
          </w:p>
        </w:tc>
        <w:tc>
          <w:tcPr>
            <w:tcW w:w="815" w:type="pct"/>
            <w:noWrap/>
            <w:hideMark/>
          </w:tcPr>
          <w:p w:rsidR="00FF2DB3" w:rsidRPr="00C90161" w:rsidRDefault="00FF2DB3" w:rsidP="00F75558">
            <w:pPr>
              <w:spacing w:before="60" w:after="60"/>
              <w:ind w:left="-156" w:right="567" w:firstLine="156"/>
              <w:jc w:val="right"/>
            </w:pPr>
            <w:r w:rsidRPr="00C90161">
              <w:t>27,27 %</w:t>
            </w:r>
          </w:p>
        </w:tc>
        <w:tc>
          <w:tcPr>
            <w:tcW w:w="863" w:type="pct"/>
            <w:hideMark/>
          </w:tcPr>
          <w:p w:rsidR="00FF2DB3" w:rsidRPr="00C90161" w:rsidRDefault="00FF2DB3" w:rsidP="00F75558">
            <w:pPr>
              <w:spacing w:before="60" w:after="60"/>
              <w:ind w:right="567"/>
              <w:jc w:val="right"/>
            </w:pPr>
            <w:r w:rsidRPr="00C90161">
              <w:t>31,34 %</w:t>
            </w:r>
          </w:p>
        </w:tc>
        <w:tc>
          <w:tcPr>
            <w:tcW w:w="1512" w:type="pct"/>
            <w:noWrap/>
            <w:hideMark/>
          </w:tcPr>
          <w:p w:rsidR="00FF2DB3" w:rsidRPr="00C90161" w:rsidRDefault="00FF2DB3" w:rsidP="00F75558">
            <w:pPr>
              <w:spacing w:before="60" w:after="60"/>
              <w:ind w:right="1134"/>
              <w:jc w:val="right"/>
            </w:pPr>
            <w:r w:rsidRPr="00C90161">
              <w:t>3 000</w:t>
            </w:r>
          </w:p>
        </w:tc>
      </w:tr>
      <w:tr w:rsidR="00FF2DB3" w:rsidRPr="00C90161" w:rsidTr="00F75558">
        <w:trPr>
          <w:trHeight w:val="20"/>
        </w:trPr>
        <w:tc>
          <w:tcPr>
            <w:tcW w:w="1810" w:type="pct"/>
            <w:noWrap/>
            <w:hideMark/>
          </w:tcPr>
          <w:p w:rsidR="00FF2DB3" w:rsidRPr="00C90161" w:rsidRDefault="00FF2DB3" w:rsidP="00F75558">
            <w:pPr>
              <w:pStyle w:val="Text1"/>
              <w:spacing w:before="60" w:after="60" w:line="240" w:lineRule="auto"/>
            </w:pPr>
            <w:r w:rsidRPr="00C90161">
              <w:t xml:space="preserve">Fond </w:t>
            </w:r>
            <w:proofErr w:type="spellStart"/>
            <w:r w:rsidRPr="00C90161">
              <w:t>InvestEU</w:t>
            </w:r>
            <w:proofErr w:type="spellEnd"/>
          </w:p>
        </w:tc>
        <w:tc>
          <w:tcPr>
            <w:tcW w:w="815" w:type="pct"/>
            <w:noWrap/>
            <w:hideMark/>
          </w:tcPr>
          <w:p w:rsidR="00FF2DB3" w:rsidRPr="00C90161" w:rsidRDefault="00FF2DB3" w:rsidP="00F75558">
            <w:pPr>
              <w:spacing w:before="60" w:after="60"/>
              <w:ind w:right="567"/>
              <w:jc w:val="right"/>
            </w:pPr>
            <w:r w:rsidRPr="00C90161">
              <w:t>9,09 %</w:t>
            </w:r>
          </w:p>
        </w:tc>
        <w:tc>
          <w:tcPr>
            <w:tcW w:w="863" w:type="pct"/>
            <w:hideMark/>
          </w:tcPr>
          <w:p w:rsidR="00FF2DB3" w:rsidRPr="00C90161" w:rsidRDefault="00FF2DB3" w:rsidP="00F75558">
            <w:pPr>
              <w:spacing w:before="60" w:after="60"/>
              <w:ind w:right="567"/>
              <w:jc w:val="right"/>
            </w:pPr>
            <w:r w:rsidRPr="00C90161">
              <w:t>10,45 %</w:t>
            </w:r>
          </w:p>
        </w:tc>
        <w:tc>
          <w:tcPr>
            <w:tcW w:w="1512" w:type="pct"/>
            <w:noWrap/>
            <w:hideMark/>
          </w:tcPr>
          <w:p w:rsidR="00FF2DB3" w:rsidRPr="00C90161" w:rsidRDefault="00FF2DB3" w:rsidP="00F75558">
            <w:pPr>
              <w:spacing w:before="60" w:after="60"/>
              <w:ind w:right="1134"/>
              <w:jc w:val="right"/>
            </w:pPr>
            <w:r w:rsidRPr="00C90161">
              <w:t>1 000</w:t>
            </w:r>
          </w:p>
        </w:tc>
      </w:tr>
      <w:tr w:rsidR="00FF2DB3" w:rsidRPr="00C90161" w:rsidTr="00F75558">
        <w:trPr>
          <w:trHeight w:val="20"/>
        </w:trPr>
        <w:tc>
          <w:tcPr>
            <w:tcW w:w="1810" w:type="pct"/>
            <w:noWrap/>
            <w:hideMark/>
          </w:tcPr>
          <w:p w:rsidR="00FF2DB3" w:rsidRPr="00C90161" w:rsidRDefault="00FF2DB3" w:rsidP="00F75558">
            <w:pPr>
              <w:pStyle w:val="Point0"/>
              <w:spacing w:before="60" w:after="60" w:line="240" w:lineRule="auto"/>
              <w:rPr>
                <w:b/>
                <w:bCs/>
              </w:rPr>
            </w:pPr>
            <w:r w:rsidRPr="00C90161">
              <w:rPr>
                <w:b/>
              </w:rPr>
              <w:t>2b.</w:t>
            </w:r>
            <w:r w:rsidRPr="00C90161">
              <w:rPr>
                <w:b/>
              </w:rPr>
              <w:tab/>
              <w:t>Odolnosť a hodnoty</w:t>
            </w:r>
          </w:p>
        </w:tc>
        <w:tc>
          <w:tcPr>
            <w:tcW w:w="815" w:type="pct"/>
            <w:noWrap/>
            <w:hideMark/>
          </w:tcPr>
          <w:p w:rsidR="00FF2DB3" w:rsidRPr="00C90161" w:rsidRDefault="00FF2DB3" w:rsidP="00F75558">
            <w:pPr>
              <w:spacing w:before="60" w:after="60"/>
              <w:ind w:right="567"/>
              <w:jc w:val="right"/>
              <w:rPr>
                <w:b/>
              </w:rPr>
            </w:pPr>
            <w:r w:rsidRPr="00C90161">
              <w:rPr>
                <w:b/>
              </w:rPr>
              <w:t>54,55 %</w:t>
            </w:r>
          </w:p>
        </w:tc>
        <w:tc>
          <w:tcPr>
            <w:tcW w:w="863" w:type="pct"/>
            <w:hideMark/>
          </w:tcPr>
          <w:p w:rsidR="00FF2DB3" w:rsidRPr="00C90161" w:rsidRDefault="00FF2DB3" w:rsidP="00F75558">
            <w:pPr>
              <w:spacing w:before="60" w:after="60"/>
              <w:ind w:right="567"/>
              <w:jc w:val="right"/>
              <w:rPr>
                <w:b/>
              </w:rPr>
            </w:pPr>
            <w:r w:rsidRPr="00C90161">
              <w:rPr>
                <w:b/>
              </w:rPr>
              <w:t>47,76 %</w:t>
            </w:r>
          </w:p>
        </w:tc>
        <w:tc>
          <w:tcPr>
            <w:tcW w:w="1512" w:type="pct"/>
            <w:noWrap/>
            <w:hideMark/>
          </w:tcPr>
          <w:p w:rsidR="00FF2DB3" w:rsidRPr="00C90161" w:rsidRDefault="00FF2DB3" w:rsidP="00F75558">
            <w:pPr>
              <w:spacing w:before="60" w:after="60"/>
              <w:ind w:right="1134"/>
              <w:jc w:val="right"/>
              <w:rPr>
                <w:b/>
              </w:rPr>
            </w:pPr>
            <w:r w:rsidRPr="00C90161">
              <w:rPr>
                <w:b/>
              </w:rPr>
              <w:t>5 155</w:t>
            </w:r>
          </w:p>
        </w:tc>
      </w:tr>
      <w:tr w:rsidR="00FF2DB3" w:rsidRPr="00C90161" w:rsidTr="00F75558">
        <w:trPr>
          <w:trHeight w:val="20"/>
        </w:trPr>
        <w:tc>
          <w:tcPr>
            <w:tcW w:w="1810" w:type="pct"/>
            <w:noWrap/>
            <w:hideMark/>
          </w:tcPr>
          <w:p w:rsidR="00FF2DB3" w:rsidRPr="00C90161" w:rsidRDefault="00FF2DB3" w:rsidP="00F75558">
            <w:pPr>
              <w:pStyle w:val="Text1"/>
              <w:spacing w:before="60" w:after="60" w:line="240" w:lineRule="auto"/>
            </w:pPr>
            <w:r w:rsidRPr="00C90161">
              <w:t>Program EU4Health</w:t>
            </w:r>
          </w:p>
        </w:tc>
        <w:tc>
          <w:tcPr>
            <w:tcW w:w="815" w:type="pct"/>
            <w:noWrap/>
            <w:hideMark/>
          </w:tcPr>
          <w:p w:rsidR="00FF2DB3" w:rsidRPr="00C90161" w:rsidRDefault="00FF2DB3" w:rsidP="00F75558">
            <w:pPr>
              <w:spacing w:before="60" w:after="60"/>
              <w:ind w:right="567"/>
              <w:jc w:val="right"/>
            </w:pPr>
            <w:r w:rsidRPr="00C90161">
              <w:t>26,37 %</w:t>
            </w:r>
          </w:p>
        </w:tc>
        <w:tc>
          <w:tcPr>
            <w:tcW w:w="863" w:type="pct"/>
            <w:hideMark/>
          </w:tcPr>
          <w:p w:rsidR="00FF2DB3" w:rsidRPr="00C90161" w:rsidRDefault="00FF2DB3" w:rsidP="00F75558">
            <w:pPr>
              <w:spacing w:before="60" w:after="60"/>
              <w:ind w:right="567"/>
              <w:jc w:val="right"/>
            </w:pPr>
            <w:r w:rsidRPr="00C90161">
              <w:t>15,37 %</w:t>
            </w:r>
          </w:p>
        </w:tc>
        <w:tc>
          <w:tcPr>
            <w:tcW w:w="1512" w:type="pct"/>
            <w:noWrap/>
            <w:hideMark/>
          </w:tcPr>
          <w:p w:rsidR="00FF2DB3" w:rsidRPr="00C90161" w:rsidRDefault="00FF2DB3" w:rsidP="00F75558">
            <w:pPr>
              <w:spacing w:before="60" w:after="60"/>
              <w:ind w:right="1134"/>
              <w:jc w:val="right"/>
              <w:rPr>
                <w:bCs/>
              </w:rPr>
            </w:pPr>
            <w:r w:rsidRPr="00C90161">
              <w:t>2 055</w:t>
            </w:r>
          </w:p>
        </w:tc>
      </w:tr>
      <w:tr w:rsidR="00FF2DB3" w:rsidRPr="00C90161" w:rsidTr="00F75558">
        <w:trPr>
          <w:trHeight w:val="20"/>
        </w:trPr>
        <w:tc>
          <w:tcPr>
            <w:tcW w:w="1810" w:type="pct"/>
            <w:noWrap/>
            <w:hideMark/>
          </w:tcPr>
          <w:p w:rsidR="00FF2DB3" w:rsidRPr="00C90161" w:rsidRDefault="00FF2DB3" w:rsidP="00F75558">
            <w:pPr>
              <w:pStyle w:val="Text1"/>
              <w:spacing w:before="60" w:after="60" w:line="240" w:lineRule="auto"/>
            </w:pPr>
            <w:r w:rsidRPr="00C90161">
              <w:t>Erasmus+</w:t>
            </w:r>
          </w:p>
        </w:tc>
        <w:tc>
          <w:tcPr>
            <w:tcW w:w="815" w:type="pct"/>
            <w:noWrap/>
            <w:hideMark/>
          </w:tcPr>
          <w:p w:rsidR="00FF2DB3" w:rsidRPr="00C90161" w:rsidRDefault="00FF2DB3" w:rsidP="00F75558">
            <w:pPr>
              <w:spacing w:before="60" w:after="60"/>
              <w:ind w:right="567"/>
              <w:jc w:val="right"/>
            </w:pPr>
            <w:r w:rsidRPr="00C90161">
              <w:t>15,46 %</w:t>
            </w:r>
          </w:p>
        </w:tc>
        <w:tc>
          <w:tcPr>
            <w:tcW w:w="863" w:type="pct"/>
            <w:hideMark/>
          </w:tcPr>
          <w:p w:rsidR="00FF2DB3" w:rsidRPr="00C90161" w:rsidRDefault="00FF2DB3" w:rsidP="00F75558">
            <w:pPr>
              <w:spacing w:before="60" w:after="60"/>
              <w:ind w:right="567"/>
              <w:jc w:val="right"/>
            </w:pPr>
            <w:r w:rsidRPr="00C90161">
              <w:t>17,77 %</w:t>
            </w:r>
          </w:p>
        </w:tc>
        <w:tc>
          <w:tcPr>
            <w:tcW w:w="1512" w:type="pct"/>
            <w:noWrap/>
            <w:hideMark/>
          </w:tcPr>
          <w:p w:rsidR="00FF2DB3" w:rsidRPr="00C90161" w:rsidRDefault="00FF2DB3" w:rsidP="00F75558">
            <w:pPr>
              <w:spacing w:before="60" w:after="60"/>
              <w:ind w:right="1134"/>
              <w:jc w:val="right"/>
            </w:pPr>
            <w:r w:rsidRPr="00C90161">
              <w:t>1 700</w:t>
            </w:r>
          </w:p>
        </w:tc>
      </w:tr>
      <w:tr w:rsidR="00FF2DB3" w:rsidRPr="00C90161" w:rsidTr="00F75558">
        <w:trPr>
          <w:trHeight w:val="20"/>
        </w:trPr>
        <w:tc>
          <w:tcPr>
            <w:tcW w:w="1810" w:type="pct"/>
            <w:noWrap/>
            <w:hideMark/>
          </w:tcPr>
          <w:p w:rsidR="00FF2DB3" w:rsidRPr="00C90161" w:rsidRDefault="00FF2DB3" w:rsidP="00F75558">
            <w:pPr>
              <w:pStyle w:val="Text1"/>
              <w:spacing w:before="60" w:after="60" w:line="240" w:lineRule="auto"/>
            </w:pPr>
            <w:r w:rsidRPr="00C90161">
              <w:t>Kreatívna Európa</w:t>
            </w:r>
          </w:p>
        </w:tc>
        <w:tc>
          <w:tcPr>
            <w:tcW w:w="815" w:type="pct"/>
            <w:noWrap/>
            <w:hideMark/>
          </w:tcPr>
          <w:p w:rsidR="00FF2DB3" w:rsidRPr="00C90161" w:rsidRDefault="00FF2DB3" w:rsidP="00F75558">
            <w:pPr>
              <w:spacing w:before="60" w:after="60"/>
              <w:ind w:right="567"/>
              <w:jc w:val="right"/>
            </w:pPr>
            <w:r w:rsidRPr="00C90161">
              <w:t>5,45 %</w:t>
            </w:r>
          </w:p>
        </w:tc>
        <w:tc>
          <w:tcPr>
            <w:tcW w:w="863" w:type="pct"/>
            <w:hideMark/>
          </w:tcPr>
          <w:p w:rsidR="00FF2DB3" w:rsidRPr="00C90161" w:rsidRDefault="00FF2DB3" w:rsidP="00F75558">
            <w:pPr>
              <w:spacing w:before="60" w:after="60"/>
              <w:ind w:right="567"/>
              <w:jc w:val="right"/>
            </w:pPr>
            <w:r w:rsidRPr="00C90161">
              <w:t>6,26 %</w:t>
            </w:r>
          </w:p>
        </w:tc>
        <w:tc>
          <w:tcPr>
            <w:tcW w:w="1512" w:type="pct"/>
            <w:noWrap/>
            <w:hideMark/>
          </w:tcPr>
          <w:p w:rsidR="00FF2DB3" w:rsidRPr="00C90161" w:rsidRDefault="00FF2DB3" w:rsidP="00F75558">
            <w:pPr>
              <w:spacing w:before="60" w:after="60"/>
              <w:ind w:right="1134"/>
              <w:jc w:val="right"/>
            </w:pPr>
            <w:r w:rsidRPr="00C90161">
              <w:t>600</w:t>
            </w:r>
          </w:p>
        </w:tc>
      </w:tr>
      <w:tr w:rsidR="00FF2DB3" w:rsidRPr="00C90161" w:rsidTr="00F75558">
        <w:trPr>
          <w:trHeight w:val="20"/>
        </w:trPr>
        <w:tc>
          <w:tcPr>
            <w:tcW w:w="1810" w:type="pct"/>
            <w:noWrap/>
            <w:hideMark/>
          </w:tcPr>
          <w:p w:rsidR="00FF2DB3" w:rsidRPr="00C90161" w:rsidRDefault="00FF2DB3" w:rsidP="00F75558">
            <w:pPr>
              <w:pStyle w:val="Text1"/>
              <w:spacing w:before="60" w:after="60" w:line="240" w:lineRule="auto"/>
            </w:pPr>
            <w:r w:rsidRPr="00C90161">
              <w:t>Práva a hodnoty</w:t>
            </w:r>
          </w:p>
        </w:tc>
        <w:tc>
          <w:tcPr>
            <w:tcW w:w="815" w:type="pct"/>
            <w:noWrap/>
            <w:hideMark/>
          </w:tcPr>
          <w:p w:rsidR="00FF2DB3" w:rsidRPr="00C90161" w:rsidRDefault="00FF2DB3" w:rsidP="00F75558">
            <w:pPr>
              <w:spacing w:before="60" w:after="60"/>
              <w:ind w:right="567"/>
              <w:jc w:val="right"/>
            </w:pPr>
            <w:r w:rsidRPr="00C90161">
              <w:t>7,27 %</w:t>
            </w:r>
          </w:p>
        </w:tc>
        <w:tc>
          <w:tcPr>
            <w:tcW w:w="863" w:type="pct"/>
            <w:hideMark/>
          </w:tcPr>
          <w:p w:rsidR="00FF2DB3" w:rsidRPr="00C90161" w:rsidRDefault="00FF2DB3" w:rsidP="00F75558">
            <w:pPr>
              <w:spacing w:before="60" w:after="60"/>
              <w:ind w:right="567"/>
              <w:jc w:val="right"/>
              <w:rPr>
                <w:b/>
              </w:rPr>
            </w:pPr>
            <w:r w:rsidRPr="00C90161">
              <w:rPr>
                <w:b/>
              </w:rPr>
              <w:t>8,36 %</w:t>
            </w:r>
          </w:p>
        </w:tc>
        <w:tc>
          <w:tcPr>
            <w:tcW w:w="1512" w:type="pct"/>
            <w:noWrap/>
            <w:hideMark/>
          </w:tcPr>
          <w:p w:rsidR="00FF2DB3" w:rsidRPr="00C90161" w:rsidRDefault="00FF2DB3" w:rsidP="00F75558">
            <w:pPr>
              <w:spacing w:before="60" w:after="60"/>
              <w:ind w:right="1134"/>
              <w:jc w:val="right"/>
            </w:pPr>
            <w:r w:rsidRPr="00C90161">
              <w:t>800</w:t>
            </w:r>
          </w:p>
        </w:tc>
      </w:tr>
      <w:tr w:rsidR="00FF2DB3" w:rsidRPr="00C90161" w:rsidTr="00F75558">
        <w:trPr>
          <w:trHeight w:val="20"/>
        </w:trPr>
        <w:tc>
          <w:tcPr>
            <w:tcW w:w="1810" w:type="pct"/>
            <w:noWrap/>
            <w:hideMark/>
          </w:tcPr>
          <w:p w:rsidR="00FF2DB3" w:rsidRPr="00C90161" w:rsidRDefault="00FF2DB3" w:rsidP="00F75558">
            <w:pPr>
              <w:pStyle w:val="Point0"/>
              <w:spacing w:before="60" w:after="60" w:line="240" w:lineRule="auto"/>
              <w:rPr>
                <w:b/>
                <w:bCs/>
              </w:rPr>
            </w:pPr>
            <w:r w:rsidRPr="00C90161">
              <w:rPr>
                <w:b/>
              </w:rPr>
              <w:t>4.</w:t>
            </w:r>
            <w:r w:rsidRPr="00C90161">
              <w:rPr>
                <w:b/>
              </w:rPr>
              <w:tab/>
              <w:t>Migrácia a riadenie hraníc</w:t>
            </w:r>
          </w:p>
        </w:tc>
        <w:tc>
          <w:tcPr>
            <w:tcW w:w="815" w:type="pct"/>
            <w:noWrap/>
            <w:hideMark/>
          </w:tcPr>
          <w:p w:rsidR="00FF2DB3" w:rsidRPr="00C90161" w:rsidRDefault="00FF2DB3" w:rsidP="00F75558">
            <w:pPr>
              <w:spacing w:before="60" w:after="60"/>
              <w:ind w:right="567"/>
              <w:jc w:val="right"/>
              <w:rPr>
                <w:b/>
              </w:rPr>
            </w:pPr>
            <w:r w:rsidRPr="00C90161">
              <w:rPr>
                <w:b/>
              </w:rPr>
              <w:t>9,09 %</w:t>
            </w:r>
          </w:p>
        </w:tc>
        <w:tc>
          <w:tcPr>
            <w:tcW w:w="863" w:type="pct"/>
            <w:hideMark/>
          </w:tcPr>
          <w:p w:rsidR="00FF2DB3" w:rsidRPr="00C90161" w:rsidRDefault="00FF2DB3" w:rsidP="00F75558">
            <w:pPr>
              <w:spacing w:before="60" w:after="60"/>
              <w:ind w:right="567"/>
              <w:jc w:val="right"/>
              <w:rPr>
                <w:b/>
              </w:rPr>
            </w:pPr>
            <w:r w:rsidRPr="00C90161">
              <w:rPr>
                <w:b/>
              </w:rPr>
              <w:t>10,45 %</w:t>
            </w:r>
          </w:p>
        </w:tc>
        <w:tc>
          <w:tcPr>
            <w:tcW w:w="1512" w:type="pct"/>
            <w:noWrap/>
            <w:hideMark/>
          </w:tcPr>
          <w:p w:rsidR="00FF2DB3" w:rsidRPr="00C90161" w:rsidRDefault="00FF2DB3" w:rsidP="00F75558">
            <w:pPr>
              <w:spacing w:before="60" w:after="60"/>
              <w:ind w:right="1134"/>
              <w:jc w:val="right"/>
              <w:rPr>
                <w:b/>
              </w:rPr>
            </w:pPr>
            <w:r w:rsidRPr="00C90161">
              <w:rPr>
                <w:b/>
              </w:rPr>
              <w:t>1 000</w:t>
            </w:r>
          </w:p>
        </w:tc>
      </w:tr>
      <w:tr w:rsidR="00FF2DB3" w:rsidRPr="00C90161" w:rsidTr="00F75558">
        <w:trPr>
          <w:trHeight w:val="20"/>
        </w:trPr>
        <w:tc>
          <w:tcPr>
            <w:tcW w:w="1810" w:type="pct"/>
            <w:noWrap/>
            <w:hideMark/>
          </w:tcPr>
          <w:p w:rsidR="00FF2DB3" w:rsidRPr="00C90161" w:rsidRDefault="00FF2DB3" w:rsidP="00F75558">
            <w:pPr>
              <w:pStyle w:val="Text1"/>
              <w:spacing w:before="60" w:after="60" w:line="240" w:lineRule="auto"/>
            </w:pPr>
            <w:r w:rsidRPr="00C90161">
              <w:t>Fond pre integrované riadenie hraníc</w:t>
            </w:r>
          </w:p>
        </w:tc>
        <w:tc>
          <w:tcPr>
            <w:tcW w:w="815" w:type="pct"/>
            <w:noWrap/>
            <w:hideMark/>
          </w:tcPr>
          <w:p w:rsidR="00FF2DB3" w:rsidRPr="00C90161" w:rsidRDefault="00FF2DB3" w:rsidP="00F75558">
            <w:pPr>
              <w:spacing w:before="60" w:after="60"/>
              <w:ind w:right="567"/>
              <w:jc w:val="right"/>
            </w:pPr>
            <w:r w:rsidRPr="00C90161">
              <w:t>9,09 %</w:t>
            </w:r>
          </w:p>
        </w:tc>
        <w:tc>
          <w:tcPr>
            <w:tcW w:w="863" w:type="pct"/>
            <w:hideMark/>
          </w:tcPr>
          <w:p w:rsidR="00FF2DB3" w:rsidRPr="00C90161" w:rsidRDefault="00FF2DB3" w:rsidP="00F75558">
            <w:pPr>
              <w:spacing w:before="60" w:after="60"/>
              <w:ind w:right="567"/>
              <w:jc w:val="right"/>
            </w:pPr>
            <w:r w:rsidRPr="00C90161">
              <w:t>10,45 %</w:t>
            </w:r>
          </w:p>
        </w:tc>
        <w:tc>
          <w:tcPr>
            <w:tcW w:w="1512" w:type="pct"/>
            <w:noWrap/>
            <w:hideMark/>
          </w:tcPr>
          <w:p w:rsidR="00FF2DB3" w:rsidRPr="00C90161" w:rsidRDefault="00FF2DB3" w:rsidP="00F75558">
            <w:pPr>
              <w:spacing w:before="60" w:after="60"/>
              <w:ind w:right="1134"/>
              <w:jc w:val="right"/>
            </w:pPr>
            <w:r w:rsidRPr="00C90161">
              <w:t>1 000</w:t>
            </w:r>
          </w:p>
        </w:tc>
      </w:tr>
      <w:tr w:rsidR="00FF2DB3" w:rsidRPr="00C90161" w:rsidTr="00F75558">
        <w:trPr>
          <w:trHeight w:val="20"/>
        </w:trPr>
        <w:tc>
          <w:tcPr>
            <w:tcW w:w="1810" w:type="pct"/>
            <w:tcBorders>
              <w:top w:val="nil"/>
              <w:left w:val="nil"/>
              <w:bottom w:val="single" w:sz="4" w:space="0" w:color="auto"/>
              <w:right w:val="nil"/>
            </w:tcBorders>
            <w:noWrap/>
            <w:hideMark/>
          </w:tcPr>
          <w:p w:rsidR="00FF2DB3" w:rsidRPr="00C90161" w:rsidRDefault="00FF2DB3" w:rsidP="00F75558">
            <w:pPr>
              <w:spacing w:before="60" w:after="60"/>
              <w:rPr>
                <w:b/>
              </w:rPr>
            </w:pPr>
            <w:r w:rsidRPr="00C90161">
              <w:rPr>
                <w:b/>
              </w:rPr>
              <w:t>SPOLU</w:t>
            </w:r>
          </w:p>
        </w:tc>
        <w:tc>
          <w:tcPr>
            <w:tcW w:w="815" w:type="pct"/>
            <w:tcBorders>
              <w:top w:val="nil"/>
              <w:left w:val="nil"/>
              <w:bottom w:val="single" w:sz="4" w:space="0" w:color="auto"/>
              <w:right w:val="nil"/>
            </w:tcBorders>
            <w:noWrap/>
            <w:hideMark/>
          </w:tcPr>
          <w:p w:rsidR="00FF2DB3" w:rsidRPr="00C90161" w:rsidRDefault="00FF2DB3" w:rsidP="00F75558">
            <w:pPr>
              <w:spacing w:before="60" w:after="60"/>
              <w:ind w:right="567"/>
              <w:jc w:val="right"/>
              <w:rPr>
                <w:b/>
              </w:rPr>
            </w:pPr>
            <w:r w:rsidRPr="00C90161">
              <w:rPr>
                <w:b/>
              </w:rPr>
              <w:t>100,00 %</w:t>
            </w:r>
          </w:p>
        </w:tc>
        <w:tc>
          <w:tcPr>
            <w:tcW w:w="863" w:type="pct"/>
            <w:tcBorders>
              <w:top w:val="nil"/>
              <w:left w:val="nil"/>
              <w:bottom w:val="single" w:sz="4" w:space="0" w:color="auto"/>
              <w:right w:val="nil"/>
            </w:tcBorders>
            <w:hideMark/>
          </w:tcPr>
          <w:p w:rsidR="00FF2DB3" w:rsidRPr="00C90161" w:rsidRDefault="00FF2DB3" w:rsidP="00F75558">
            <w:pPr>
              <w:spacing w:before="60" w:after="60"/>
              <w:ind w:right="567"/>
              <w:jc w:val="right"/>
              <w:rPr>
                <w:b/>
              </w:rPr>
            </w:pPr>
            <w:r w:rsidRPr="00C90161">
              <w:rPr>
                <w:b/>
              </w:rPr>
              <w:t>100,00 %</w:t>
            </w:r>
          </w:p>
        </w:tc>
        <w:tc>
          <w:tcPr>
            <w:tcW w:w="1512" w:type="pct"/>
            <w:tcBorders>
              <w:top w:val="nil"/>
              <w:left w:val="nil"/>
              <w:bottom w:val="single" w:sz="4" w:space="0" w:color="auto"/>
              <w:right w:val="nil"/>
            </w:tcBorders>
            <w:noWrap/>
            <w:hideMark/>
          </w:tcPr>
          <w:p w:rsidR="00FF2DB3" w:rsidRPr="00C90161" w:rsidRDefault="00FF2DB3" w:rsidP="00F75558">
            <w:pPr>
              <w:spacing w:before="60" w:after="60"/>
              <w:ind w:right="1134"/>
              <w:jc w:val="right"/>
              <w:rPr>
                <w:b/>
              </w:rPr>
            </w:pPr>
            <w:r w:rsidRPr="00C90161">
              <w:rPr>
                <w:b/>
              </w:rPr>
              <w:t>10 155</w:t>
            </w:r>
          </w:p>
        </w:tc>
      </w:tr>
    </w:tbl>
    <w:p w:rsidR="00FF2DB3" w:rsidRPr="00C90161" w:rsidRDefault="00FF2DB3" w:rsidP="00FF2DB3">
      <w:pPr>
        <w:pStyle w:val="NormalRight"/>
      </w:pPr>
      <w:r w:rsidRPr="00C90161">
        <w:t>’.</w:t>
      </w:r>
    </w:p>
    <w:p w:rsidR="00FF2DB3" w:rsidRPr="00C90161" w:rsidRDefault="00FF2DB3" w:rsidP="00FF2DB3">
      <w:pPr>
        <w:pStyle w:val="LignefinalLandscape"/>
      </w:pPr>
    </w:p>
    <w:p w:rsidR="00FF2DB3" w:rsidRPr="00C90161" w:rsidRDefault="00FF2DB3" w:rsidP="00FF2DB3">
      <w:pPr>
        <w:sectPr w:rsidR="00FF2DB3" w:rsidRPr="00C90161" w:rsidSect="00A85530">
          <w:headerReference w:type="even" r:id="rId11"/>
          <w:headerReference w:type="default" r:id="rId12"/>
          <w:headerReference w:type="first" r:id="rId13"/>
          <w:footerReference w:type="first" r:id="rId14"/>
          <w:footnotePr>
            <w:numRestart w:val="eachPage"/>
          </w:footnotePr>
          <w:endnotePr>
            <w:numFmt w:val="decimal"/>
          </w:endnotePr>
          <w:pgSz w:w="16838" w:h="11906" w:orient="landscape" w:code="9"/>
          <w:pgMar w:top="1418" w:right="1134" w:bottom="1418" w:left="1418" w:header="1134" w:footer="567" w:gutter="0"/>
          <w:cols w:space="720"/>
          <w:noEndnote/>
          <w:docGrid w:linePitch="326"/>
        </w:sectPr>
      </w:pPr>
    </w:p>
    <w:p w:rsidR="00FF2DB3" w:rsidRPr="00D6780D" w:rsidRDefault="00FF2DB3" w:rsidP="00FF2DB3">
      <w:pPr>
        <w:pStyle w:val="PageHeading"/>
        <w:rPr>
          <w:rFonts w:ascii="Times New Roman" w:hAnsi="Times New Roman" w:cs="Times New Roman"/>
          <w:caps/>
        </w:rPr>
      </w:pPr>
      <w:bookmarkStart w:id="10" w:name="_Toc159571400"/>
      <w:r w:rsidRPr="00D6780D">
        <w:rPr>
          <w:rFonts w:ascii="Times New Roman" w:hAnsi="Times New Roman" w:cs="Times New Roman"/>
        </w:rPr>
        <w:t xml:space="preserve">PRÍLOHA 2: </w:t>
      </w:r>
      <w:r w:rsidRPr="00D6780D">
        <w:rPr>
          <w:rFonts w:ascii="Times New Roman" w:hAnsi="Times New Roman" w:cs="Times New Roman"/>
          <w:caps/>
        </w:rPr>
        <w:t>Spoločné vyhlásenie Európskeho parlamentu, Rady a Komisie o opätovnom použití finančných prostriedkov, ktorých viazanosť bola zrušená, v súvislosti s výskumným programom</w:t>
      </w:r>
      <w:bookmarkEnd w:id="10"/>
    </w:p>
    <w:p w:rsidR="00FF2DB3" w:rsidRPr="00C90161" w:rsidRDefault="00FF2DB3" w:rsidP="00FF2DB3">
      <w:pPr>
        <w:pStyle w:val="NormalWeb"/>
        <w:shd w:val="clear" w:color="auto" w:fill="FFFFFF" w:themeFill="background1"/>
        <w:spacing w:before="0" w:beforeAutospacing="0" w:after="240" w:afterAutospacing="0"/>
        <w:jc w:val="both"/>
      </w:pPr>
      <w:r w:rsidRPr="00C90161">
        <w:t>V spoločnom vyhlásení z 22. decembra 2020 o opätovnom použití finančných prostriedkov, ktorých viazanosť bola zrušená, v súvislosti s výskumným programom</w:t>
      </w:r>
      <w:r w:rsidRPr="00C90161">
        <w:rPr>
          <w:rStyle w:val="FootnoteReference"/>
        </w:rPr>
        <w:footnoteReference w:id="12"/>
      </w:r>
      <w:r w:rsidRPr="00C90161">
        <w:t xml:space="preserve"> súhlasili Európsky parlament, Rada a Komisia s tým, že v období 2021 – 2027 v prospech výskumného programu opätovne sprístupnia viazané rozpočtové prostriedky vo výške do 0,5 miliardy EUR (v cenách roku 2018), ktorých viazanosť bola zrušená, čo vyplýva z úplného alebo čiastočného nevykonania projektov patriacich do uvedeného programu alebo do jeho predchodcu, ako sa stanovuje v článku 15 ods. 3 nariadenia o rozpočtových pravidlách.</w:t>
      </w:r>
    </w:p>
    <w:p w:rsidR="00FF2DB3" w:rsidRPr="00C90161" w:rsidRDefault="00FF2DB3" w:rsidP="00FF2DB3">
      <w:pPr>
        <w:pStyle w:val="NormalWeb"/>
        <w:shd w:val="clear" w:color="auto" w:fill="FFFFFF" w:themeFill="background1"/>
        <w:spacing w:before="0" w:beforeAutospacing="0" w:after="240" w:afterAutospacing="0"/>
        <w:jc w:val="both"/>
      </w:pPr>
      <w:r w:rsidRPr="00C90161">
        <w:t xml:space="preserve">Bez toho, aby boli dotknuté právomoci rozpočtového orgánu v rámci ročného rozpočtového postupu a právomoci Komisie plniť rozpočet, Európsky parlament, Rada a Komisia súhlasia s tým, že v období 2025 – 2027 sa v prospech výskumného programu opätovne sprístupní ďalšia suma vo výške 100 miliónov EUR (v cenách roku 2018), čo zodpovedá prostriedkom, ktorých viazanosť sa zrušila v rokoch 2019 až 2020 v dôsledku úplného alebo čiastočného nevykonania projektov patriacich do uvedeného programu alebo do jeho predchodcu, ktoré sa opäť nesprístupnili podľa článku 15 ods. 3 nariadenia o rozpočtových pravidlách v nadväznosti na spoločné vyhlásenie z 22. decembra 2020. Týmto nie sú dotknuté sumy prostriedkov, ktorých viazanosť sa zrušila, k dispozícii pre nástroj EURI v súlade s článkom 10a nariadenia (EÚ, </w:t>
      </w:r>
      <w:proofErr w:type="spellStart"/>
      <w:r w:rsidRPr="00C90161">
        <w:t>Euratom</w:t>
      </w:r>
      <w:proofErr w:type="spellEnd"/>
      <w:r w:rsidRPr="00C90161">
        <w:t>) 2020/2093.</w:t>
      </w:r>
    </w:p>
    <w:sectPr w:rsidR="00FF2DB3" w:rsidRPr="00C90161" w:rsidSect="00A85530">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77BE" w:rsidRPr="00A85530" w:rsidRDefault="00CC77BE">
      <w:r w:rsidRPr="00A85530">
        <w:separator/>
      </w:r>
    </w:p>
  </w:endnote>
  <w:endnote w:type="continuationSeparator" w:id="0">
    <w:p w:rsidR="00CC77BE" w:rsidRPr="00A85530" w:rsidRDefault="00CC77BE">
      <w:r w:rsidRPr="00A8553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2DB3" w:rsidRPr="00A85530" w:rsidRDefault="00FF2DB3" w:rsidP="00F33F32">
    <w:pPr>
      <w:pStyle w:val="EPFooter"/>
    </w:pPr>
    <w:r w:rsidRPr="00A85530">
      <w:t>PE</w:t>
    </w:r>
    <w:r w:rsidRPr="00A85530">
      <w:rPr>
        <w:rStyle w:val="HideTWBExt"/>
      </w:rPr>
      <w:t>&lt;NoPE&gt;</w:t>
    </w:r>
    <w:r w:rsidRPr="00A85530">
      <w:t>758.992</w:t>
    </w:r>
    <w:r w:rsidRPr="00A85530">
      <w:rPr>
        <w:rStyle w:val="HideTWBExt"/>
      </w:rPr>
      <w:t>&lt;/NoPE&gt;&lt;Version&gt;</w:t>
    </w:r>
    <w:r w:rsidRPr="00A85530">
      <w:t>v02-00</w:t>
    </w:r>
    <w:r w:rsidRPr="00A85530">
      <w:rPr>
        <w:rStyle w:val="HideTWBExt"/>
      </w:rPr>
      <w:t>&lt;/Version&gt;</w:t>
    </w:r>
    <w:r w:rsidRPr="00A85530">
      <w:tab/>
    </w:r>
    <w:r w:rsidRPr="00A85530">
      <w:fldChar w:fldCharType="begin"/>
    </w:r>
    <w:r w:rsidRPr="00A85530">
      <w:instrText xml:space="preserve"> PAGE  \* MERGEFORMAT </w:instrText>
    </w:r>
    <w:r w:rsidRPr="00A85530">
      <w:fldChar w:fldCharType="separate"/>
    </w:r>
    <w:r w:rsidR="00A85530" w:rsidRPr="00A85530">
      <w:rPr>
        <w:noProof/>
      </w:rPr>
      <w:t>2</w:t>
    </w:r>
    <w:r w:rsidRPr="00A85530">
      <w:fldChar w:fldCharType="end"/>
    </w:r>
    <w:r w:rsidRPr="00A85530">
      <w:t>/</w:t>
    </w:r>
    <w:fldSimple w:instr=" NUMPAGES  \* MERGEFORMAT ">
      <w:r w:rsidR="00A85530" w:rsidRPr="00A85530">
        <w:rPr>
          <w:noProof/>
        </w:rPr>
        <w:t>3</w:t>
      </w:r>
    </w:fldSimple>
    <w:r w:rsidRPr="00A85530">
      <w:tab/>
    </w:r>
    <w:r w:rsidRPr="00A85530">
      <w:rPr>
        <w:rStyle w:val="HideTWBExt"/>
      </w:rPr>
      <w:t>&lt;PathFdR&gt;</w:t>
    </w:r>
    <w:r w:rsidRPr="00A85530">
      <w:t>RR\1297557SK.docx</w:t>
    </w:r>
    <w:r w:rsidRPr="00A85530">
      <w:rPr>
        <w:rStyle w:val="HideTWBExt"/>
      </w:rPr>
      <w:t>&lt;/PathFdR&gt;</w:t>
    </w:r>
  </w:p>
  <w:p w:rsidR="00FF2DB3" w:rsidRPr="00A85530" w:rsidRDefault="00FF2DB3" w:rsidP="00F33F32">
    <w:pPr>
      <w:pStyle w:val="EPFooter2"/>
    </w:pPr>
    <w:r w:rsidRPr="00A85530">
      <w:t>SK</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2DB3" w:rsidRPr="00A85530" w:rsidRDefault="00FF2DB3" w:rsidP="00F33F32">
    <w:pPr>
      <w:pStyle w:val="EPFooter"/>
    </w:pPr>
    <w:r w:rsidRPr="00A85530">
      <w:rPr>
        <w:rStyle w:val="HideTWBExt"/>
      </w:rPr>
      <w:t>&lt;PathFdR&gt;</w:t>
    </w:r>
    <w:r w:rsidRPr="00A85530">
      <w:t>RR\1297557SK.docx</w:t>
    </w:r>
    <w:r w:rsidRPr="00A85530">
      <w:rPr>
        <w:rStyle w:val="HideTWBExt"/>
      </w:rPr>
      <w:t>&lt;/PathFdR&gt;</w:t>
    </w:r>
    <w:r w:rsidRPr="00A85530">
      <w:tab/>
    </w:r>
    <w:r w:rsidRPr="00A85530">
      <w:tab/>
      <w:t>PE</w:t>
    </w:r>
    <w:r w:rsidRPr="00A85530">
      <w:rPr>
        <w:rStyle w:val="HideTWBExt"/>
      </w:rPr>
      <w:t>&lt;NoPE&gt;</w:t>
    </w:r>
    <w:r w:rsidRPr="00A85530">
      <w:t>758.992</w:t>
    </w:r>
    <w:r w:rsidRPr="00A85530">
      <w:rPr>
        <w:rStyle w:val="HideTWBExt"/>
      </w:rPr>
      <w:t>&lt;/NoPE&gt;&lt;Version&gt;</w:t>
    </w:r>
    <w:r w:rsidRPr="00A85530">
      <w:t>v02-00</w:t>
    </w:r>
    <w:r w:rsidRPr="00A85530">
      <w:rPr>
        <w:rStyle w:val="HideTWBExt"/>
      </w:rPr>
      <w:t>&lt;/Version&gt;</w:t>
    </w:r>
  </w:p>
  <w:p w:rsidR="00FF2DB3" w:rsidRPr="00A85530" w:rsidRDefault="00FF2DB3" w:rsidP="00F33F32">
    <w:pPr>
      <w:pStyle w:val="EPFooter2"/>
    </w:pPr>
    <w:r w:rsidRPr="00A85530">
      <w:t>SK</w:t>
    </w:r>
    <w:r w:rsidRPr="00A85530">
      <w:tab/>
    </w:r>
    <w:r w:rsidRPr="00A85530">
      <w:rPr>
        <w:b w:val="0"/>
        <w:i/>
        <w:color w:val="C0C0C0"/>
        <w:sz w:val="22"/>
      </w:rPr>
      <w:t>Zjednotení v rozmanitosti</w:t>
    </w:r>
    <w:r w:rsidRPr="00A85530">
      <w:tab/>
      <w:t>SK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2DB3" w:rsidRPr="00A85530" w:rsidRDefault="00FF2DB3" w:rsidP="00FA76F5">
    <w:pPr>
      <w:pStyle w:val="EPFooter"/>
    </w:pPr>
    <w:r w:rsidRPr="00A85530">
      <w:rPr>
        <w:rStyle w:val="HideTWBExt"/>
      </w:rPr>
      <w:t>&lt;PathFdR&gt;</w:t>
    </w:r>
    <w:r w:rsidRPr="00A85530">
      <w:t>RR\758992EN.docx</w:t>
    </w:r>
    <w:r w:rsidRPr="00A85530">
      <w:rPr>
        <w:rStyle w:val="HideTWBExt"/>
      </w:rPr>
      <w:t>&lt;/PathFdR&gt;</w:t>
    </w:r>
    <w:r w:rsidRPr="00A85530">
      <w:tab/>
    </w:r>
    <w:r w:rsidRPr="00A85530">
      <w:tab/>
      <w:t>PE</w:t>
    </w:r>
    <w:r w:rsidRPr="00A85530">
      <w:rPr>
        <w:rStyle w:val="HideTWBExt"/>
      </w:rPr>
      <w:t>&lt;NoPE&gt;</w:t>
    </w:r>
    <w:r w:rsidRPr="00A85530">
      <w:t>758.992</w:t>
    </w:r>
    <w:r w:rsidRPr="00A85530">
      <w:rPr>
        <w:rStyle w:val="HideTWBExt"/>
      </w:rPr>
      <w:t>&lt;/NoPE&gt;&lt;Version&gt;</w:t>
    </w:r>
    <w:r w:rsidRPr="00A85530">
      <w:t>v02-00</w:t>
    </w:r>
    <w:r w:rsidRPr="00A85530">
      <w:rPr>
        <w:rStyle w:val="HideTWBExt"/>
      </w:rPr>
      <w:t>&lt;/Version&gt;</w:t>
    </w:r>
  </w:p>
  <w:p w:rsidR="00FF2DB3" w:rsidRPr="00A85530" w:rsidRDefault="00FF2DB3" w:rsidP="00FA76F5">
    <w:pPr>
      <w:pStyle w:val="EPFooter2"/>
    </w:pPr>
    <w:r w:rsidRPr="00A85530">
      <w:t>XT</w:t>
    </w:r>
    <w:r w:rsidRPr="00A85530">
      <w:tab/>
    </w:r>
    <w:r w:rsidRPr="00A85530">
      <w:rPr>
        <w:b w:val="0"/>
        <w:i/>
        <w:color w:val="C0C0C0"/>
        <w:sz w:val="22"/>
      </w:rPr>
      <w:t xml:space="preserve">United in </w:t>
    </w:r>
    <w:proofErr w:type="spellStart"/>
    <w:r w:rsidRPr="00A85530">
      <w:rPr>
        <w:b w:val="0"/>
        <w:i/>
        <w:color w:val="C0C0C0"/>
        <w:sz w:val="22"/>
      </w:rPr>
      <w:t>diversity</w:t>
    </w:r>
    <w:proofErr w:type="spellEnd"/>
    <w:r w:rsidRPr="00A85530">
      <w:tab/>
      <w:t>XT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5530"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5530"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553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77BE" w:rsidRPr="00A85530" w:rsidRDefault="00CC77BE">
      <w:r w:rsidRPr="00A85530">
        <w:separator/>
      </w:r>
    </w:p>
  </w:footnote>
  <w:footnote w:type="continuationSeparator" w:id="0">
    <w:p w:rsidR="00CC77BE" w:rsidRPr="00A85530" w:rsidRDefault="00CC77BE">
      <w:r w:rsidRPr="00A85530">
        <w:continuationSeparator/>
      </w:r>
    </w:p>
  </w:footnote>
  <w:footnote w:id="1">
    <w:p w:rsidR="00FF2DB3" w:rsidRPr="00A85530" w:rsidRDefault="00FF2DB3" w:rsidP="00A85530">
      <w:pPr>
        <w:pStyle w:val="FootnoteText"/>
        <w:ind w:left="567" w:hanging="567"/>
        <w:rPr>
          <w:sz w:val="24"/>
          <w:lang w:val="sk-SK"/>
        </w:rPr>
      </w:pPr>
      <w:r w:rsidRPr="00A85530">
        <w:rPr>
          <w:rStyle w:val="FootnoteReference"/>
          <w:sz w:val="24"/>
          <w:lang w:val="sk-SK"/>
        </w:rPr>
        <w:footnoteRef/>
      </w:r>
      <w:r w:rsidR="00A85530" w:rsidRPr="00A85530">
        <w:rPr>
          <w:sz w:val="24"/>
          <w:lang w:val="sk-SK"/>
        </w:rPr>
        <w:t xml:space="preserve"> </w:t>
      </w:r>
      <w:r w:rsidR="00A85530" w:rsidRPr="00A85530">
        <w:rPr>
          <w:sz w:val="24"/>
          <w:lang w:val="sk-SK"/>
        </w:rPr>
        <w:tab/>
      </w:r>
      <w:r w:rsidRPr="00A85530">
        <w:rPr>
          <w:sz w:val="24"/>
          <w:lang w:val="sk-SK"/>
        </w:rPr>
        <w:t>Prijaté texty, P9_TA(2023)0335.</w:t>
      </w:r>
    </w:p>
  </w:footnote>
  <w:footnote w:id="2">
    <w:p w:rsidR="00FF2DB3" w:rsidRPr="00A85530" w:rsidRDefault="00FF2DB3" w:rsidP="00003980">
      <w:pPr>
        <w:pStyle w:val="FootnoteText"/>
        <w:ind w:left="851" w:hanging="851"/>
        <w:rPr>
          <w:sz w:val="24"/>
          <w:lang w:val="sk-SK"/>
        </w:rPr>
      </w:pPr>
      <w:r w:rsidRPr="00A85530">
        <w:rPr>
          <w:rStyle w:val="FootnoteReference"/>
          <w:sz w:val="24"/>
          <w:lang w:val="sk-SK"/>
        </w:rPr>
        <w:footnoteRef/>
      </w:r>
      <w:r w:rsidR="00A85530" w:rsidRPr="00A85530">
        <w:rPr>
          <w:sz w:val="24"/>
          <w:lang w:val="sk-SK"/>
        </w:rPr>
        <w:t xml:space="preserve"> </w:t>
      </w:r>
      <w:r w:rsidR="00A85530" w:rsidRPr="00A85530">
        <w:rPr>
          <w:sz w:val="24"/>
          <w:lang w:val="sk-SK"/>
        </w:rPr>
        <w:tab/>
      </w:r>
      <w:r w:rsidRPr="00A85530">
        <w:rPr>
          <w:sz w:val="24"/>
          <w:lang w:val="sk-SK"/>
        </w:rPr>
        <w:t>Súhlas z 27. februára 2024 (zatiaľ neuverejnený v úradnom vestníku).</w:t>
      </w:r>
    </w:p>
  </w:footnote>
  <w:footnote w:id="3">
    <w:p w:rsidR="00FF2DB3" w:rsidRPr="00A85530" w:rsidRDefault="00FF2DB3" w:rsidP="00003980">
      <w:pPr>
        <w:pStyle w:val="FootnoteText"/>
        <w:ind w:left="851" w:hanging="851"/>
        <w:rPr>
          <w:sz w:val="24"/>
          <w:lang w:val="sk-SK"/>
        </w:rPr>
      </w:pPr>
      <w:r w:rsidRPr="00A85530">
        <w:rPr>
          <w:rStyle w:val="FootnoteReference"/>
          <w:sz w:val="24"/>
          <w:lang w:val="sk-SK"/>
        </w:rPr>
        <w:footnoteRef/>
      </w:r>
      <w:r w:rsidR="00A85530" w:rsidRPr="00A85530">
        <w:rPr>
          <w:sz w:val="24"/>
          <w:lang w:val="sk-SK"/>
        </w:rPr>
        <w:t xml:space="preserve"> </w:t>
      </w:r>
      <w:r w:rsidR="00A85530" w:rsidRPr="00A85530">
        <w:rPr>
          <w:sz w:val="24"/>
          <w:lang w:val="sk-SK"/>
        </w:rPr>
        <w:tab/>
      </w:r>
      <w:r w:rsidRPr="00A85530">
        <w:rPr>
          <w:sz w:val="24"/>
          <w:lang w:val="sk-SK"/>
        </w:rPr>
        <w:t xml:space="preserve">Nariadenie Rady (EÚ, </w:t>
      </w:r>
      <w:proofErr w:type="spellStart"/>
      <w:r w:rsidRPr="00A85530">
        <w:rPr>
          <w:sz w:val="24"/>
          <w:lang w:val="sk-SK"/>
        </w:rPr>
        <w:t>Euratom</w:t>
      </w:r>
      <w:proofErr w:type="spellEnd"/>
      <w:r w:rsidRPr="00A85530">
        <w:rPr>
          <w:sz w:val="24"/>
          <w:lang w:val="sk-SK"/>
        </w:rPr>
        <w:t>) 2020/2093 zo 17. decembra 2020, ktorým sa stanovuje viacročný finančný rámec na roky 2021 až 2027 (Ú. v. EÚ L 433 I, 22.12.2020, s. 11).</w:t>
      </w:r>
    </w:p>
  </w:footnote>
  <w:footnote w:id="4">
    <w:p w:rsidR="00FF2DB3" w:rsidRPr="00A85530" w:rsidRDefault="00FF2DB3" w:rsidP="00003980">
      <w:pPr>
        <w:pStyle w:val="FootnoteText"/>
        <w:ind w:left="851" w:hanging="851"/>
        <w:rPr>
          <w:sz w:val="24"/>
          <w:lang w:val="sk-SK"/>
        </w:rPr>
      </w:pPr>
      <w:r w:rsidRPr="00A85530">
        <w:rPr>
          <w:rStyle w:val="FootnoteReference"/>
          <w:sz w:val="24"/>
          <w:lang w:val="sk-SK"/>
        </w:rPr>
        <w:footnoteRef/>
      </w:r>
      <w:r w:rsidR="00A85530" w:rsidRPr="00A85530">
        <w:rPr>
          <w:sz w:val="24"/>
          <w:lang w:val="sk-SK"/>
        </w:rPr>
        <w:t xml:space="preserve"> </w:t>
      </w:r>
      <w:r w:rsidR="00A85530" w:rsidRPr="00A85530">
        <w:rPr>
          <w:sz w:val="24"/>
          <w:lang w:val="sk-SK"/>
        </w:rPr>
        <w:tab/>
      </w:r>
      <w:r w:rsidRPr="00A85530">
        <w:rPr>
          <w:sz w:val="24"/>
          <w:lang w:val="sk-SK"/>
        </w:rPr>
        <w:t>Nariadenie Európskeho parlamentu a Rady (EÚ) 2024/... z ..., ktorým sa zriaďuje Nástroj pre Ukrajinu (Ú. v. EÚ L, ..., ELI: ...).“ …).</w:t>
      </w:r>
    </w:p>
  </w:footnote>
  <w:footnote w:id="5">
    <w:p w:rsidR="00FF2DB3" w:rsidRPr="00A85530" w:rsidRDefault="00FF2DB3" w:rsidP="00003980">
      <w:pPr>
        <w:pStyle w:val="FootnoteText"/>
        <w:ind w:left="851" w:hanging="851"/>
        <w:rPr>
          <w:sz w:val="24"/>
          <w:lang w:val="sk-SK"/>
        </w:rPr>
      </w:pPr>
      <w:r w:rsidRPr="00A85530">
        <w:rPr>
          <w:rStyle w:val="FootnoteReference"/>
          <w:sz w:val="24"/>
          <w:lang w:val="sk-SK"/>
        </w:rPr>
        <w:t>+</w:t>
      </w:r>
      <w:r w:rsidR="00A85530" w:rsidRPr="00A85530">
        <w:rPr>
          <w:sz w:val="24"/>
          <w:lang w:val="sk-SK"/>
        </w:rPr>
        <w:t xml:space="preserve"> </w:t>
      </w:r>
      <w:r w:rsidR="00A85530" w:rsidRPr="00A85530">
        <w:rPr>
          <w:sz w:val="24"/>
          <w:lang w:val="sk-SK"/>
        </w:rPr>
        <w:tab/>
      </w:r>
      <w:r w:rsidRPr="00A85530">
        <w:rPr>
          <w:sz w:val="24"/>
          <w:lang w:val="sk-SK"/>
        </w:rPr>
        <w:t>Ú</w:t>
      </w:r>
      <w:r w:rsidR="0054227C">
        <w:rPr>
          <w:sz w:val="24"/>
          <w:lang w:val="sk-SK"/>
        </w:rPr>
        <w:t>. v.</w:t>
      </w:r>
      <w:r w:rsidRPr="00A85530">
        <w:rPr>
          <w:sz w:val="24"/>
          <w:lang w:val="sk-SK"/>
        </w:rPr>
        <w:t>: vložte</w:t>
      </w:r>
      <w:r w:rsidR="0054227C">
        <w:rPr>
          <w:sz w:val="24"/>
          <w:lang w:val="sk-SK"/>
        </w:rPr>
        <w:t>, prosím,</w:t>
      </w:r>
      <w:r w:rsidRPr="00A85530">
        <w:rPr>
          <w:sz w:val="24"/>
          <w:lang w:val="sk-SK"/>
        </w:rPr>
        <w:t xml:space="preserve"> číslo nariadenia uvedeného v dokumente PE‑CONS 10/24 (2023/0200(COD)) a do poznámky pod čiarou vložte číslo, dátum a odkaz na uverejnenie nariadenia v úradnom vestníku.</w:t>
      </w:r>
    </w:p>
  </w:footnote>
  <w:footnote w:id="6">
    <w:p w:rsidR="00FF2DB3" w:rsidRPr="00A85530" w:rsidRDefault="00FF2DB3" w:rsidP="00A85530">
      <w:pPr>
        <w:pStyle w:val="FootnoteText"/>
        <w:ind w:left="567" w:hanging="567"/>
        <w:rPr>
          <w:sz w:val="24"/>
          <w:lang w:val="sk-SK"/>
        </w:rPr>
      </w:pPr>
      <w:r w:rsidRPr="00A85530">
        <w:rPr>
          <w:rStyle w:val="FootnoteReference"/>
          <w:sz w:val="24"/>
          <w:lang w:val="sk-SK"/>
        </w:rPr>
        <w:t>+</w:t>
      </w:r>
      <w:r w:rsidR="00A85530" w:rsidRPr="00A85530">
        <w:rPr>
          <w:sz w:val="24"/>
          <w:lang w:val="sk-SK"/>
        </w:rPr>
        <w:t xml:space="preserve"> </w:t>
      </w:r>
      <w:r w:rsidR="00A85530" w:rsidRPr="00A85530">
        <w:rPr>
          <w:sz w:val="24"/>
          <w:lang w:val="sk-SK"/>
        </w:rPr>
        <w:tab/>
      </w:r>
      <w:r w:rsidRPr="00A85530">
        <w:rPr>
          <w:sz w:val="24"/>
          <w:lang w:val="sk-SK"/>
        </w:rPr>
        <w:t>Ú</w:t>
      </w:r>
      <w:r w:rsidR="0054227C">
        <w:rPr>
          <w:sz w:val="24"/>
          <w:lang w:val="sk-SK"/>
        </w:rPr>
        <w:t>. v.</w:t>
      </w:r>
      <w:r w:rsidRPr="00A85530">
        <w:rPr>
          <w:sz w:val="24"/>
          <w:lang w:val="sk-SK"/>
        </w:rPr>
        <w:t>: vložte</w:t>
      </w:r>
      <w:r w:rsidR="0054227C">
        <w:rPr>
          <w:sz w:val="24"/>
          <w:lang w:val="sk-SK"/>
        </w:rPr>
        <w:t>, prosím,</w:t>
      </w:r>
      <w:r w:rsidRPr="00A85530">
        <w:rPr>
          <w:sz w:val="24"/>
          <w:lang w:val="sk-SK"/>
        </w:rPr>
        <w:t xml:space="preserve"> číslo nariadenia uvedeného v dokumente PE-CONS 10/24 (2023/0200(COD)).</w:t>
      </w:r>
    </w:p>
  </w:footnote>
  <w:footnote w:id="7">
    <w:p w:rsidR="00FF2DB3" w:rsidRPr="00A85530" w:rsidRDefault="00FF2DB3" w:rsidP="00A85530">
      <w:pPr>
        <w:pStyle w:val="FootnoteText"/>
        <w:ind w:left="567" w:hanging="567"/>
        <w:rPr>
          <w:sz w:val="24"/>
          <w:lang w:val="sk-SK"/>
        </w:rPr>
      </w:pPr>
      <w:r w:rsidRPr="00A85530">
        <w:rPr>
          <w:rStyle w:val="FootnoteReference"/>
          <w:sz w:val="24"/>
          <w:lang w:val="sk-SK"/>
        </w:rPr>
        <w:t>+</w:t>
      </w:r>
      <w:r w:rsidR="00A85530" w:rsidRPr="00A85530">
        <w:rPr>
          <w:sz w:val="24"/>
          <w:lang w:val="sk-SK"/>
        </w:rPr>
        <w:t xml:space="preserve"> </w:t>
      </w:r>
      <w:r w:rsidR="00A85530" w:rsidRPr="00A85530">
        <w:rPr>
          <w:sz w:val="24"/>
          <w:lang w:val="sk-SK"/>
        </w:rPr>
        <w:tab/>
      </w:r>
      <w:r w:rsidRPr="00A85530">
        <w:rPr>
          <w:sz w:val="24"/>
          <w:lang w:val="sk-SK"/>
        </w:rPr>
        <w:t>Ú</w:t>
      </w:r>
      <w:r w:rsidR="0054227C">
        <w:rPr>
          <w:sz w:val="24"/>
          <w:lang w:val="sk-SK"/>
        </w:rPr>
        <w:t>. v.</w:t>
      </w:r>
      <w:r w:rsidRPr="00A85530">
        <w:rPr>
          <w:sz w:val="24"/>
          <w:lang w:val="sk-SK"/>
        </w:rPr>
        <w:t>: vložte</w:t>
      </w:r>
      <w:r w:rsidR="0054227C">
        <w:rPr>
          <w:sz w:val="24"/>
          <w:lang w:val="sk-SK"/>
        </w:rPr>
        <w:t>, prosím,</w:t>
      </w:r>
      <w:r w:rsidRPr="00A85530">
        <w:rPr>
          <w:sz w:val="24"/>
          <w:lang w:val="sk-SK"/>
        </w:rPr>
        <w:t xml:space="preserve"> číslo nariadenia uvedeného v dokumente PE-CONS 10/24 (2023/0200(COD)).</w:t>
      </w:r>
    </w:p>
  </w:footnote>
  <w:footnote w:id="8">
    <w:p w:rsidR="00FF2DB3" w:rsidRPr="00A85530" w:rsidRDefault="00FF2DB3" w:rsidP="00003980">
      <w:pPr>
        <w:pStyle w:val="FootnoteText"/>
        <w:ind w:left="851" w:hanging="851"/>
        <w:rPr>
          <w:sz w:val="24"/>
          <w:lang w:val="sk-SK"/>
        </w:rPr>
      </w:pPr>
      <w:r w:rsidRPr="00A85530">
        <w:rPr>
          <w:rStyle w:val="FootnoteReference"/>
          <w:sz w:val="24"/>
          <w:lang w:val="sk-SK"/>
        </w:rPr>
        <w:footnoteRef/>
      </w:r>
      <w:r w:rsidR="00A85530" w:rsidRPr="00A85530">
        <w:rPr>
          <w:sz w:val="24"/>
          <w:lang w:val="sk-SK"/>
        </w:rPr>
        <w:t xml:space="preserve"> </w:t>
      </w:r>
      <w:r w:rsidR="00A85530" w:rsidRPr="00A85530">
        <w:rPr>
          <w:sz w:val="24"/>
          <w:lang w:val="sk-SK"/>
        </w:rPr>
        <w:tab/>
      </w:r>
      <w:r w:rsidRPr="00A85530">
        <w:rPr>
          <w:sz w:val="24"/>
          <w:lang w:val="sk-SK"/>
        </w:rPr>
        <w:t xml:space="preserve">Rozhodnutie Rady (EÚ, </w:t>
      </w:r>
      <w:proofErr w:type="spellStart"/>
      <w:r w:rsidRPr="00A85530">
        <w:rPr>
          <w:sz w:val="24"/>
          <w:lang w:val="sk-SK"/>
        </w:rPr>
        <w:t>Euratom</w:t>
      </w:r>
      <w:proofErr w:type="spellEnd"/>
      <w:r w:rsidRPr="00A85530">
        <w:rPr>
          <w:sz w:val="24"/>
          <w:lang w:val="sk-SK"/>
        </w:rPr>
        <w:t xml:space="preserve">) 2020/2053 zo 14. decembra 2020 o systéme vlastných zdrojov Európskej únie a o zrušení rozhodnutia 2014/335/EÚ, </w:t>
      </w:r>
      <w:proofErr w:type="spellStart"/>
      <w:r w:rsidRPr="00A85530">
        <w:rPr>
          <w:sz w:val="24"/>
          <w:lang w:val="sk-SK"/>
        </w:rPr>
        <w:t>Euratom</w:t>
      </w:r>
      <w:proofErr w:type="spellEnd"/>
      <w:r w:rsidRPr="00A85530">
        <w:rPr>
          <w:sz w:val="24"/>
          <w:lang w:val="sk-SK"/>
        </w:rPr>
        <w:t xml:space="preserve"> (Ú. v. EÚ L 424, 15.12.2020, s. 1).</w:t>
      </w:r>
    </w:p>
  </w:footnote>
  <w:footnote w:id="9">
    <w:p w:rsidR="00FF2DB3" w:rsidRPr="00A85530" w:rsidRDefault="00FF2DB3" w:rsidP="00003980">
      <w:pPr>
        <w:pStyle w:val="FootnoteText"/>
        <w:ind w:left="851" w:hanging="851"/>
        <w:rPr>
          <w:sz w:val="24"/>
          <w:lang w:val="sk-SK"/>
        </w:rPr>
      </w:pPr>
      <w:r w:rsidRPr="00A85530">
        <w:rPr>
          <w:rStyle w:val="FootnoteReference"/>
          <w:sz w:val="24"/>
          <w:lang w:val="sk-SK"/>
        </w:rPr>
        <w:footnoteRef/>
      </w:r>
      <w:r w:rsidR="00A85530" w:rsidRPr="00A85530">
        <w:rPr>
          <w:sz w:val="24"/>
          <w:lang w:val="sk-SK"/>
        </w:rPr>
        <w:t xml:space="preserve"> </w:t>
      </w:r>
      <w:r w:rsidR="00A85530" w:rsidRPr="00A85530">
        <w:rPr>
          <w:sz w:val="24"/>
          <w:lang w:val="sk-SK"/>
        </w:rPr>
        <w:tab/>
      </w:r>
      <w:r w:rsidRPr="00A85530">
        <w:rPr>
          <w:sz w:val="24"/>
          <w:lang w:val="sk-SK"/>
        </w:rPr>
        <w:t>Nariadenie Rady (ES) č. 2012/2002 z 11. novembra 2002, ktorým sa zriaďuje fond solidarity Európskej únie (Ú. v. ES L 311, 14.11.2002, s. 3).</w:t>
      </w:r>
    </w:p>
  </w:footnote>
  <w:footnote w:id="10">
    <w:p w:rsidR="00FF2DB3" w:rsidRPr="00A85530" w:rsidRDefault="00FF2DB3" w:rsidP="00003980">
      <w:pPr>
        <w:pStyle w:val="FootnoteText"/>
        <w:ind w:left="851" w:hanging="851"/>
        <w:rPr>
          <w:sz w:val="24"/>
          <w:lang w:val="sk-SK"/>
        </w:rPr>
      </w:pPr>
      <w:r w:rsidRPr="00A85530">
        <w:rPr>
          <w:rStyle w:val="FootnoteReference"/>
          <w:sz w:val="24"/>
          <w:lang w:val="sk-SK"/>
        </w:rPr>
        <w:t>+</w:t>
      </w:r>
      <w:r w:rsidR="00A85530" w:rsidRPr="00A85530">
        <w:rPr>
          <w:sz w:val="24"/>
          <w:lang w:val="sk-SK"/>
        </w:rPr>
        <w:t xml:space="preserve"> </w:t>
      </w:r>
      <w:r w:rsidR="00A85530" w:rsidRPr="00A85530">
        <w:rPr>
          <w:sz w:val="24"/>
          <w:lang w:val="sk-SK"/>
        </w:rPr>
        <w:tab/>
      </w:r>
      <w:r w:rsidRPr="00A85530">
        <w:rPr>
          <w:sz w:val="24"/>
          <w:lang w:val="sk-SK"/>
        </w:rPr>
        <w:t>Ú</w:t>
      </w:r>
      <w:r w:rsidR="005B0B9C">
        <w:rPr>
          <w:sz w:val="24"/>
          <w:lang w:val="sk-SK"/>
        </w:rPr>
        <w:t>. v.</w:t>
      </w:r>
      <w:r w:rsidRPr="00A85530">
        <w:rPr>
          <w:sz w:val="24"/>
          <w:lang w:val="sk-SK"/>
        </w:rPr>
        <w:t>: vložte</w:t>
      </w:r>
      <w:r w:rsidR="005B0B9C">
        <w:rPr>
          <w:sz w:val="24"/>
          <w:lang w:val="sk-SK"/>
        </w:rPr>
        <w:t>, prosím,</w:t>
      </w:r>
      <w:r w:rsidRPr="00A85530">
        <w:rPr>
          <w:sz w:val="24"/>
          <w:lang w:val="sk-SK"/>
        </w:rPr>
        <w:t xml:space="preserve"> číslo nariadenia uvedeného v dokumente PE‑CONS 10/24 (2023/0200(COD)) a do poznámky pod čiarou vložte číslo, dátum a odkaz na uverejnenie nariadenia v úradnom vestníku.</w:t>
      </w:r>
    </w:p>
  </w:footnote>
  <w:footnote w:id="11">
    <w:p w:rsidR="00FF2DB3" w:rsidRPr="00A85530" w:rsidRDefault="00FF2DB3" w:rsidP="00003980">
      <w:pPr>
        <w:pStyle w:val="FootnoteText"/>
        <w:ind w:left="851" w:hanging="851"/>
        <w:rPr>
          <w:sz w:val="24"/>
          <w:lang w:val="sk-SK"/>
        </w:rPr>
      </w:pPr>
      <w:r w:rsidRPr="00A85530">
        <w:rPr>
          <w:rStyle w:val="FootnoteReference"/>
          <w:sz w:val="24"/>
          <w:lang w:val="sk-SK"/>
        </w:rPr>
        <w:t>+</w:t>
      </w:r>
      <w:r w:rsidR="00A85530" w:rsidRPr="00A85530">
        <w:rPr>
          <w:sz w:val="24"/>
          <w:lang w:val="sk-SK"/>
        </w:rPr>
        <w:t xml:space="preserve"> </w:t>
      </w:r>
      <w:r w:rsidR="00A85530" w:rsidRPr="00A85530">
        <w:rPr>
          <w:sz w:val="24"/>
          <w:lang w:val="sk-SK"/>
        </w:rPr>
        <w:tab/>
      </w:r>
      <w:r w:rsidRPr="00A85530">
        <w:rPr>
          <w:sz w:val="24"/>
          <w:lang w:val="sk-SK"/>
        </w:rPr>
        <w:t>Ú</w:t>
      </w:r>
      <w:r w:rsidR="00CB3484">
        <w:rPr>
          <w:sz w:val="24"/>
          <w:lang w:val="sk-SK"/>
        </w:rPr>
        <w:t>. v.</w:t>
      </w:r>
      <w:r w:rsidRPr="00A85530">
        <w:rPr>
          <w:sz w:val="24"/>
          <w:lang w:val="sk-SK"/>
        </w:rPr>
        <w:t>: vložte</w:t>
      </w:r>
      <w:r w:rsidR="00CB3484">
        <w:rPr>
          <w:sz w:val="24"/>
          <w:lang w:val="sk-SK"/>
        </w:rPr>
        <w:t>, prosím,</w:t>
      </w:r>
      <w:r w:rsidRPr="00A85530">
        <w:rPr>
          <w:sz w:val="24"/>
          <w:lang w:val="sk-SK"/>
        </w:rPr>
        <w:t xml:space="preserve"> číslo nariadenia uvedeného v dokumente PE-CONS 10/24 (2023/0200(COD)).</w:t>
      </w:r>
    </w:p>
  </w:footnote>
  <w:footnote w:id="12">
    <w:p w:rsidR="00FF2DB3" w:rsidRPr="00A85530" w:rsidRDefault="00FF2DB3" w:rsidP="00003980">
      <w:pPr>
        <w:pStyle w:val="FootnoteText"/>
        <w:ind w:left="851" w:hanging="851"/>
        <w:rPr>
          <w:sz w:val="24"/>
          <w:lang w:val="sk-SK"/>
        </w:rPr>
      </w:pPr>
      <w:r w:rsidRPr="00A85530">
        <w:rPr>
          <w:rStyle w:val="FootnoteReference"/>
          <w:sz w:val="24"/>
          <w:lang w:val="sk-SK"/>
        </w:rPr>
        <w:footnoteRef/>
      </w:r>
      <w:r w:rsidR="00A85530" w:rsidRPr="00A85530">
        <w:rPr>
          <w:sz w:val="24"/>
          <w:lang w:val="sk-SK"/>
        </w:rPr>
        <w:t xml:space="preserve"> </w:t>
      </w:r>
      <w:r w:rsidR="00A85530" w:rsidRPr="00A85530">
        <w:rPr>
          <w:sz w:val="24"/>
          <w:lang w:val="sk-SK"/>
        </w:rPr>
        <w:tab/>
      </w:r>
      <w:r w:rsidRPr="00A85530">
        <w:rPr>
          <w:sz w:val="24"/>
          <w:lang w:val="sk-SK"/>
        </w:rPr>
        <w:t xml:space="preserve">Spoločné vyhlásenie Európskeho parlamentu, Rady a Komisie o opätovnom použití finančných prostriedkov, ktorých viazanosť bola zrušená, v súvislosti s výskumným programom 2020/C 444 I/03 </w:t>
      </w:r>
      <w:r w:rsidR="0054227C">
        <w:rPr>
          <w:sz w:val="24"/>
          <w:lang w:val="sk-SK"/>
        </w:rPr>
        <w:t>(</w:t>
      </w:r>
      <w:r w:rsidRPr="00A85530">
        <w:rPr>
          <w:sz w:val="24"/>
          <w:lang w:val="sk-SK"/>
        </w:rPr>
        <w:t xml:space="preserve">Ú. v. </w:t>
      </w:r>
      <w:r w:rsidRPr="00A85530">
        <w:rPr>
          <w:sz w:val="24"/>
          <w:lang w:val="sk-SK"/>
        </w:rPr>
        <w:t>EÚ C 444</w:t>
      </w:r>
      <w:r w:rsidR="00D6780D">
        <w:rPr>
          <w:sz w:val="24"/>
          <w:lang w:val="sk-SK"/>
        </w:rPr>
        <w:t xml:space="preserve"> </w:t>
      </w:r>
      <w:bookmarkStart w:id="11" w:name="_GoBack"/>
      <w:bookmarkEnd w:id="11"/>
      <w:r w:rsidRPr="00A85530">
        <w:rPr>
          <w:sz w:val="24"/>
          <w:lang w:val="sk-SK"/>
        </w:rPr>
        <w:t>I, 22.12.2020, s. 3</w:t>
      </w:r>
      <w:r w:rsidR="0054227C">
        <w:rPr>
          <w:sz w:val="24"/>
          <w:lang w:val="sk-SK"/>
        </w:rPr>
        <w:t>)</w:t>
      </w:r>
      <w:r w:rsidRPr="00A85530">
        <w:rPr>
          <w:sz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2DB3" w:rsidRPr="00A85530" w:rsidRDefault="00FF2D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2DB3" w:rsidRPr="00A85530" w:rsidRDefault="00FF2D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2DB3" w:rsidRPr="00A85530" w:rsidRDefault="00FF2DB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5530"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5530"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553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61226A2"/>
    <w:multiLevelType w:val="singleLevel"/>
    <w:tmpl w:val="E5081854"/>
    <w:name w:val="Tiret 2"/>
    <w:lvl w:ilvl="0">
      <w:start w:val="1"/>
      <w:numFmt w:val="bullet"/>
      <w:pStyle w:val="Tiret2"/>
      <w:lvlText w:val="–"/>
      <w:lvlJc w:val="left"/>
      <w:pPr>
        <w:tabs>
          <w:tab w:val="num" w:pos="1984"/>
        </w:tabs>
        <w:ind w:left="1984" w:hanging="567"/>
      </w:pPr>
      <w:rPr>
        <w:bdr w:val="none" w:sz="0" w:space="0" w:color="auto" w:frame="1"/>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1/2024"/>
    <w:docVar w:name="dvlangue" w:val="SK"/>
    <w:docVar w:name="dvnumam" w:val="0"/>
    <w:docVar w:name="dvpe" w:val="758.992"/>
    <w:docVar w:name="dvrapporteur" w:val="Spravodajcovia: "/>
    <w:docVar w:name="dvstar" w:val="***"/>
    <w:docVar w:name="dvtitre" w:val="Legislatívne uznesenie Európskeho parlamentu z xx. februára 2024 k návrhu nariadenia Rady, ktorým sa mení nariadenie (EÚ, Euratom) 2020/2093, ktorým sa stanovuje viacročný finančný rámec na roky 2021 až 2027(05818/2024 – C9-0030/2024 – 2023/0201(APP))"/>
  </w:docVars>
  <w:rsids>
    <w:rsidRoot w:val="00CC77BE"/>
    <w:rsid w:val="00002272"/>
    <w:rsid w:val="00003980"/>
    <w:rsid w:val="00064002"/>
    <w:rsid w:val="000677B9"/>
    <w:rsid w:val="000831BA"/>
    <w:rsid w:val="000A42CC"/>
    <w:rsid w:val="000E7DD9"/>
    <w:rsid w:val="0010095E"/>
    <w:rsid w:val="00115C0E"/>
    <w:rsid w:val="00125B37"/>
    <w:rsid w:val="00187494"/>
    <w:rsid w:val="001F32AE"/>
    <w:rsid w:val="002767FF"/>
    <w:rsid w:val="002B18FE"/>
    <w:rsid w:val="002B5493"/>
    <w:rsid w:val="00335F4F"/>
    <w:rsid w:val="00343214"/>
    <w:rsid w:val="00361C00"/>
    <w:rsid w:val="00395FA1"/>
    <w:rsid w:val="003E15D4"/>
    <w:rsid w:val="00411CCE"/>
    <w:rsid w:val="0041666E"/>
    <w:rsid w:val="00421060"/>
    <w:rsid w:val="00457EC9"/>
    <w:rsid w:val="00471C19"/>
    <w:rsid w:val="004867E3"/>
    <w:rsid w:val="00494A28"/>
    <w:rsid w:val="004C0004"/>
    <w:rsid w:val="004C5D52"/>
    <w:rsid w:val="004E2AE6"/>
    <w:rsid w:val="0050519A"/>
    <w:rsid w:val="005072A1"/>
    <w:rsid w:val="00514517"/>
    <w:rsid w:val="0054227C"/>
    <w:rsid w:val="00545827"/>
    <w:rsid w:val="00560270"/>
    <w:rsid w:val="005B0B9C"/>
    <w:rsid w:val="005C2568"/>
    <w:rsid w:val="006037C0"/>
    <w:rsid w:val="006631B6"/>
    <w:rsid w:val="00680577"/>
    <w:rsid w:val="00692F0A"/>
    <w:rsid w:val="006E5BD1"/>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2130"/>
    <w:rsid w:val="00A43E52"/>
    <w:rsid w:val="00A4678D"/>
    <w:rsid w:val="00A778C7"/>
    <w:rsid w:val="00A85530"/>
    <w:rsid w:val="00AB441E"/>
    <w:rsid w:val="00AB6293"/>
    <w:rsid w:val="00AE0928"/>
    <w:rsid w:val="00AF3B82"/>
    <w:rsid w:val="00B12E95"/>
    <w:rsid w:val="00B22876"/>
    <w:rsid w:val="00B558F0"/>
    <w:rsid w:val="00BD48FE"/>
    <w:rsid w:val="00BD7BD8"/>
    <w:rsid w:val="00BE6ADC"/>
    <w:rsid w:val="00C05BFE"/>
    <w:rsid w:val="00C23CD4"/>
    <w:rsid w:val="00C61C0C"/>
    <w:rsid w:val="00C90161"/>
    <w:rsid w:val="00C941CB"/>
    <w:rsid w:val="00CB3484"/>
    <w:rsid w:val="00CC2357"/>
    <w:rsid w:val="00CC77BE"/>
    <w:rsid w:val="00CF071A"/>
    <w:rsid w:val="00D058B8"/>
    <w:rsid w:val="00D56C11"/>
    <w:rsid w:val="00D6780D"/>
    <w:rsid w:val="00D834A0"/>
    <w:rsid w:val="00D872DF"/>
    <w:rsid w:val="00D91E21"/>
    <w:rsid w:val="00D94635"/>
    <w:rsid w:val="00DA7FCD"/>
    <w:rsid w:val="00E365E1"/>
    <w:rsid w:val="00E820A4"/>
    <w:rsid w:val="00EA267B"/>
    <w:rsid w:val="00EB006A"/>
    <w:rsid w:val="00EB4772"/>
    <w:rsid w:val="00EC00D7"/>
    <w:rsid w:val="00ED169E"/>
    <w:rsid w:val="00ED4235"/>
    <w:rsid w:val="00F04346"/>
    <w:rsid w:val="00F075DC"/>
    <w:rsid w:val="00F149E9"/>
    <w:rsid w:val="00F5134D"/>
    <w:rsid w:val="00F74202"/>
    <w:rsid w:val="00F87713"/>
    <w:rsid w:val="00FB4360"/>
    <w:rsid w:val="00FD0C70"/>
    <w:rsid w:val="00FF2DB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AA2756"/>
  <w15:chartTrackingRefBased/>
  <w15:docId w15:val="{AB76FC6C-B27A-4FC4-B8A8-39F834164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F2DB3"/>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FF2DB3"/>
    <w:pPr>
      <w:keepNext/>
      <w:spacing w:after="480"/>
      <w:jc w:val="center"/>
    </w:pPr>
    <w:rPr>
      <w:rFonts w:ascii="Arial" w:hAnsi="Arial" w:cs="Arial"/>
      <w:b/>
    </w:rPr>
  </w:style>
  <w:style w:type="paragraph" w:customStyle="1" w:styleId="NormalBold">
    <w:name w:val="NormalBold"/>
    <w:basedOn w:val="Normal"/>
    <w:rsid w:val="00FF2DB3"/>
    <w:rPr>
      <w:b/>
    </w:rPr>
  </w:style>
  <w:style w:type="paragraph" w:customStyle="1" w:styleId="NormalHanging12a">
    <w:name w:val="NormalHanging12a"/>
    <w:basedOn w:val="Normal"/>
    <w:rsid w:val="00FF2DB3"/>
    <w:pPr>
      <w:spacing w:after="240"/>
      <w:ind w:left="567" w:hanging="567"/>
    </w:pPr>
  </w:style>
  <w:style w:type="paragraph" w:customStyle="1" w:styleId="EPComma">
    <w:name w:val="EPComma"/>
    <w:basedOn w:val="Normal"/>
    <w:rsid w:val="00FF2DB3"/>
    <w:pPr>
      <w:spacing w:before="480" w:after="240"/>
    </w:pPr>
  </w:style>
  <w:style w:type="paragraph" w:styleId="Header">
    <w:name w:val="header"/>
    <w:basedOn w:val="Normal"/>
    <w:link w:val="HeaderChar"/>
    <w:rsid w:val="00FF2DB3"/>
    <w:pPr>
      <w:tabs>
        <w:tab w:val="center" w:pos="4513"/>
        <w:tab w:val="right" w:pos="9026"/>
      </w:tabs>
    </w:pPr>
  </w:style>
  <w:style w:type="character" w:customStyle="1" w:styleId="HeaderChar">
    <w:name w:val="Header Char"/>
    <w:basedOn w:val="DefaultParagraphFont"/>
    <w:link w:val="Header"/>
    <w:rsid w:val="00FF2DB3"/>
    <w:rPr>
      <w:sz w:val="24"/>
      <w:lang w:val="sk-SK"/>
    </w:rPr>
  </w:style>
  <w:style w:type="paragraph" w:customStyle="1" w:styleId="EPFooter">
    <w:name w:val="EPFooter"/>
    <w:basedOn w:val="Normal"/>
    <w:rsid w:val="00FF2DB3"/>
    <w:pPr>
      <w:tabs>
        <w:tab w:val="center" w:pos="4535"/>
        <w:tab w:val="right" w:pos="9071"/>
      </w:tabs>
      <w:spacing w:before="240" w:after="240"/>
    </w:pPr>
    <w:rPr>
      <w:color w:val="010000"/>
      <w:sz w:val="22"/>
    </w:rPr>
  </w:style>
  <w:style w:type="paragraph" w:customStyle="1" w:styleId="Text1">
    <w:name w:val="Text 1"/>
    <w:basedOn w:val="Normal"/>
    <w:rsid w:val="00FF2DB3"/>
    <w:pPr>
      <w:widowControl/>
      <w:spacing w:before="120" w:after="120" w:line="360" w:lineRule="auto"/>
      <w:ind w:left="850"/>
    </w:pPr>
    <w:rPr>
      <w:rFonts w:eastAsiaTheme="minorHAnsi"/>
      <w:szCs w:val="22"/>
      <w:lang w:eastAsia="en-US"/>
    </w:rPr>
  </w:style>
  <w:style w:type="paragraph" w:customStyle="1" w:styleId="Text2">
    <w:name w:val="Text 2"/>
    <w:basedOn w:val="Normal"/>
    <w:rsid w:val="00FF2DB3"/>
    <w:pPr>
      <w:widowControl/>
      <w:spacing w:before="120" w:after="120" w:line="360" w:lineRule="auto"/>
      <w:ind w:left="1417"/>
    </w:pPr>
    <w:rPr>
      <w:rFonts w:eastAsiaTheme="minorHAnsi"/>
      <w:szCs w:val="22"/>
      <w:lang w:eastAsia="en-US"/>
    </w:rPr>
  </w:style>
  <w:style w:type="paragraph" w:customStyle="1" w:styleId="NormalCentered">
    <w:name w:val="Normal Centered"/>
    <w:basedOn w:val="Normal"/>
    <w:rsid w:val="00FF2DB3"/>
    <w:pPr>
      <w:widowControl/>
      <w:spacing w:before="120" w:after="120" w:line="360" w:lineRule="auto"/>
      <w:jc w:val="center"/>
    </w:pPr>
    <w:rPr>
      <w:rFonts w:eastAsiaTheme="minorHAnsi"/>
      <w:szCs w:val="22"/>
      <w:lang w:eastAsia="en-US"/>
    </w:rPr>
  </w:style>
  <w:style w:type="paragraph" w:customStyle="1" w:styleId="NormalRight">
    <w:name w:val="Normal Right"/>
    <w:basedOn w:val="Normal"/>
    <w:rsid w:val="00FF2DB3"/>
    <w:pPr>
      <w:widowControl/>
      <w:spacing w:before="120" w:after="120" w:line="360" w:lineRule="auto"/>
      <w:jc w:val="right"/>
    </w:pPr>
    <w:rPr>
      <w:rFonts w:eastAsiaTheme="minorHAnsi"/>
      <w:szCs w:val="22"/>
      <w:lang w:eastAsia="en-US"/>
    </w:rPr>
  </w:style>
  <w:style w:type="paragraph" w:customStyle="1" w:styleId="Point0">
    <w:name w:val="Point 0"/>
    <w:basedOn w:val="Normal"/>
    <w:rsid w:val="00FF2DB3"/>
    <w:pPr>
      <w:widowControl/>
      <w:spacing w:before="120" w:after="120" w:line="360" w:lineRule="auto"/>
      <w:ind w:left="850" w:hanging="850"/>
    </w:pPr>
    <w:rPr>
      <w:rFonts w:eastAsiaTheme="minorHAnsi"/>
      <w:szCs w:val="22"/>
      <w:lang w:eastAsia="en-US"/>
    </w:rPr>
  </w:style>
  <w:style w:type="paragraph" w:customStyle="1" w:styleId="Point1">
    <w:name w:val="Point 1"/>
    <w:basedOn w:val="Normal"/>
    <w:rsid w:val="00FF2DB3"/>
    <w:pPr>
      <w:widowControl/>
      <w:spacing w:before="120" w:after="120" w:line="360" w:lineRule="auto"/>
      <w:ind w:left="1417" w:hanging="567"/>
    </w:pPr>
    <w:rPr>
      <w:rFonts w:eastAsiaTheme="minorHAnsi"/>
      <w:szCs w:val="22"/>
      <w:lang w:eastAsia="en-US"/>
    </w:rPr>
  </w:style>
  <w:style w:type="paragraph" w:customStyle="1" w:styleId="Point2">
    <w:name w:val="Point 2"/>
    <w:basedOn w:val="Normal"/>
    <w:rsid w:val="00FF2DB3"/>
    <w:pPr>
      <w:widowControl/>
      <w:spacing w:before="120" w:after="120" w:line="360" w:lineRule="auto"/>
      <w:ind w:left="1984" w:hanging="567"/>
    </w:pPr>
    <w:rPr>
      <w:rFonts w:eastAsiaTheme="minorHAnsi"/>
      <w:szCs w:val="22"/>
      <w:lang w:eastAsia="en-US"/>
    </w:rPr>
  </w:style>
  <w:style w:type="paragraph" w:customStyle="1" w:styleId="Tiret2">
    <w:name w:val="Tiret 2"/>
    <w:basedOn w:val="Normal"/>
    <w:rsid w:val="00FF2DB3"/>
    <w:pPr>
      <w:widowControl/>
      <w:numPr>
        <w:numId w:val="45"/>
      </w:numPr>
      <w:spacing w:before="120" w:after="120" w:line="360" w:lineRule="auto"/>
    </w:pPr>
    <w:rPr>
      <w:rFonts w:eastAsiaTheme="minorHAnsi"/>
      <w:szCs w:val="22"/>
      <w:lang w:eastAsia="en-US"/>
    </w:rPr>
  </w:style>
  <w:style w:type="paragraph" w:customStyle="1" w:styleId="Fait">
    <w:name w:val="Fait à"/>
    <w:basedOn w:val="Normal"/>
    <w:next w:val="Institutionquisigne"/>
    <w:rsid w:val="00FF2DB3"/>
    <w:pPr>
      <w:keepNext/>
      <w:widowControl/>
      <w:spacing w:before="120" w:line="360" w:lineRule="auto"/>
    </w:pPr>
    <w:rPr>
      <w:rFonts w:eastAsiaTheme="minorHAnsi"/>
      <w:szCs w:val="22"/>
      <w:lang w:eastAsia="en-US"/>
    </w:rPr>
  </w:style>
  <w:style w:type="paragraph" w:customStyle="1" w:styleId="Applicationdirecte">
    <w:name w:val="Application directe"/>
    <w:basedOn w:val="Normal"/>
    <w:next w:val="Fait"/>
    <w:rsid w:val="00FF2DB3"/>
    <w:pPr>
      <w:widowControl/>
      <w:spacing w:before="480" w:after="120" w:line="360" w:lineRule="auto"/>
    </w:pPr>
    <w:rPr>
      <w:rFonts w:eastAsiaTheme="minorHAnsi"/>
      <w:szCs w:val="22"/>
      <w:lang w:eastAsia="en-US"/>
    </w:rPr>
  </w:style>
  <w:style w:type="paragraph" w:customStyle="1" w:styleId="Titreobjet">
    <w:name w:val="Titre objet"/>
    <w:basedOn w:val="Normal"/>
    <w:next w:val="Normal"/>
    <w:rsid w:val="00FF2DB3"/>
    <w:pPr>
      <w:widowControl/>
      <w:spacing w:before="360" w:after="360" w:line="360" w:lineRule="auto"/>
      <w:jc w:val="center"/>
    </w:pPr>
    <w:rPr>
      <w:rFonts w:eastAsiaTheme="minorHAnsi"/>
      <w:b/>
      <w:szCs w:val="22"/>
      <w:lang w:eastAsia="en-US"/>
    </w:rPr>
  </w:style>
  <w:style w:type="paragraph" w:customStyle="1" w:styleId="Datedadoption">
    <w:name w:val="Date d'adoption"/>
    <w:basedOn w:val="Normal"/>
    <w:next w:val="Titreobjet"/>
    <w:rsid w:val="00FF2DB3"/>
    <w:pPr>
      <w:widowControl/>
      <w:spacing w:before="360" w:line="360" w:lineRule="auto"/>
      <w:jc w:val="center"/>
    </w:pPr>
    <w:rPr>
      <w:rFonts w:eastAsiaTheme="minorHAnsi"/>
      <w:b/>
      <w:szCs w:val="22"/>
      <w:lang w:eastAsia="en-US"/>
    </w:rPr>
  </w:style>
  <w:style w:type="paragraph" w:customStyle="1" w:styleId="Institutionquisigne">
    <w:name w:val="Institution qui signe"/>
    <w:basedOn w:val="Normal"/>
    <w:next w:val="Personnequisigne"/>
    <w:rsid w:val="00FF2DB3"/>
    <w:pPr>
      <w:keepNext/>
      <w:widowControl/>
      <w:tabs>
        <w:tab w:val="left" w:pos="5669"/>
      </w:tabs>
      <w:spacing w:before="720" w:line="360" w:lineRule="auto"/>
    </w:pPr>
    <w:rPr>
      <w:rFonts w:eastAsiaTheme="minorHAnsi"/>
      <w:i/>
      <w:szCs w:val="22"/>
      <w:lang w:eastAsia="en-US"/>
    </w:rPr>
  </w:style>
  <w:style w:type="paragraph" w:customStyle="1" w:styleId="Titrearticle">
    <w:name w:val="Titre article"/>
    <w:basedOn w:val="Normal"/>
    <w:next w:val="Normal"/>
    <w:rsid w:val="00FF2DB3"/>
    <w:pPr>
      <w:keepNext/>
      <w:widowControl/>
      <w:spacing w:before="360" w:after="120" w:line="360" w:lineRule="auto"/>
      <w:jc w:val="center"/>
    </w:pPr>
    <w:rPr>
      <w:rFonts w:eastAsiaTheme="minorHAnsi"/>
      <w:i/>
      <w:szCs w:val="22"/>
      <w:lang w:eastAsia="en-US"/>
    </w:rPr>
  </w:style>
  <w:style w:type="paragraph" w:customStyle="1" w:styleId="Formuledadoption">
    <w:name w:val="Formule d'adoption"/>
    <w:basedOn w:val="Normal"/>
    <w:next w:val="Titrearticle"/>
    <w:rsid w:val="00FF2DB3"/>
    <w:pPr>
      <w:keepNext/>
      <w:widowControl/>
      <w:spacing w:before="120" w:after="120" w:line="360" w:lineRule="auto"/>
    </w:pPr>
    <w:rPr>
      <w:rFonts w:eastAsiaTheme="minorHAnsi"/>
      <w:szCs w:val="22"/>
      <w:lang w:eastAsia="en-US"/>
    </w:rPr>
  </w:style>
  <w:style w:type="paragraph" w:customStyle="1" w:styleId="Institutionquiagit">
    <w:name w:val="Institution qui agit"/>
    <w:basedOn w:val="Normal"/>
    <w:next w:val="Normal"/>
    <w:rsid w:val="00FF2DB3"/>
    <w:pPr>
      <w:keepNext/>
      <w:widowControl/>
      <w:spacing w:before="600" w:after="120" w:line="360" w:lineRule="auto"/>
    </w:pPr>
    <w:rPr>
      <w:rFonts w:eastAsiaTheme="minorHAnsi"/>
      <w:szCs w:val="22"/>
      <w:lang w:eastAsia="en-US"/>
    </w:rPr>
  </w:style>
  <w:style w:type="paragraph" w:customStyle="1" w:styleId="Personnequisigne">
    <w:name w:val="Personne qui signe"/>
    <w:basedOn w:val="Normal"/>
    <w:next w:val="Institutionquisigne"/>
    <w:rsid w:val="00FF2DB3"/>
    <w:pPr>
      <w:widowControl/>
      <w:tabs>
        <w:tab w:val="left" w:pos="5669"/>
      </w:tabs>
      <w:spacing w:line="360" w:lineRule="auto"/>
    </w:pPr>
    <w:rPr>
      <w:rFonts w:eastAsiaTheme="minorHAnsi"/>
      <w:i/>
      <w:szCs w:val="22"/>
      <w:lang w:eastAsia="en-US"/>
    </w:rPr>
  </w:style>
  <w:style w:type="paragraph" w:customStyle="1" w:styleId="ManualConsidrant">
    <w:name w:val="Manual Considérant"/>
    <w:basedOn w:val="Normal"/>
    <w:rsid w:val="00FF2DB3"/>
    <w:pPr>
      <w:widowControl/>
      <w:spacing w:before="120" w:after="120" w:line="360" w:lineRule="auto"/>
      <w:ind w:left="850" w:hanging="850"/>
    </w:pPr>
    <w:rPr>
      <w:rFonts w:eastAsiaTheme="minorHAnsi"/>
      <w:szCs w:val="22"/>
      <w:lang w:eastAsia="en-US"/>
    </w:rPr>
  </w:style>
  <w:style w:type="paragraph" w:customStyle="1" w:styleId="Typedudocument">
    <w:name w:val="Type du document"/>
    <w:basedOn w:val="Normal"/>
    <w:next w:val="Datedadoption"/>
    <w:rsid w:val="00FF2DB3"/>
    <w:pPr>
      <w:widowControl/>
      <w:spacing w:before="360" w:line="360" w:lineRule="auto"/>
      <w:jc w:val="center"/>
    </w:pPr>
    <w:rPr>
      <w:rFonts w:eastAsiaTheme="minorHAnsi"/>
      <w:b/>
      <w:szCs w:val="22"/>
      <w:lang w:eastAsia="en-US"/>
    </w:rPr>
  </w:style>
  <w:style w:type="paragraph" w:customStyle="1" w:styleId="Lignefinal">
    <w:name w:val="Ligne final"/>
    <w:basedOn w:val="Normal"/>
    <w:next w:val="Normal"/>
    <w:rsid w:val="00FF2DB3"/>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LignefinalLandscape">
    <w:name w:val="Ligne final (Landscape)"/>
    <w:basedOn w:val="Normal"/>
    <w:next w:val="Normal"/>
    <w:rsid w:val="00FF2DB3"/>
    <w:pPr>
      <w:widowControl/>
      <w:pBdr>
        <w:bottom w:val="single" w:sz="4" w:space="0" w:color="000000"/>
      </w:pBdr>
      <w:spacing w:before="360" w:after="120" w:line="360" w:lineRule="auto"/>
      <w:ind w:left="5868" w:right="5868"/>
      <w:jc w:val="center"/>
    </w:pPr>
    <w:rPr>
      <w:rFonts w:eastAsiaTheme="minorHAnsi"/>
      <w:b/>
      <w:szCs w:val="22"/>
      <w:lang w:eastAsia="en-US"/>
    </w:rPr>
  </w:style>
  <w:style w:type="paragraph" w:customStyle="1" w:styleId="Annexetitre">
    <w:name w:val="Annexe titre"/>
    <w:basedOn w:val="Normal"/>
    <w:next w:val="Normal"/>
    <w:rsid w:val="00FF2DB3"/>
    <w:pPr>
      <w:widowControl/>
      <w:spacing w:before="120" w:after="120" w:line="360" w:lineRule="auto"/>
      <w:jc w:val="center"/>
    </w:pPr>
    <w:rPr>
      <w:rFonts w:eastAsiaTheme="minorHAnsi"/>
      <w:b/>
      <w:szCs w:val="22"/>
      <w:u w:val="single"/>
      <w:lang w:eastAsia="en-US"/>
    </w:rPr>
  </w:style>
  <w:style w:type="paragraph" w:styleId="NormalWeb">
    <w:name w:val="Normal (Web)"/>
    <w:basedOn w:val="Normal"/>
    <w:uiPriority w:val="99"/>
    <w:unhideWhenUsed/>
    <w:rsid w:val="00FF2DB3"/>
    <w:pPr>
      <w:widowControl/>
      <w:spacing w:before="100" w:beforeAutospacing="1" w:after="100" w:afterAutospacing="1"/>
    </w:pPr>
    <w:rPr>
      <w:szCs w:val="24"/>
      <w:lang w:eastAsia="en-IE"/>
    </w:rPr>
  </w:style>
  <w:style w:type="paragraph" w:customStyle="1" w:styleId="Normal24a">
    <w:name w:val="Normal24a"/>
    <w:basedOn w:val="Normal"/>
    <w:rsid w:val="00FF2DB3"/>
    <w:pPr>
      <w:spacing w:after="480"/>
    </w:pPr>
  </w:style>
  <w:style w:type="paragraph" w:customStyle="1" w:styleId="NormalBoldCenter">
    <w:name w:val="NormalBoldCenter"/>
    <w:basedOn w:val="Normal"/>
    <w:rsid w:val="00FF2DB3"/>
    <w:pPr>
      <w:jc w:val="center"/>
    </w:pPr>
    <w:rPr>
      <w:b/>
    </w:rPr>
  </w:style>
  <w:style w:type="paragraph" w:styleId="Footer">
    <w:name w:val="footer"/>
    <w:basedOn w:val="Normal"/>
    <w:link w:val="FooterChar"/>
    <w:rsid w:val="005B0B9C"/>
    <w:pPr>
      <w:tabs>
        <w:tab w:val="center" w:pos="4513"/>
        <w:tab w:val="right" w:pos="9026"/>
      </w:tabs>
    </w:pPr>
  </w:style>
  <w:style w:type="character" w:customStyle="1" w:styleId="FooterChar">
    <w:name w:val="Footer Char"/>
    <w:basedOn w:val="DefaultParagraphFont"/>
    <w:link w:val="Footer"/>
    <w:rsid w:val="005B0B9C"/>
    <w:rPr>
      <w:sz w:val="24"/>
      <w:lang w:val="sk-SK"/>
    </w:rPr>
  </w:style>
  <w:style w:type="paragraph" w:styleId="BalloonText">
    <w:name w:val="Balloon Text"/>
    <w:basedOn w:val="Normal"/>
    <w:link w:val="BalloonTextChar"/>
    <w:rsid w:val="00457EC9"/>
    <w:rPr>
      <w:rFonts w:ascii="Segoe UI" w:hAnsi="Segoe UI" w:cs="Segoe UI"/>
      <w:sz w:val="18"/>
      <w:szCs w:val="18"/>
    </w:rPr>
  </w:style>
  <w:style w:type="character" w:customStyle="1" w:styleId="BalloonTextChar">
    <w:name w:val="Balloon Text Char"/>
    <w:basedOn w:val="DefaultParagraphFont"/>
    <w:link w:val="BalloonText"/>
    <w:rsid w:val="00457EC9"/>
    <w:rPr>
      <w:rFonts w:ascii="Segoe UI" w:hAnsi="Segoe UI" w:cs="Segoe UI"/>
      <w:sz w:val="18"/>
      <w:szCs w:val="18"/>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19C41E-97CF-4BB3-8853-EF2634B4A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4064</Words>
  <Characters>22209</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SOLTYSOVA Zuzana</cp:lastModifiedBy>
  <cp:revision>2</cp:revision>
  <cp:lastPrinted>2004-11-19T15:42:00Z</cp:lastPrinted>
  <dcterms:created xsi:type="dcterms:W3CDTF">2024-05-30T14:32:00Z</dcterms:created>
  <dcterms:modified xsi:type="dcterms:W3CDTF">2024-05-30T14:32:00Z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P9_TA(2024)0081_</vt:lpwstr>
  </property>
  <property fmtid="{D5CDD505-2E9C-101B-9397-08002B2CF9AE}" pid="4" name="&lt;Type&gt;">
    <vt:lpwstr>RR</vt:lpwstr>
  </property>
</Properties>
</file>